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Lhota u Šternberka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28 523,00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708,51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28 523,00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708,51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Šternberk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12.12.2016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36 247,00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12.12.2016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12.12.2016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65 555,00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94 078,00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708,51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Lhota u Šternberka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47 571,00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13 069,84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26 360,00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03.11.2022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6 587,46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73 931,00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19 657,30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Lužice u Šternberka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178,96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3 473,00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1 235,61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Šternberk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4 350,00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760,04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81 754,00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21 652,95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22 361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26N15/21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03.07.2023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