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1210600015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3"/>
        </w:rPr>
        <w:t> </w:t>
      </w:r>
      <w:r>
        <w:rPr/>
        <w:t>Paseky</w:t>
      </w:r>
      <w:r>
        <w:rPr>
          <w:spacing w:val="-2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Paseky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Jizerou, č.p.</w:t>
      </w:r>
      <w:r>
        <w:rPr>
          <w:spacing w:val="-2"/>
        </w:rPr>
        <w:t> </w:t>
      </w:r>
      <w:r>
        <w:rPr/>
        <w:t>242,</w:t>
      </w:r>
      <w:r>
        <w:rPr>
          <w:spacing w:val="-3"/>
        </w:rPr>
        <w:t> </w:t>
      </w:r>
      <w:r>
        <w:rPr/>
        <w:t>512</w:t>
      </w:r>
      <w:r>
        <w:rPr>
          <w:spacing w:val="1"/>
        </w:rPr>
        <w:t> </w:t>
      </w:r>
      <w:r>
        <w:rPr/>
        <w:t>47</w:t>
      </w:r>
      <w:r>
        <w:rPr>
          <w:spacing w:val="-2"/>
        </w:rPr>
        <w:t> </w:t>
      </w:r>
      <w:r>
        <w:rPr/>
        <w:t>Paseky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IČO:</w:t>
        <w:tab/>
        <w:t>00580791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Hanou</w:t>
      </w:r>
      <w:r>
        <w:rPr>
          <w:spacing w:val="-2"/>
        </w:rPr>
        <w:t> </w:t>
      </w:r>
      <w:r>
        <w:rPr/>
        <w:t>R ů</w:t>
      </w:r>
      <w:r>
        <w:rPr>
          <w:spacing w:val="-1"/>
        </w:rPr>
        <w:t> </w:t>
      </w:r>
      <w:r>
        <w:rPr/>
        <w:t>ž i</w:t>
      </w:r>
      <w:r>
        <w:rPr>
          <w:spacing w:val="-1"/>
        </w:rPr>
        <w:t> </w:t>
      </w:r>
      <w:r>
        <w:rPr/>
        <w:t>č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 v o 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94-54015451/0710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1210600015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598"/>
        <w:jc w:val="left"/>
      </w:pPr>
      <w:r>
        <w:rPr/>
        <w:t>„Rekonstrukce</w:t>
      </w:r>
      <w:r>
        <w:rPr>
          <w:spacing w:val="-3"/>
        </w:rPr>
        <w:t> </w:t>
      </w:r>
      <w:r>
        <w:rPr/>
        <w:t>místní</w:t>
      </w:r>
      <w:r>
        <w:rPr>
          <w:spacing w:val="-1"/>
        </w:rPr>
        <w:t> </w:t>
      </w:r>
      <w:r>
        <w:rPr/>
        <w:t>komunikace</w:t>
      </w:r>
      <w:r>
        <w:rPr>
          <w:spacing w:val="-1"/>
        </w:rPr>
        <w:t> </w:t>
      </w:r>
      <w:r>
        <w:rPr/>
        <w:t>– Makov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etapa</w:t>
      </w:r>
      <w:r>
        <w:rPr>
          <w:spacing w:val="-2"/>
        </w:rPr>
        <w:t> </w:t>
      </w:r>
      <w:r>
        <w:rPr/>
        <w:t>II,</w:t>
      </w:r>
      <w:r>
        <w:rPr>
          <w:spacing w:val="-3"/>
        </w:rPr>
        <w:t> </w:t>
      </w:r>
      <w:r>
        <w:rPr/>
        <w:t>Paseky</w:t>
      </w:r>
      <w:r>
        <w:rPr>
          <w:spacing w:val="-3"/>
        </w:rPr>
        <w:t> </w:t>
      </w:r>
      <w:r>
        <w:rPr/>
        <w:t>nad</w:t>
      </w:r>
      <w:r>
        <w:rPr>
          <w:spacing w:val="-4"/>
        </w:rPr>
        <w:t> </w:t>
      </w:r>
      <w:r>
        <w:rPr/>
        <w:t>Jizerou“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2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000 000,00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sz w:val="22"/>
        </w:rPr>
        <w:t>slovy:</w:t>
      </w:r>
    </w:p>
    <w:p>
      <w:pPr>
        <w:spacing w:before="0"/>
        <w:ind w:left="665" w:right="0" w:firstLine="0"/>
        <w:jc w:val="both"/>
        <w:rPr>
          <w:sz w:val="20"/>
        </w:rPr>
      </w:pPr>
      <w:r>
        <w:rPr>
          <w:sz w:val="22"/>
        </w:rPr>
        <w:t>čtyři</w:t>
      </w:r>
      <w:r>
        <w:rPr>
          <w:spacing w:val="-4"/>
          <w:sz w:val="22"/>
        </w:rPr>
        <w:t> </w:t>
      </w:r>
      <w:r>
        <w:rPr>
          <w:sz w:val="22"/>
        </w:rPr>
        <w:t>milióny</w:t>
      </w:r>
      <w:r>
        <w:rPr>
          <w:spacing w:val="-1"/>
          <w:sz w:val="22"/>
        </w:rPr>
        <w:t> </w:t>
      </w:r>
      <w:r>
        <w:rPr>
          <w:sz w:val="22"/>
        </w:rPr>
        <w:t>korun</w:t>
      </w:r>
      <w:r>
        <w:rPr>
          <w:spacing w:val="-6"/>
          <w:sz w:val="22"/>
        </w:rPr>
        <w:t> </w:t>
      </w:r>
      <w:r>
        <w:rPr>
          <w:sz w:val="22"/>
        </w:rPr>
        <w:t>českých)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</w:t>
      </w:r>
      <w:r>
        <w:rPr>
          <w:spacing w:val="1"/>
          <w:sz w:val="20"/>
        </w:rPr>
        <w:t> </w:t>
      </w:r>
      <w:r>
        <w:rPr>
          <w:sz w:val="20"/>
        </w:rPr>
        <w:t>655</w:t>
      </w:r>
      <w:r>
        <w:rPr>
          <w:spacing w:val="1"/>
          <w:sz w:val="20"/>
        </w:rPr>
        <w:t> </w:t>
      </w:r>
      <w:r>
        <w:rPr>
          <w:sz w:val="20"/>
        </w:rPr>
        <w:t>668,00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70,73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</w:t>
      </w:r>
      <w:r>
        <w:rPr>
          <w:spacing w:val="1"/>
          <w:sz w:val="20"/>
        </w:rPr>
        <w:t> </w:t>
      </w:r>
      <w:r>
        <w:rPr>
          <w:sz w:val="20"/>
        </w:rPr>
        <w:t>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  <w:jc w:val="left"/>
      </w:pPr>
      <w:r>
        <w:rPr/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spacing w:before="1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3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2409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9" w:right="18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000 000,00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2"/>
          <w:sz w:val="20"/>
        </w:rPr>
        <w:t> </w:t>
      </w:r>
      <w:r>
        <w:rPr>
          <w:sz w:val="20"/>
        </w:rPr>
        <w:t>nevyčerpané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daném</w:t>
      </w:r>
      <w:r>
        <w:rPr>
          <w:spacing w:val="13"/>
          <w:sz w:val="20"/>
        </w:rPr>
        <w:t> </w:t>
      </w:r>
      <w:r>
        <w:rPr>
          <w:sz w:val="20"/>
        </w:rPr>
        <w:t>roce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vrácené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zvýší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objem</w:t>
      </w:r>
      <w:r>
        <w:rPr>
          <w:spacing w:val="15"/>
          <w:sz w:val="20"/>
        </w:rPr>
        <w:t> </w:t>
      </w:r>
      <w:r>
        <w:rPr>
          <w:sz w:val="20"/>
        </w:rPr>
        <w:t>následujícího</w:t>
      </w:r>
      <w:r>
        <w:rPr>
          <w:spacing w:val="13"/>
          <w:sz w:val="20"/>
        </w:rPr>
        <w:t> </w:t>
      </w:r>
      <w:r>
        <w:rPr>
          <w:sz w:val="20"/>
        </w:rPr>
        <w:t>roku,</w:t>
      </w:r>
      <w:r>
        <w:rPr>
          <w:spacing w:val="12"/>
          <w:sz w:val="20"/>
        </w:rPr>
        <w:t> </w:t>
      </w:r>
      <w:r>
        <w:rPr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</w:pPr>
      <w:r>
        <w:rPr/>
        <w:t>Fond</w:t>
      </w:r>
      <w:r>
        <w:rPr>
          <w:spacing w:val="-3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4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5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5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 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9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projektové</w:t>
      </w:r>
      <w:r>
        <w:rPr>
          <w:spacing w:val="-3"/>
          <w:sz w:val="20"/>
        </w:rPr>
        <w:t> </w:t>
      </w:r>
      <w:r>
        <w:rPr>
          <w:sz w:val="20"/>
        </w:rPr>
        <w:t>dokumentace</w:t>
      </w:r>
      <w:r>
        <w:rPr>
          <w:spacing w:val="-3"/>
          <w:sz w:val="20"/>
        </w:rPr>
        <w:t> </w:t>
      </w:r>
      <w:r>
        <w:rPr>
          <w:sz w:val="20"/>
        </w:rPr>
        <w:t>"Rekonstrukce</w:t>
      </w:r>
      <w:r>
        <w:rPr>
          <w:spacing w:val="-3"/>
          <w:sz w:val="20"/>
        </w:rPr>
        <w:t> </w:t>
      </w:r>
      <w:r>
        <w:rPr>
          <w:sz w:val="20"/>
        </w:rPr>
        <w:t>místní</w:t>
      </w:r>
      <w:r>
        <w:rPr>
          <w:spacing w:val="-3"/>
          <w:sz w:val="20"/>
        </w:rPr>
        <w:t> </w:t>
      </w:r>
      <w:r>
        <w:rPr>
          <w:sz w:val="20"/>
        </w:rPr>
        <w:t>komunikace</w:t>
      </w:r>
      <w:r>
        <w:rPr>
          <w:spacing w:val="5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Makov</w:t>
      </w:r>
      <w:r>
        <w:rPr>
          <w:spacing w:val="-1"/>
          <w:sz w:val="20"/>
        </w:rPr>
        <w:t> </w:t>
      </w:r>
      <w:r>
        <w:rPr>
          <w:sz w:val="20"/>
        </w:rPr>
        <w:t>–</w:t>
      </w:r>
    </w:p>
    <w:p>
      <w:pPr>
        <w:pStyle w:val="BodyText"/>
        <w:ind w:left="1063"/>
      </w:pPr>
      <w:r>
        <w:rPr/>
        <w:t>etapa</w:t>
      </w:r>
      <w:r>
        <w:rPr>
          <w:spacing w:val="-4"/>
        </w:rPr>
        <w:t> </w:t>
      </w:r>
      <w:r>
        <w:rPr/>
        <w:t>II,</w:t>
      </w:r>
      <w:r>
        <w:rPr>
          <w:spacing w:val="-3"/>
        </w:rPr>
        <w:t> </w:t>
      </w:r>
      <w:r>
        <w:rPr/>
        <w:t>Paseky</w:t>
      </w:r>
      <w:r>
        <w:rPr>
          <w:spacing w:val="-4"/>
        </w:rPr>
        <w:t> </w:t>
      </w:r>
      <w:r>
        <w:rPr/>
        <w:t>nad</w:t>
      </w:r>
      <w:r>
        <w:rPr>
          <w:spacing w:val="-3"/>
        </w:rPr>
        <w:t> </w:t>
      </w:r>
      <w:r>
        <w:rPr/>
        <w:t>Jizerou",</w:t>
      </w:r>
      <w:r>
        <w:rPr>
          <w:spacing w:val="-3"/>
        </w:rPr>
        <w:t> </w:t>
      </w:r>
      <w:r>
        <w:rPr/>
        <w:t>zpracované</w:t>
      </w:r>
      <w:r>
        <w:rPr>
          <w:spacing w:val="-4"/>
        </w:rPr>
        <w:t> </w:t>
      </w:r>
      <w:r>
        <w:rPr/>
        <w:t>Ing.</w:t>
      </w:r>
      <w:r>
        <w:rPr>
          <w:spacing w:val="-2"/>
        </w:rPr>
        <w:t> </w:t>
      </w:r>
      <w:r>
        <w:rPr/>
        <w:t>Jiřím</w:t>
      </w:r>
      <w:r>
        <w:rPr>
          <w:spacing w:val="-1"/>
        </w:rPr>
        <w:t> </w:t>
      </w:r>
      <w:r>
        <w:rPr/>
        <w:t>Jodlem</w:t>
      </w:r>
      <w:r>
        <w:rPr>
          <w:spacing w:val="-2"/>
        </w:rPr>
        <w:t> </w:t>
      </w:r>
      <w:r>
        <w:rPr/>
        <w:t>(12/2020),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rekonstrukci</w:t>
      </w:r>
      <w:r>
        <w:rPr>
          <w:spacing w:val="-2"/>
          <w:sz w:val="20"/>
        </w:rPr>
        <w:t> </w:t>
      </w:r>
      <w:r>
        <w:rPr>
          <w:sz w:val="20"/>
        </w:rPr>
        <w:t>komunikace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obci</w:t>
      </w:r>
      <w:r>
        <w:rPr>
          <w:spacing w:val="-2"/>
          <w:sz w:val="20"/>
        </w:rPr>
        <w:t> </w:t>
      </w:r>
      <w:r>
        <w:rPr>
          <w:sz w:val="20"/>
        </w:rPr>
        <w:t>Paseky</w:t>
      </w:r>
      <w:r>
        <w:rPr>
          <w:spacing w:val="-2"/>
          <w:sz w:val="20"/>
        </w:rPr>
        <w:t> </w:t>
      </w:r>
      <w:r>
        <w:rPr>
          <w:sz w:val="20"/>
        </w:rPr>
        <w:t>nad</w:t>
      </w:r>
      <w:r>
        <w:rPr>
          <w:spacing w:val="-3"/>
          <w:sz w:val="20"/>
        </w:rPr>
        <w:t> </w:t>
      </w:r>
      <w:r>
        <w:rPr>
          <w:sz w:val="20"/>
        </w:rPr>
        <w:t>Jizerou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délce</w:t>
      </w:r>
      <w:r>
        <w:rPr>
          <w:spacing w:val="-3"/>
          <w:sz w:val="20"/>
        </w:rPr>
        <w:t> </w:t>
      </w:r>
      <w:r>
        <w:rPr>
          <w:sz w:val="20"/>
        </w:rPr>
        <w:t>534</w:t>
      </w:r>
      <w:r>
        <w:rPr>
          <w:spacing w:val="-1"/>
          <w:sz w:val="20"/>
        </w:rPr>
        <w:t> </w:t>
      </w:r>
      <w:r>
        <w:rPr>
          <w:sz w:val="20"/>
        </w:rPr>
        <w:t>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8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8"/>
          <w:sz w:val="20"/>
        </w:rPr>
        <w:t> </w:t>
      </w:r>
      <w:r>
        <w:rPr>
          <w:sz w:val="20"/>
        </w:rPr>
        <w:t>byla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0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platném</w:t>
      </w:r>
      <w:r>
        <w:rPr>
          <w:spacing w:val="22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29"/>
          <w:sz w:val="20"/>
        </w:rPr>
        <w:t> </w:t>
      </w:r>
      <w:r>
        <w:rPr>
          <w:sz w:val="20"/>
        </w:rPr>
        <w:t>v platném</w:t>
      </w:r>
      <w:r>
        <w:rPr>
          <w:spacing w:val="30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> </w:t>
      </w:r>
      <w:r>
        <w:rPr>
          <w:sz w:val="20"/>
        </w:rPr>
        <w:t>tzv.</w:t>
      </w:r>
      <w:r>
        <w:rPr>
          <w:spacing w:val="23"/>
          <w:sz w:val="20"/>
        </w:rPr>
        <w:t> </w:t>
      </w:r>
      <w:r>
        <w:rPr>
          <w:sz w:val="20"/>
        </w:rPr>
        <w:t>dvojímu</w:t>
      </w:r>
      <w:r>
        <w:rPr>
          <w:spacing w:val="22"/>
          <w:sz w:val="20"/>
        </w:rPr>
        <w:t> </w:t>
      </w:r>
      <w:r>
        <w:rPr>
          <w:sz w:val="20"/>
        </w:rPr>
        <w:t>financování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n)</w:t>
      </w:r>
      <w:r>
        <w:rPr>
          <w:spacing w:val="23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jedná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projekt</w:t>
      </w:r>
    </w:p>
    <w:p>
      <w:pPr>
        <w:pStyle w:val="BodyText"/>
        <w:ind w:left="1063"/>
      </w:pP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podporované</w:t>
      </w:r>
      <w:r>
        <w:rPr>
          <w:spacing w:val="-3"/>
        </w:rPr>
        <w:t> </w:t>
      </w:r>
      <w:r>
        <w:rPr/>
        <w:t>aktivity</w:t>
      </w:r>
      <w:r>
        <w:rPr>
          <w:spacing w:val="-3"/>
        </w:rPr>
        <w:t> </w:t>
      </w:r>
      <w:r>
        <w:rPr/>
        <w:t>5.5.C</w:t>
      </w:r>
      <w:r>
        <w:rPr>
          <w:spacing w:val="-3"/>
        </w:rPr>
        <w:t> </w:t>
      </w:r>
      <w:r>
        <w:rPr/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termín dokončení akce do konce 05/2023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5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5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6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převzetí</w:t>
      </w:r>
      <w:r>
        <w:rPr>
          <w:spacing w:val="-53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04/2023,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11/2023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6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kolaudační</w:t>
      </w:r>
      <w:r>
        <w:rPr>
          <w:spacing w:val="-4"/>
          <w:sz w:val="20"/>
        </w:rPr>
        <w:t> </w:t>
      </w:r>
      <w:r>
        <w:rPr>
          <w:sz w:val="20"/>
        </w:rPr>
        <w:t>souhlas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BodyText"/>
        <w:spacing w:before="121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 závazků vůči Fondu. Protokol 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9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5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 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49"/>
      </w:pPr>
      <w:r>
        <w:rPr/>
        <w:t>V.</w:t>
      </w:r>
    </w:p>
    <w:p>
      <w:pPr>
        <w:pStyle w:val="Heading2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3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8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8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2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e)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2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článku</w:t>
      </w:r>
      <w:r>
        <w:rPr>
          <w:spacing w:val="13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3"/>
          <w:sz w:val="20"/>
        </w:rPr>
        <w:t> </w:t>
      </w:r>
      <w:r>
        <w:rPr>
          <w:sz w:val="20"/>
        </w:rPr>
        <w:t>c)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0,5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10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0"/>
          <w:sz w:val="20"/>
        </w:rPr>
        <w:t> </w:t>
      </w:r>
      <w:r>
        <w:rPr>
          <w:sz w:val="20"/>
        </w:rPr>
        <w:t>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> </w:t>
      </w:r>
      <w:r>
        <w:rPr>
          <w:sz w:val="20"/>
        </w:rPr>
        <w:t>ostatních</w:t>
      </w:r>
      <w:r>
        <w:rPr>
          <w:spacing w:val="9"/>
          <w:sz w:val="20"/>
        </w:rPr>
        <w:t> </w:t>
      </w:r>
      <w:r>
        <w:rPr>
          <w:sz w:val="20"/>
        </w:rPr>
        <w:t>povinností</w:t>
      </w:r>
      <w:r>
        <w:rPr>
          <w:spacing w:val="8"/>
          <w:sz w:val="20"/>
        </w:rPr>
        <w:t> </w:t>
      </w:r>
      <w:r>
        <w:rPr>
          <w:sz w:val="20"/>
        </w:rPr>
        <w:t>podle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8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9"/>
          <w:sz w:val="20"/>
        </w:rPr>
        <w:t> </w:t>
      </w:r>
      <w:r>
        <w:rPr>
          <w:sz w:val="20"/>
        </w:rPr>
        <w:t>odvodem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8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%</w:t>
      </w:r>
      <w:r>
        <w:rPr>
          <w:spacing w:val="9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/>
        <w:t>podpory.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49"/>
      </w:pPr>
      <w:r>
        <w:rPr/>
        <w:t>VI.</w:t>
      </w:r>
    </w:p>
    <w:p>
      <w:pPr>
        <w:pStyle w:val="Heading2"/>
        <w:spacing w:before="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" w:after="0"/>
        <w:ind w:left="665" w:right="13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spacing w:after="0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1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61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3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4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6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jc w:val="left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0515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2023-07-04T05:41:44Z</dcterms:created>
  <dcterms:modified xsi:type="dcterms:W3CDTF">2023-07-04T05:41:44Z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2023-07-04T00:00:00Z</vt:filetime>
  </property>
</Properties>
</file>