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4C22" w14:textId="77777777" w:rsidR="00104DB6" w:rsidRDefault="00104DB6" w:rsidP="00104DB6">
      <w:pPr>
        <w:pStyle w:val="Nadpis1"/>
      </w:pPr>
      <w:r>
        <w:t xml:space="preserve">dodatek č. 1 </w:t>
      </w:r>
    </w:p>
    <w:p w14:paraId="2C3F9FCD" w14:textId="65B64EDE" w:rsidR="00104DB6" w:rsidRPr="008824DD" w:rsidRDefault="00104DB6" w:rsidP="00104DB6">
      <w:pPr>
        <w:pStyle w:val="Nadpis1"/>
      </w:pPr>
      <w:r>
        <w:t>ke s</w:t>
      </w:r>
      <w:r w:rsidRPr="008824DD">
        <w:t>mlouv</w:t>
      </w:r>
      <w:r>
        <w:t>ě o plnění veřejné zakázky</w:t>
      </w:r>
    </w:p>
    <w:p w14:paraId="1FE2413C" w14:textId="77777777" w:rsidR="00104DB6" w:rsidRDefault="00104DB6" w:rsidP="00104DB6"/>
    <w:p w14:paraId="79A60A39" w14:textId="0E08FBAE" w:rsidR="00104DB6" w:rsidRDefault="00104DB6" w:rsidP="00104DB6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 xml:space="preserve">uzavřené podle § 1746 odst. 2 </w:t>
      </w:r>
      <w:r w:rsidRPr="007B0FF6">
        <w:rPr>
          <w:rFonts w:ascii="Crabath Text Medium" w:hAnsi="Crabath Text Medium"/>
        </w:rPr>
        <w:t>a násl. zákona č. 89/2012 Sb. občanský zákoník, ve znění pozdějších předpisů</w:t>
      </w:r>
    </w:p>
    <w:p w14:paraId="45ED5265" w14:textId="77777777" w:rsidR="00104DB6" w:rsidRDefault="00104DB6" w:rsidP="00104DB6"/>
    <w:p w14:paraId="272EB33A" w14:textId="77777777" w:rsidR="00104DB6" w:rsidRDefault="00104DB6" w:rsidP="00104DB6"/>
    <w:p w14:paraId="3C7EBDFD" w14:textId="45C5AC65" w:rsidR="00104DB6" w:rsidRDefault="00104DB6" w:rsidP="00104DB6">
      <w:r>
        <w:t xml:space="preserve">mezi </w:t>
      </w:r>
    </w:p>
    <w:p w14:paraId="654B6FD2" w14:textId="77777777" w:rsidR="00104DB6" w:rsidRPr="00F41175" w:rsidRDefault="00104DB6" w:rsidP="00104DB6">
      <w:pPr>
        <w:spacing w:after="360"/>
        <w:ind w:left="720" w:hanging="720"/>
        <w:rPr>
          <w:rFonts w:ascii="Crabath Text Medium" w:hAnsi="Crabath Text Medium"/>
          <w:sz w:val="23"/>
          <w:szCs w:val="23"/>
        </w:rPr>
      </w:pPr>
      <w:r w:rsidRPr="00F41175">
        <w:rPr>
          <w:rFonts w:ascii="Crabath Text Medium" w:hAnsi="Crabath Text Medium"/>
          <w:sz w:val="23"/>
          <w:szCs w:val="23"/>
        </w:rPr>
        <w:t>Prague City Tourism a.s.</w:t>
      </w:r>
    </w:p>
    <w:p w14:paraId="1A0DAE1F" w14:textId="77777777" w:rsidR="00104DB6" w:rsidRPr="00F41175" w:rsidRDefault="00104DB6" w:rsidP="00A8691B">
      <w:pPr>
        <w:spacing w:after="0"/>
        <w:ind w:left="720" w:hanging="720"/>
      </w:pPr>
      <w:r w:rsidRPr="00F41175">
        <w:rPr>
          <w:rFonts w:ascii="Crabath Text Medium" w:hAnsi="Crabath Text Medium"/>
        </w:rPr>
        <w:t>se sídlem</w:t>
      </w:r>
      <w:r w:rsidRPr="00F41175">
        <w:rPr>
          <w:rFonts w:ascii="Crabath Text Medium" w:hAnsi="Crabath Text Medium"/>
        </w:rPr>
        <w:tab/>
      </w:r>
      <w:r w:rsidRPr="00F41175">
        <w:tab/>
        <w:t xml:space="preserve">Žatecká 110/2, 110 00 Praha 1 </w:t>
      </w:r>
      <w:r w:rsidRPr="00F41175">
        <w:rPr>
          <w:rFonts w:eastAsiaTheme="majorEastAsia"/>
        </w:rPr>
        <w:t>—</w:t>
      </w:r>
      <w:r w:rsidRPr="00F41175">
        <w:t xml:space="preserve"> Staré Město</w:t>
      </w:r>
    </w:p>
    <w:p w14:paraId="19DDA525" w14:textId="77777777" w:rsidR="00104DB6" w:rsidRPr="00F41175" w:rsidRDefault="00104DB6" w:rsidP="00A8691B">
      <w:pPr>
        <w:spacing w:after="0"/>
        <w:ind w:left="2160"/>
      </w:pPr>
      <w:r w:rsidRPr="00F41175">
        <w:t xml:space="preserve">zapsaná v obchodním rejstříku vedeném Městským soudem v Praze </w:t>
      </w:r>
      <w:r w:rsidRPr="00F41175">
        <w:br/>
      </w:r>
      <w:r>
        <w:t>oddíl</w:t>
      </w:r>
      <w:r w:rsidRPr="00F41175">
        <w:t xml:space="preserve"> B</w:t>
      </w:r>
      <w:r>
        <w:t>, vložka</w:t>
      </w:r>
      <w:r w:rsidRPr="00F41175">
        <w:t xml:space="preserve"> 23670</w:t>
      </w:r>
    </w:p>
    <w:p w14:paraId="671533A9" w14:textId="77777777" w:rsidR="00104DB6" w:rsidRPr="00F41175" w:rsidRDefault="00104DB6" w:rsidP="00A8691B">
      <w:pPr>
        <w:spacing w:after="0"/>
        <w:ind w:left="720" w:hanging="720"/>
      </w:pPr>
      <w:r w:rsidRPr="00F41175">
        <w:rPr>
          <w:rFonts w:ascii="Crabath Text Medium" w:hAnsi="Crabath Text Medium"/>
        </w:rPr>
        <w:t>IČO</w:t>
      </w:r>
      <w:r w:rsidRPr="00F41175">
        <w:tab/>
      </w:r>
      <w:r w:rsidRPr="00F41175">
        <w:tab/>
      </w:r>
      <w:r w:rsidRPr="00F41175">
        <w:tab/>
        <w:t>07312890</w:t>
      </w:r>
    </w:p>
    <w:p w14:paraId="336BD594" w14:textId="77777777" w:rsidR="00104DB6" w:rsidRPr="00F41175" w:rsidRDefault="00104DB6" w:rsidP="00A8691B">
      <w:pPr>
        <w:spacing w:after="0"/>
        <w:ind w:left="720" w:hanging="720"/>
      </w:pPr>
      <w:r w:rsidRPr="00F41175">
        <w:rPr>
          <w:rFonts w:ascii="Crabath Text Medium" w:hAnsi="Crabath Text Medium"/>
        </w:rPr>
        <w:t>DIČ</w:t>
      </w:r>
      <w:r w:rsidRPr="00F41175">
        <w:rPr>
          <w:rFonts w:ascii="Crabath Text Medium" w:hAnsi="Crabath Text Medium"/>
        </w:rPr>
        <w:tab/>
      </w:r>
      <w:r w:rsidRPr="00F41175">
        <w:rPr>
          <w:rFonts w:ascii="Crabath Text Medium" w:hAnsi="Crabath Text Medium"/>
        </w:rPr>
        <w:tab/>
      </w:r>
      <w:r w:rsidRPr="00F41175">
        <w:rPr>
          <w:rFonts w:ascii="Crabath Text Medium" w:hAnsi="Crabath Text Medium"/>
        </w:rPr>
        <w:tab/>
      </w:r>
      <w:r w:rsidRPr="00F41175">
        <w:t>CZ07312890</w:t>
      </w:r>
      <w:r>
        <w:t>, plátce DPH</w:t>
      </w:r>
    </w:p>
    <w:p w14:paraId="0E9F6D55" w14:textId="491FB37A" w:rsidR="00104DB6" w:rsidRDefault="00104DB6" w:rsidP="00A8691B">
      <w:pPr>
        <w:spacing w:after="0"/>
        <w:ind w:left="720" w:hanging="720"/>
      </w:pPr>
      <w:r w:rsidRPr="00F41175">
        <w:rPr>
          <w:rFonts w:ascii="Crabath Text Medium" w:hAnsi="Crabath Text Medium"/>
        </w:rPr>
        <w:t>zastoupená</w:t>
      </w:r>
      <w:r w:rsidRPr="00F41175">
        <w:tab/>
      </w:r>
      <w:r>
        <w:tab/>
        <w:t>Mgr. Janou Adamcovou, místopředsedkyní představenstva</w:t>
      </w:r>
    </w:p>
    <w:p w14:paraId="701D36B9" w14:textId="298EC4A3" w:rsidR="0048097F" w:rsidRDefault="0048097F" w:rsidP="0048097F">
      <w:pPr>
        <w:ind w:left="720" w:hanging="720"/>
      </w:pPr>
      <w:r>
        <w:tab/>
      </w:r>
      <w:r>
        <w:tab/>
      </w:r>
      <w:r>
        <w:tab/>
        <w:t>Ing. Miroslavem Karlem, MBA, členem představenstva</w:t>
      </w:r>
    </w:p>
    <w:p w14:paraId="15320B02" w14:textId="03C3F43B" w:rsidR="00104DB6" w:rsidRDefault="00104DB6" w:rsidP="00104DB6">
      <w:pPr>
        <w:spacing w:after="360"/>
      </w:pPr>
      <w:r>
        <w:t>dále jen „</w:t>
      </w:r>
      <w:r>
        <w:rPr>
          <w:rFonts w:ascii="Crabath Text Medium" w:hAnsi="Crabath Text Medium"/>
        </w:rPr>
        <w:t>O</w:t>
      </w:r>
      <w:r w:rsidRPr="00115219">
        <w:rPr>
          <w:rFonts w:ascii="Crabath Text Medium" w:hAnsi="Crabath Text Medium"/>
        </w:rPr>
        <w:t>bjednatel</w:t>
      </w:r>
      <w:r>
        <w:t>“</w:t>
      </w:r>
    </w:p>
    <w:p w14:paraId="3BDCF6E3" w14:textId="77777777" w:rsidR="00104DB6" w:rsidRDefault="00104DB6" w:rsidP="00104DB6">
      <w:pPr>
        <w:spacing w:after="360"/>
      </w:pPr>
      <w:r>
        <w:t xml:space="preserve">a </w:t>
      </w:r>
    </w:p>
    <w:p w14:paraId="6DE9197B" w14:textId="77777777" w:rsidR="00104DB6" w:rsidRPr="00026C34" w:rsidRDefault="00104DB6" w:rsidP="00104DB6">
      <w:pPr>
        <w:pStyle w:val="Nadpis2"/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MindBridge Consulting a.s.</w:t>
      </w:r>
    </w:p>
    <w:p w14:paraId="1A0666D7" w14:textId="77777777" w:rsidR="00104DB6" w:rsidRPr="008824DD" w:rsidRDefault="00104DB6" w:rsidP="00104DB6">
      <w:pPr>
        <w:spacing w:line="240" w:lineRule="auto"/>
        <w:rPr>
          <w:sz w:val="23"/>
          <w:szCs w:val="23"/>
        </w:rPr>
      </w:pPr>
    </w:p>
    <w:p w14:paraId="02A4111D" w14:textId="7F9DBAAB" w:rsidR="00104DB6" w:rsidRPr="0086575A" w:rsidRDefault="00104DB6" w:rsidP="00A8691B">
      <w:pPr>
        <w:spacing w:after="0"/>
        <w:rPr>
          <w:rFonts w:cstheme="minorHAnsi"/>
        </w:rPr>
      </w:pPr>
      <w:r w:rsidRPr="008824DD">
        <w:rPr>
          <w:rFonts w:ascii="Crabath Text Medium" w:hAnsi="Crabath Text Medium"/>
        </w:rPr>
        <w:t xml:space="preserve">se sídlem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>Geologická 2, 152 00 Praha 5 </w:t>
      </w:r>
    </w:p>
    <w:p w14:paraId="6B313231" w14:textId="77777777" w:rsidR="00104DB6" w:rsidRPr="00912503" w:rsidRDefault="00104DB6" w:rsidP="00A8691B">
      <w:pPr>
        <w:spacing w:after="0"/>
        <w:ind w:left="2126"/>
        <w:rPr>
          <w:rFonts w:cstheme="minorHAnsi"/>
        </w:rPr>
      </w:pPr>
      <w:r w:rsidRPr="0086575A">
        <w:rPr>
          <w:rFonts w:cstheme="minorHAnsi"/>
        </w:rPr>
        <w:t>zapsaná v </w:t>
      </w:r>
      <w:r w:rsidRPr="00912503">
        <w:rPr>
          <w:rFonts w:cstheme="minorHAnsi"/>
        </w:rPr>
        <w:t>obchodním rejstříku vedeném Městským soudem v Praze</w:t>
      </w:r>
    </w:p>
    <w:p w14:paraId="595F6588" w14:textId="6AC045E6" w:rsidR="00104DB6" w:rsidRPr="0086575A" w:rsidRDefault="00104DB6" w:rsidP="00A8691B">
      <w:pPr>
        <w:spacing w:after="0"/>
        <w:ind w:left="2124"/>
        <w:rPr>
          <w:rFonts w:cstheme="minorHAnsi"/>
        </w:rPr>
      </w:pPr>
      <w:r w:rsidRPr="00912503">
        <w:rPr>
          <w:rFonts w:cstheme="minorHAnsi"/>
        </w:rPr>
        <w:t xml:space="preserve">oddíl B, vložka </w:t>
      </w:r>
      <w:r w:rsidR="00BE35A7" w:rsidRPr="00912503">
        <w:rPr>
          <w:rFonts w:cstheme="minorHAnsi"/>
        </w:rPr>
        <w:t>13242</w:t>
      </w:r>
    </w:p>
    <w:p w14:paraId="3BC6FA2F" w14:textId="04B7D84D" w:rsidR="00104DB6" w:rsidRPr="008824DD" w:rsidRDefault="00104DB6" w:rsidP="00A8691B">
      <w:pPr>
        <w:spacing w:after="0"/>
        <w:rPr>
          <w:rFonts w:ascii="Crabath Text Medium" w:hAnsi="Crabath Text Medium"/>
        </w:rPr>
      </w:pPr>
      <w:r w:rsidRPr="008824DD">
        <w:rPr>
          <w:rFonts w:ascii="Crabath Text Medium" w:hAnsi="Crabath Text Medium"/>
        </w:rPr>
        <w:t xml:space="preserve">IČO: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>28211308</w:t>
      </w:r>
    </w:p>
    <w:p w14:paraId="5B78A681" w14:textId="106E98FB" w:rsidR="00104DB6" w:rsidRPr="008824DD" w:rsidRDefault="00104DB6" w:rsidP="00A8691B">
      <w:pPr>
        <w:spacing w:after="0"/>
        <w:rPr>
          <w:rFonts w:ascii="Crabath Text Medium" w:hAnsi="Crabath Text Medium"/>
        </w:rPr>
      </w:pPr>
      <w:r w:rsidRPr="008824DD">
        <w:rPr>
          <w:rFonts w:ascii="Crabath Text Medium" w:hAnsi="Crabath Text Medium"/>
        </w:rPr>
        <w:t xml:space="preserve">DIČ: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8824DD">
        <w:rPr>
          <w:rFonts w:cstheme="minorHAnsi"/>
        </w:rPr>
        <w:t>CZ</w:t>
      </w:r>
      <w:r>
        <w:t>28211308</w:t>
      </w:r>
      <w:r>
        <w:rPr>
          <w:rFonts w:cstheme="minorHAnsi"/>
        </w:rPr>
        <w:t>, plátce DPH</w:t>
      </w:r>
    </w:p>
    <w:p w14:paraId="3E987D01" w14:textId="2CDA7B0D" w:rsidR="00104DB6" w:rsidRPr="008824DD" w:rsidRDefault="00104DB6" w:rsidP="00104DB6">
      <w:r w:rsidRPr="008824DD">
        <w:rPr>
          <w:rFonts w:ascii="Crabath Text Medium" w:hAnsi="Crabath Text Medium"/>
        </w:rPr>
        <w:t xml:space="preserve">zastoupená: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>Ing. Ladislavem Klikou, předsedou představenstva</w:t>
      </w:r>
    </w:p>
    <w:p w14:paraId="7B00568B" w14:textId="29124F85" w:rsidR="00104DB6" w:rsidRDefault="00104DB6" w:rsidP="00104DB6">
      <w:r w:rsidRPr="008824DD">
        <w:t>dále jen „</w:t>
      </w:r>
      <w:r>
        <w:t>Poskytovatel</w:t>
      </w:r>
      <w:r w:rsidRPr="008824DD">
        <w:t>“</w:t>
      </w:r>
    </w:p>
    <w:p w14:paraId="570501C3" w14:textId="7232801E" w:rsidR="00104DB6" w:rsidRPr="008824DD" w:rsidRDefault="00104DB6" w:rsidP="00104DB6">
      <w:r>
        <w:t>(společně Objednatel a Poskytovatel</w:t>
      </w:r>
      <w:r w:rsidR="00A8691B">
        <w:t xml:space="preserve"> </w:t>
      </w:r>
      <w:r>
        <w:t>též „smluvní strany“)</w:t>
      </w:r>
      <w:r w:rsidRPr="008824DD">
        <w:t xml:space="preserve"> </w:t>
      </w:r>
    </w:p>
    <w:p w14:paraId="76218C00" w14:textId="77777777" w:rsidR="00104DB6" w:rsidRDefault="00104DB6" w:rsidP="00104DB6">
      <w:pPr>
        <w:spacing w:after="160" w:line="259" w:lineRule="auto"/>
        <w:rPr>
          <w:rFonts w:ascii="Atyp BL Display Semibold" w:eastAsiaTheme="majorEastAsia" w:hAnsi="Atyp BL Display Semibold" w:cstheme="majorBidi"/>
          <w:sz w:val="26"/>
          <w:szCs w:val="26"/>
        </w:rPr>
      </w:pPr>
      <w:r>
        <w:br w:type="page"/>
      </w:r>
    </w:p>
    <w:p w14:paraId="0004C700" w14:textId="77777777" w:rsidR="00104DB6" w:rsidRDefault="00104DB6" w:rsidP="00104DB6">
      <w:pPr>
        <w:pStyle w:val="Nadpis2"/>
      </w:pPr>
      <w:r w:rsidRPr="006F5E19">
        <w:lastRenderedPageBreak/>
        <w:t>Preambule</w:t>
      </w:r>
    </w:p>
    <w:p w14:paraId="52530D29" w14:textId="6A955F84" w:rsidR="00104DB6" w:rsidRDefault="00104DB6" w:rsidP="00104DB6">
      <w:pPr>
        <w:pStyle w:val="predsazeni"/>
        <w:ind w:left="0" w:firstLine="0"/>
      </w:pPr>
      <w:r>
        <w:t xml:space="preserve">Smluvní strany </w:t>
      </w:r>
      <w:r w:rsidRPr="00823FF3">
        <w:t xml:space="preserve">uzavřely dne </w:t>
      </w:r>
      <w:r w:rsidR="00823FF3" w:rsidRPr="00823FF3">
        <w:t>6</w:t>
      </w:r>
      <w:r w:rsidRPr="00823FF3">
        <w:t xml:space="preserve">. </w:t>
      </w:r>
      <w:r w:rsidR="00823FF3" w:rsidRPr="00823FF3">
        <w:t>června</w:t>
      </w:r>
      <w:r w:rsidRPr="00823FF3">
        <w:t xml:space="preserve"> 2022 Smlouvu o plnění</w:t>
      </w:r>
      <w:r>
        <w:t xml:space="preserve"> veřejné zakázky a to na základě uskutečněného otevřeného výběrového řízení </w:t>
      </w:r>
      <w:r w:rsidRPr="007B0FF6">
        <w:t>veřejné zakázky malého rozsahu Objednatele s názvem „</w:t>
      </w:r>
      <w:r w:rsidRPr="00393E6F">
        <w:t>Mystery shopping kvality klientského servisu v hlavním městě Praze“</w:t>
      </w:r>
      <w:r w:rsidRPr="007B0FF6">
        <w:t xml:space="preserve"> </w:t>
      </w:r>
      <w:r>
        <w:t xml:space="preserve"> (dále jen „</w:t>
      </w:r>
      <w:r w:rsidRPr="00BB03E0">
        <w:rPr>
          <w:b/>
          <w:bCs/>
        </w:rPr>
        <w:t>Smlouva</w:t>
      </w:r>
      <w:r>
        <w:t>“). S ohledem na skutečnost, že Objednatel má ve správě/provozuje další objekty</w:t>
      </w:r>
      <w:r w:rsidR="00AD783E">
        <w:t>/touch pointy</w:t>
      </w:r>
      <w:r>
        <w:t>, o kterých v okamžiku realizace výběrového řízení nevěděl ani vědět nemohl</w:t>
      </w:r>
      <w:r w:rsidR="002E5FEC">
        <w:t xml:space="preserve">, že je </w:t>
      </w:r>
      <w:r w:rsidR="00307B72">
        <w:t xml:space="preserve">bude mít </w:t>
      </w:r>
      <w:r w:rsidR="002E5FEC">
        <w:t>ve správě</w:t>
      </w:r>
      <w:r w:rsidR="00307B72">
        <w:t>/bude provozovat</w:t>
      </w:r>
      <w:r w:rsidR="00EF2BB3">
        <w:t xml:space="preserve"> a zároveň</w:t>
      </w:r>
      <w:r w:rsidR="00DE4A44">
        <w:t xml:space="preserve"> </w:t>
      </w:r>
      <w:r>
        <w:t xml:space="preserve">má </w:t>
      </w:r>
      <w:r w:rsidR="00DE4A44">
        <w:t xml:space="preserve">Objednatel </w:t>
      </w:r>
      <w:r>
        <w:t>nyní zájem na rozšíření poskytovaného plnění Poskytovatele v těchto dalších objektech</w:t>
      </w:r>
      <w:r w:rsidR="00EF2BB3">
        <w:t>/touchpointech</w:t>
      </w:r>
      <w:r>
        <w:t xml:space="preserve">, uzavírají smluvní strany tento </w:t>
      </w:r>
      <w:r w:rsidR="00EF2BB3">
        <w:t>d</w:t>
      </w:r>
      <w:r>
        <w:t>odatek č. 1 ke Smlouvě.</w:t>
      </w:r>
      <w:r w:rsidR="003841CC">
        <w:t xml:space="preserve"> Jedná se o nepodstatnou </w:t>
      </w:r>
      <w:r w:rsidR="00DA48F9">
        <w:t xml:space="preserve">změnu závazku ze </w:t>
      </w:r>
      <w:r w:rsidR="00EF2BB3">
        <w:t>S</w:t>
      </w:r>
      <w:r w:rsidR="00DA48F9">
        <w:t xml:space="preserve">mlouvy a to s ohledem na skutečnost, že potřeba vznikla v důsledku okolností, které </w:t>
      </w:r>
      <w:r w:rsidR="00DC3A89">
        <w:t>Objednatel v pozici zadavatele</w:t>
      </w:r>
      <w:r w:rsidR="00DA48F9">
        <w:t xml:space="preserve"> nemohl </w:t>
      </w:r>
      <w:r w:rsidR="00F41990">
        <w:t xml:space="preserve">při uzavření Smlouvy předvídat, nemění celkovou povahu veřejné zakázky a hodnota </w:t>
      </w:r>
      <w:r w:rsidR="00F83892">
        <w:t>změny nepřekračuje 50% původní hodnoty závazku.</w:t>
      </w:r>
    </w:p>
    <w:p w14:paraId="572CC6A5" w14:textId="77777777" w:rsidR="00104DB6" w:rsidRPr="004E640D" w:rsidRDefault="00104DB6" w:rsidP="00104DB6">
      <w:pPr>
        <w:pStyle w:val="Nadpis2"/>
        <w:numPr>
          <w:ilvl w:val="0"/>
          <w:numId w:val="2"/>
        </w:numPr>
        <w:tabs>
          <w:tab w:val="num" w:pos="360"/>
        </w:tabs>
        <w:spacing w:after="200"/>
        <w:ind w:left="0" w:firstLine="0"/>
      </w:pPr>
      <w:r w:rsidRPr="004E640D">
        <w:t xml:space="preserve">Předmět </w:t>
      </w:r>
      <w:r>
        <w:t>d</w:t>
      </w:r>
      <w:r w:rsidRPr="004E640D">
        <w:t>odatku</w:t>
      </w:r>
    </w:p>
    <w:p w14:paraId="772BBAD7" w14:textId="77777777" w:rsidR="00104DB6" w:rsidRDefault="00104DB6" w:rsidP="007A64B5">
      <w:pPr>
        <w:pStyle w:val="odrazka"/>
        <w:numPr>
          <w:ilvl w:val="0"/>
          <w:numId w:val="0"/>
        </w:numPr>
        <w:ind w:left="357"/>
      </w:pPr>
      <w:r w:rsidRPr="004E640D">
        <w:t xml:space="preserve">Předmětem </w:t>
      </w:r>
      <w:r>
        <w:t>tohoto d</w:t>
      </w:r>
      <w:r w:rsidRPr="004E640D">
        <w:t xml:space="preserve">odatku </w:t>
      </w:r>
      <w:r>
        <w:t>jsou následující úpravy Smlouvy:</w:t>
      </w:r>
    </w:p>
    <w:p w14:paraId="6BCD8D18" w14:textId="710B8003" w:rsidR="00104DB6" w:rsidRDefault="00104DB6" w:rsidP="00104DB6">
      <w:pPr>
        <w:pStyle w:val="odrazka"/>
        <w:numPr>
          <w:ilvl w:val="1"/>
          <w:numId w:val="2"/>
        </w:numPr>
        <w:ind w:left="357" w:hanging="357"/>
      </w:pPr>
      <w:r>
        <w:t xml:space="preserve"> </w:t>
      </w:r>
      <w:r w:rsidR="007A64B5">
        <w:t xml:space="preserve">S ohledem na rozšíření rozsahu poskytovaných služeb sjednávají Smluvní strany změnu čl. 3.1 </w:t>
      </w:r>
      <w:r>
        <w:t>Smlouvy</w:t>
      </w:r>
      <w:r w:rsidR="007A64B5">
        <w:t>, který bude po nabytí účinnosti tohoto dodatku v následujícím znění:</w:t>
      </w:r>
    </w:p>
    <w:p w14:paraId="2C4F84AF" w14:textId="6755BC67" w:rsidR="007A64B5" w:rsidRPr="007A64B5" w:rsidRDefault="007A64B5" w:rsidP="007A64B5">
      <w:pPr>
        <w:pStyle w:val="odrazka"/>
        <w:numPr>
          <w:ilvl w:val="0"/>
          <w:numId w:val="0"/>
        </w:numPr>
        <w:ind w:left="357"/>
        <w:rPr>
          <w:i/>
          <w:iCs/>
        </w:rPr>
      </w:pPr>
      <w:r w:rsidRPr="007A64B5">
        <w:rPr>
          <w:i/>
          <w:iCs/>
        </w:rPr>
        <w:t xml:space="preserve">Smluvní strany se dohodly, že </w:t>
      </w:r>
      <w:r w:rsidRPr="007D328D">
        <w:rPr>
          <w:i/>
          <w:iCs/>
        </w:rPr>
        <w:t xml:space="preserve">Poskytovateli náleží za řádné a včasné poskytnutí veškerého plnění a služeb dle této Smlouvy částka </w:t>
      </w:r>
      <w:r w:rsidRPr="00FF4A82">
        <w:rPr>
          <w:i/>
          <w:iCs/>
        </w:rPr>
        <w:t xml:space="preserve">ve výši </w:t>
      </w:r>
      <w:proofErr w:type="gramStart"/>
      <w:r w:rsidRPr="00FF4A82">
        <w:rPr>
          <w:i/>
          <w:iCs/>
        </w:rPr>
        <w:t>742.200,-</w:t>
      </w:r>
      <w:proofErr w:type="gramEnd"/>
      <w:r w:rsidRPr="00FF4A82">
        <w:rPr>
          <w:i/>
          <w:iCs/>
        </w:rPr>
        <w:t xml:space="preserve"> Kč bez DPH, 898.062, - Kč včetně DPH</w:t>
      </w:r>
      <w:r w:rsidRPr="007D328D">
        <w:rPr>
          <w:i/>
          <w:iCs/>
        </w:rPr>
        <w:t xml:space="preserve"> (dále jen</w:t>
      </w:r>
      <w:r w:rsidRPr="007A64B5">
        <w:rPr>
          <w:i/>
          <w:iCs/>
        </w:rPr>
        <w:t xml:space="preserve"> „</w:t>
      </w:r>
      <w:r w:rsidRPr="007A64B5">
        <w:rPr>
          <w:b/>
          <w:bCs/>
          <w:i/>
          <w:iCs/>
        </w:rPr>
        <w:t>Smluvní cena</w:t>
      </w:r>
      <w:r w:rsidRPr="007A64B5">
        <w:rPr>
          <w:i/>
          <w:iCs/>
        </w:rPr>
        <w:t>“).</w:t>
      </w:r>
    </w:p>
    <w:p w14:paraId="45A0D62A" w14:textId="7242366F" w:rsidR="007A64B5" w:rsidRDefault="007A64B5" w:rsidP="00104DB6">
      <w:pPr>
        <w:pStyle w:val="odrazka"/>
        <w:numPr>
          <w:ilvl w:val="1"/>
          <w:numId w:val="2"/>
        </w:numPr>
        <w:spacing w:after="360"/>
      </w:pPr>
      <w:r>
        <w:t>Smluvní strany sjednávají změnu Přílohy č. 1 Smlouvy</w:t>
      </w:r>
      <w:r w:rsidR="004909C3">
        <w:t xml:space="preserve"> – Popis nabízených služeb</w:t>
      </w:r>
      <w:r>
        <w:t xml:space="preserve">, a to v tom smyslu, že dojde k následujícímu </w:t>
      </w:r>
      <w:r w:rsidR="00F800B0">
        <w:t>rozšíření</w:t>
      </w:r>
      <w:r>
        <w:t xml:space="preserve"> poskytovaných služeb</w:t>
      </w:r>
    </w:p>
    <w:p w14:paraId="3C62D5DD" w14:textId="52975121" w:rsidR="007A64B5" w:rsidRDefault="007A64B5" w:rsidP="007A64B5">
      <w:pPr>
        <w:pStyle w:val="odrazka"/>
        <w:numPr>
          <w:ilvl w:val="0"/>
          <w:numId w:val="0"/>
        </w:numPr>
        <w:ind w:left="357"/>
      </w:pPr>
      <w:r>
        <w:t>Nově zařazené objekty</w:t>
      </w:r>
      <w:r w:rsidR="008000C4">
        <w:t>/</w:t>
      </w:r>
      <w:proofErr w:type="spellStart"/>
      <w:r w:rsidR="008000C4">
        <w:t>touch</w:t>
      </w:r>
      <w:proofErr w:type="spellEnd"/>
      <w:r w:rsidR="008000C4">
        <w:t xml:space="preserve"> pointy</w:t>
      </w:r>
      <w:r>
        <w:t>, kde budu služby poskytovány</w:t>
      </w:r>
      <w:r w:rsidR="008000C4">
        <w:t>:</w:t>
      </w:r>
    </w:p>
    <w:p w14:paraId="2DE41428" w14:textId="77777777" w:rsidR="007A64B5" w:rsidRPr="007A64B5" w:rsidRDefault="007A64B5" w:rsidP="007A64B5">
      <w:pPr>
        <w:pStyle w:val="odrazka"/>
        <w:numPr>
          <w:ilvl w:val="0"/>
          <w:numId w:val="0"/>
        </w:numPr>
        <w:spacing w:after="0"/>
        <w:ind w:left="357"/>
      </w:pPr>
      <w:r w:rsidRPr="007A64B5">
        <w:t>Věž (meteorologická) Klementinum (2x) 2023 + (2x) 2024</w:t>
      </w:r>
    </w:p>
    <w:p w14:paraId="21E6146E" w14:textId="77777777" w:rsidR="007A64B5" w:rsidRPr="007A64B5" w:rsidRDefault="007A64B5" w:rsidP="007A64B5">
      <w:pPr>
        <w:pStyle w:val="odrazka"/>
        <w:numPr>
          <w:ilvl w:val="0"/>
          <w:numId w:val="0"/>
        </w:numPr>
        <w:spacing w:after="0"/>
        <w:ind w:left="357"/>
      </w:pPr>
      <w:r w:rsidRPr="007A64B5">
        <w:t>TIC na Pražském hradě až (2x) 2024</w:t>
      </w:r>
    </w:p>
    <w:p w14:paraId="12AA87E5" w14:textId="72D917A8" w:rsidR="007A64B5" w:rsidRPr="007A64B5" w:rsidRDefault="007A64B5" w:rsidP="007A64B5">
      <w:pPr>
        <w:pStyle w:val="odrazka"/>
        <w:numPr>
          <w:ilvl w:val="0"/>
          <w:numId w:val="0"/>
        </w:numPr>
        <w:spacing w:after="0"/>
        <w:ind w:left="357"/>
      </w:pPr>
      <w:r w:rsidRPr="007A64B5">
        <w:t xml:space="preserve">Nový typ touch pointu: Tram 42 </w:t>
      </w:r>
      <w:r w:rsidR="009F76D4">
        <w:t xml:space="preserve">- </w:t>
      </w:r>
      <w:r w:rsidRPr="007A64B5">
        <w:t>5x v obou vlnách 2023 + (2x5) 2024</w:t>
      </w:r>
    </w:p>
    <w:p w14:paraId="332C1E0E" w14:textId="3E6C3368" w:rsidR="007A64B5" w:rsidRDefault="007A64B5" w:rsidP="007A64B5">
      <w:pPr>
        <w:pStyle w:val="odrazka"/>
        <w:numPr>
          <w:ilvl w:val="0"/>
          <w:numId w:val="0"/>
        </w:numPr>
        <w:spacing w:after="0"/>
        <w:ind w:left="357"/>
      </w:pPr>
      <w:r w:rsidRPr="007A64B5">
        <w:t xml:space="preserve">Nový typ </w:t>
      </w:r>
      <w:proofErr w:type="spellStart"/>
      <w:r w:rsidRPr="007A64B5">
        <w:t>touch</w:t>
      </w:r>
      <w:proofErr w:type="spellEnd"/>
      <w:r w:rsidRPr="007A64B5">
        <w:t xml:space="preserve"> pointu: </w:t>
      </w:r>
      <w:proofErr w:type="spellStart"/>
      <w:r w:rsidRPr="007A64B5">
        <w:t>Flagship</w:t>
      </w:r>
      <w:proofErr w:type="spellEnd"/>
      <w:r w:rsidRPr="007A64B5">
        <w:t xml:space="preserve"> </w:t>
      </w:r>
      <w:proofErr w:type="spellStart"/>
      <w:proofErr w:type="gramStart"/>
      <w:r w:rsidRPr="007A64B5">
        <w:t>Store</w:t>
      </w:r>
      <w:proofErr w:type="spellEnd"/>
      <w:r w:rsidRPr="007A64B5">
        <w:t xml:space="preserve"> </w:t>
      </w:r>
      <w:r w:rsidR="009F76D4">
        <w:t xml:space="preserve">- </w:t>
      </w:r>
      <w:r w:rsidRPr="007A64B5">
        <w:t>2x</w:t>
      </w:r>
      <w:proofErr w:type="gramEnd"/>
      <w:r w:rsidRPr="007A64B5">
        <w:t xml:space="preserve"> v 2. vlně 2023 + (2x2) 2024</w:t>
      </w:r>
    </w:p>
    <w:p w14:paraId="044BC0DA" w14:textId="77777777" w:rsidR="002F7019" w:rsidRDefault="002F7019" w:rsidP="007A64B5">
      <w:pPr>
        <w:pStyle w:val="odrazka"/>
        <w:numPr>
          <w:ilvl w:val="0"/>
          <w:numId w:val="0"/>
        </w:numPr>
        <w:spacing w:after="0"/>
        <w:ind w:left="357"/>
      </w:pPr>
    </w:p>
    <w:p w14:paraId="40C73591" w14:textId="5F48207F" w:rsidR="002F7019" w:rsidRDefault="002F7019" w:rsidP="007A64B5">
      <w:pPr>
        <w:pStyle w:val="odrazka"/>
        <w:numPr>
          <w:ilvl w:val="0"/>
          <w:numId w:val="0"/>
        </w:numPr>
        <w:spacing w:after="0"/>
        <w:ind w:left="357"/>
      </w:pPr>
      <w:r>
        <w:t xml:space="preserve">Počet testů – MS návštěv a rozklad </w:t>
      </w:r>
      <w:r w:rsidR="00843FA5">
        <w:t>navýšeného rozpočtu:</w:t>
      </w:r>
    </w:p>
    <w:p w14:paraId="39556430" w14:textId="77777777" w:rsidR="00921673" w:rsidRDefault="00921673" w:rsidP="007A64B5">
      <w:pPr>
        <w:pStyle w:val="odrazka"/>
        <w:numPr>
          <w:ilvl w:val="0"/>
          <w:numId w:val="0"/>
        </w:numPr>
        <w:spacing w:after="0"/>
        <w:ind w:left="357"/>
      </w:pPr>
    </w:p>
    <w:tbl>
      <w:tblPr>
        <w:tblStyle w:val="Mkatabulky"/>
        <w:tblpPr w:leftFromText="141" w:rightFromText="141" w:vertAnchor="text" w:horzAnchor="page" w:tblpX="2629" w:tblpY="71"/>
        <w:tblW w:w="0" w:type="auto"/>
        <w:tblLook w:val="0620" w:firstRow="1" w:lastRow="0" w:firstColumn="0" w:lastColumn="0" w:noHBand="1" w:noVBand="1"/>
      </w:tblPr>
      <w:tblGrid>
        <w:gridCol w:w="1560"/>
        <w:gridCol w:w="1559"/>
        <w:gridCol w:w="1275"/>
      </w:tblGrid>
      <w:tr w:rsidR="000F4693" w:rsidRPr="00735270" w14:paraId="0209D386" w14:textId="50A50B4C" w:rsidTr="000F4693">
        <w:trPr>
          <w:trHeight w:val="340"/>
        </w:trPr>
        <w:tc>
          <w:tcPr>
            <w:tcW w:w="1560" w:type="dxa"/>
            <w:shd w:val="clear" w:color="auto" w:fill="000000" w:themeFill="text1"/>
            <w:vAlign w:val="center"/>
          </w:tcPr>
          <w:p w14:paraId="6F6A158A" w14:textId="5CE665FC" w:rsidR="000F4693" w:rsidRPr="00750663" w:rsidRDefault="000F4693" w:rsidP="002E1FFD">
            <w:pPr>
              <w:pStyle w:val="Zhlavtabulky"/>
              <w:rPr>
                <w:rFonts w:ascii="Crabath Text Light" w:hAnsi="Crabath Text Light"/>
                <w:color w:val="FFFFFF" w:themeColor="background1"/>
                <w:sz w:val="20"/>
                <w:highlight w:val="black"/>
                <w:lang w:val="cs-CZ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6D2365EB" w14:textId="66B88150" w:rsidR="000F4693" w:rsidRPr="00CD3396" w:rsidRDefault="000F4693" w:rsidP="002E1FFD">
            <w:pPr>
              <w:pStyle w:val="Zhlavtabulky"/>
              <w:rPr>
                <w:rFonts w:ascii="Crabath Text Light" w:hAnsi="Crabath Text Light"/>
                <w:color w:val="FFFFFF" w:themeColor="background1"/>
                <w:sz w:val="20"/>
              </w:rPr>
            </w:pPr>
            <w:r>
              <w:rPr>
                <w:rFonts w:ascii="Crabath Text Light" w:hAnsi="Crabath Text Light"/>
                <w:color w:val="FFFFFF" w:themeColor="background1"/>
                <w:sz w:val="20"/>
                <w:highlight w:val="black"/>
              </w:rPr>
              <w:t>(v % k 2022)</w:t>
            </w:r>
          </w:p>
        </w:tc>
        <w:tc>
          <w:tcPr>
            <w:tcW w:w="1275" w:type="dxa"/>
            <w:shd w:val="clear" w:color="auto" w:fill="000000" w:themeFill="text1"/>
          </w:tcPr>
          <w:p w14:paraId="66AF3242" w14:textId="5732406A" w:rsidR="000F4693" w:rsidRDefault="000F4693" w:rsidP="000F4693">
            <w:pPr>
              <w:pStyle w:val="Zhlavtabulky"/>
              <w:rPr>
                <w:rFonts w:ascii="Crabath Text Light" w:hAnsi="Crabath Text Light"/>
                <w:color w:val="FFFFFF" w:themeColor="background1"/>
                <w:sz w:val="20"/>
                <w:highlight w:val="black"/>
              </w:rPr>
            </w:pPr>
            <w:r>
              <w:rPr>
                <w:rFonts w:ascii="Crabath Text Light" w:hAnsi="Crabath Text Light"/>
                <w:color w:val="FFFFFF" w:themeColor="background1"/>
                <w:sz w:val="20"/>
                <w:highlight w:val="black"/>
              </w:rPr>
              <w:t>náklady</w:t>
            </w:r>
          </w:p>
        </w:tc>
      </w:tr>
      <w:tr w:rsidR="000F4693" w14:paraId="2E5D05BA" w14:textId="3511A645" w:rsidTr="000F4693">
        <w:trPr>
          <w:trHeight w:val="283"/>
        </w:trPr>
        <w:tc>
          <w:tcPr>
            <w:tcW w:w="1560" w:type="dxa"/>
            <w:vAlign w:val="bottom"/>
          </w:tcPr>
          <w:p w14:paraId="4E046590" w14:textId="77777777" w:rsidR="000F4693" w:rsidRDefault="000F4693" w:rsidP="000F4693">
            <w:pPr>
              <w:pStyle w:val="Textvtabulce"/>
            </w:pPr>
            <w:proofErr w:type="spellStart"/>
            <w:r w:rsidRPr="00843FA5">
              <w:t>rok</w:t>
            </w:r>
            <w:proofErr w:type="spellEnd"/>
            <w:r w:rsidRPr="00843FA5">
              <w:t xml:space="preserve"> 2022</w:t>
            </w:r>
          </w:p>
        </w:tc>
        <w:tc>
          <w:tcPr>
            <w:tcW w:w="1559" w:type="dxa"/>
            <w:vAlign w:val="bottom"/>
          </w:tcPr>
          <w:p w14:paraId="71038047" w14:textId="70D63060" w:rsidR="000F4693" w:rsidRDefault="000F4693" w:rsidP="000F4693">
            <w:pPr>
              <w:pStyle w:val="Textvtabulce"/>
            </w:pPr>
            <w:r w:rsidRPr="00843FA5">
              <w:t>50 (100 %)</w:t>
            </w:r>
          </w:p>
        </w:tc>
        <w:tc>
          <w:tcPr>
            <w:tcW w:w="1275" w:type="dxa"/>
            <w:vAlign w:val="bottom"/>
          </w:tcPr>
          <w:p w14:paraId="01248368" w14:textId="640AB448" w:rsidR="000F4693" w:rsidRPr="00843FA5" w:rsidRDefault="000F4693" w:rsidP="000F4693">
            <w:pPr>
              <w:pStyle w:val="Textvtabulce"/>
            </w:pPr>
            <w:r w:rsidRPr="00843FA5">
              <w:t>212 500</w:t>
            </w:r>
          </w:p>
        </w:tc>
      </w:tr>
      <w:tr w:rsidR="000F4693" w14:paraId="68B2BA02" w14:textId="1E23CDEA" w:rsidTr="000F4693">
        <w:trPr>
          <w:trHeight w:val="283"/>
        </w:trPr>
        <w:tc>
          <w:tcPr>
            <w:tcW w:w="1560" w:type="dxa"/>
            <w:vAlign w:val="bottom"/>
          </w:tcPr>
          <w:p w14:paraId="41B173A2" w14:textId="77777777" w:rsidR="000F4693" w:rsidRDefault="000F4693" w:rsidP="000F4693">
            <w:pPr>
              <w:pStyle w:val="Textvtabulce"/>
            </w:pPr>
            <w:proofErr w:type="spellStart"/>
            <w:r w:rsidRPr="00843FA5">
              <w:t>rok</w:t>
            </w:r>
            <w:proofErr w:type="spellEnd"/>
            <w:r w:rsidRPr="00843FA5">
              <w:t xml:space="preserve"> 2023</w:t>
            </w:r>
          </w:p>
        </w:tc>
        <w:tc>
          <w:tcPr>
            <w:tcW w:w="1559" w:type="dxa"/>
            <w:vAlign w:val="bottom"/>
          </w:tcPr>
          <w:p w14:paraId="5B22FF8D" w14:textId="09B30D18" w:rsidR="000F4693" w:rsidRDefault="000F4693" w:rsidP="000F4693">
            <w:pPr>
              <w:pStyle w:val="Textvtabulce"/>
            </w:pPr>
            <w:r w:rsidRPr="00843FA5">
              <w:t>64 (128 %)</w:t>
            </w:r>
          </w:p>
        </w:tc>
        <w:tc>
          <w:tcPr>
            <w:tcW w:w="1275" w:type="dxa"/>
            <w:vAlign w:val="bottom"/>
          </w:tcPr>
          <w:p w14:paraId="5E9F4832" w14:textId="350A0A84" w:rsidR="000F4693" w:rsidRPr="00843FA5" w:rsidRDefault="000F4693" w:rsidP="000F4693">
            <w:pPr>
              <w:pStyle w:val="Textvtabulce"/>
            </w:pPr>
            <w:r w:rsidRPr="00843FA5">
              <w:t>258 300</w:t>
            </w:r>
          </w:p>
        </w:tc>
      </w:tr>
      <w:tr w:rsidR="000F4693" w14:paraId="6A199665" w14:textId="6C271C04" w:rsidTr="000F4693">
        <w:trPr>
          <w:trHeight w:val="283"/>
        </w:trPr>
        <w:tc>
          <w:tcPr>
            <w:tcW w:w="1560" w:type="dxa"/>
            <w:vAlign w:val="bottom"/>
          </w:tcPr>
          <w:p w14:paraId="2B96CD3F" w14:textId="77777777" w:rsidR="000F4693" w:rsidRDefault="000F4693" w:rsidP="000F4693">
            <w:pPr>
              <w:pStyle w:val="Textvtabulce"/>
            </w:pPr>
            <w:proofErr w:type="spellStart"/>
            <w:r w:rsidRPr="00843FA5">
              <w:t>rok</w:t>
            </w:r>
            <w:proofErr w:type="spellEnd"/>
            <w:r w:rsidRPr="00843FA5">
              <w:t xml:space="preserve"> 2024</w:t>
            </w:r>
          </w:p>
        </w:tc>
        <w:tc>
          <w:tcPr>
            <w:tcW w:w="1559" w:type="dxa"/>
            <w:vAlign w:val="bottom"/>
          </w:tcPr>
          <w:p w14:paraId="4287AD8B" w14:textId="5D4237A7" w:rsidR="000F4693" w:rsidRDefault="000F4693" w:rsidP="000F4693">
            <w:pPr>
              <w:pStyle w:val="Textvtabulce"/>
            </w:pPr>
            <w:r w:rsidRPr="00843FA5">
              <w:t>68 (136 %)</w:t>
            </w:r>
          </w:p>
        </w:tc>
        <w:tc>
          <w:tcPr>
            <w:tcW w:w="1275" w:type="dxa"/>
            <w:vAlign w:val="bottom"/>
          </w:tcPr>
          <w:p w14:paraId="336AB2B3" w14:textId="505DE95E" w:rsidR="000F4693" w:rsidRDefault="000F4693" w:rsidP="000F4693">
            <w:pPr>
              <w:pStyle w:val="Textvtabulce"/>
            </w:pPr>
            <w:r>
              <w:t>271 400</w:t>
            </w:r>
          </w:p>
        </w:tc>
      </w:tr>
    </w:tbl>
    <w:p w14:paraId="12910A15" w14:textId="77777777" w:rsidR="00921673" w:rsidRDefault="00921673" w:rsidP="007A64B5">
      <w:pPr>
        <w:pStyle w:val="odrazka"/>
        <w:numPr>
          <w:ilvl w:val="0"/>
          <w:numId w:val="0"/>
        </w:numPr>
        <w:spacing w:after="0"/>
        <w:ind w:left="357"/>
      </w:pPr>
    </w:p>
    <w:p w14:paraId="0E69270C" w14:textId="77777777" w:rsidR="00CC119C" w:rsidRDefault="00CC119C" w:rsidP="00CC119C">
      <w:pPr>
        <w:pStyle w:val="odrazka"/>
        <w:numPr>
          <w:ilvl w:val="0"/>
          <w:numId w:val="0"/>
        </w:numPr>
        <w:spacing w:after="360"/>
        <w:ind w:left="360"/>
      </w:pPr>
    </w:p>
    <w:p w14:paraId="7044AC1A" w14:textId="77777777" w:rsidR="002E1FFD" w:rsidRDefault="002E1FFD" w:rsidP="00CC119C">
      <w:pPr>
        <w:pStyle w:val="odrazka"/>
        <w:numPr>
          <w:ilvl w:val="0"/>
          <w:numId w:val="0"/>
        </w:numPr>
        <w:spacing w:after="360"/>
        <w:ind w:left="360"/>
      </w:pPr>
    </w:p>
    <w:p w14:paraId="27FFDB7D" w14:textId="77777777" w:rsidR="002E1FFD" w:rsidRDefault="002E1FFD" w:rsidP="002E1FFD">
      <w:pPr>
        <w:pStyle w:val="odrazka"/>
        <w:numPr>
          <w:ilvl w:val="0"/>
          <w:numId w:val="0"/>
        </w:numPr>
        <w:spacing w:after="0"/>
        <w:ind w:left="357"/>
      </w:pPr>
    </w:p>
    <w:p w14:paraId="47AAB3CD" w14:textId="7D75B724" w:rsidR="00104DB6" w:rsidRDefault="00104DB6" w:rsidP="002E1FFD">
      <w:pPr>
        <w:pStyle w:val="odrazka"/>
        <w:numPr>
          <w:ilvl w:val="1"/>
          <w:numId w:val="2"/>
        </w:numPr>
        <w:spacing w:after="360"/>
      </w:pPr>
      <w:r>
        <w:t xml:space="preserve">Smluvní strany sjednávají, že veškerá </w:t>
      </w:r>
      <w:r w:rsidR="00BC45AC">
        <w:t xml:space="preserve">další </w:t>
      </w:r>
      <w:r w:rsidR="00BF3504">
        <w:t xml:space="preserve">(shora neuvedená) </w:t>
      </w:r>
      <w:r>
        <w:t>ustanovení Smlouvy zůstávají i nadále v platnosti v původním sjednaném znění.</w:t>
      </w:r>
    </w:p>
    <w:p w14:paraId="7AC09078" w14:textId="77777777" w:rsidR="00104DB6" w:rsidRPr="00257B16" w:rsidRDefault="00104DB6" w:rsidP="00104DB6">
      <w:pPr>
        <w:pStyle w:val="Nadpis2"/>
        <w:numPr>
          <w:ilvl w:val="0"/>
          <w:numId w:val="2"/>
        </w:numPr>
        <w:tabs>
          <w:tab w:val="num" w:pos="360"/>
        </w:tabs>
        <w:spacing w:after="200"/>
        <w:ind w:left="0" w:firstLine="0"/>
      </w:pPr>
      <w:r>
        <w:t>Společná a závěrečná ustanovení</w:t>
      </w:r>
    </w:p>
    <w:p w14:paraId="487332FF" w14:textId="78978BD4" w:rsidR="00104DB6" w:rsidRDefault="00104DB6" w:rsidP="00104DB6">
      <w:pPr>
        <w:pStyle w:val="odrazka"/>
        <w:numPr>
          <w:ilvl w:val="1"/>
          <w:numId w:val="2"/>
        </w:numPr>
      </w:pPr>
      <w:r>
        <w:t>Tento dodatek nabývá platnosti dnem podpisu smluvními stranami a účinnosti dnem zveřejnění v registru smluv. Zveřejnění se zavazuje zajistit Objednatel, Poskytovatel se zveřejněním souhlasí.</w:t>
      </w:r>
    </w:p>
    <w:p w14:paraId="06782D98" w14:textId="77777777" w:rsidR="00104DB6" w:rsidRDefault="00104DB6" w:rsidP="00104DB6">
      <w:pPr>
        <w:pStyle w:val="odrazka"/>
        <w:numPr>
          <w:ilvl w:val="1"/>
          <w:numId w:val="2"/>
        </w:numPr>
      </w:pPr>
      <w:r>
        <w:t xml:space="preserve">Tento dodatek je vyhotoven </w:t>
      </w:r>
      <w:r w:rsidRPr="006A3484">
        <w:t xml:space="preserve">ve dvou stejnopisech s platností originálu, z nichž </w:t>
      </w:r>
      <w:r>
        <w:t xml:space="preserve">každá smluvní strana </w:t>
      </w:r>
      <w:proofErr w:type="gramStart"/>
      <w:r>
        <w:t>obdrží</w:t>
      </w:r>
      <w:proofErr w:type="gramEnd"/>
      <w:r>
        <w:t xml:space="preserve"> jedno vyhotovení.</w:t>
      </w:r>
    </w:p>
    <w:p w14:paraId="4B79C23C" w14:textId="77777777" w:rsidR="00104DB6" w:rsidRDefault="00104DB6" w:rsidP="00104DB6">
      <w:pPr>
        <w:pStyle w:val="odrazka"/>
        <w:numPr>
          <w:ilvl w:val="0"/>
          <w:numId w:val="0"/>
        </w:numPr>
        <w:spacing w:after="0"/>
        <w:ind w:left="357"/>
      </w:pPr>
      <w:r>
        <w:lastRenderedPageBreak/>
        <w:t>Smluvní strany prohlašují, že si tento dodatek přečetly a že tento dodatek byl uzavřen srozumitelně a určitě dle jejich pravé, svobodné a vážně projevené vůle, nikoliv v tísni nebo za nápadně nevýhodných podmínek. Na důkaz toho připojují smluvní strany své podpisy.</w:t>
      </w:r>
    </w:p>
    <w:p w14:paraId="191D6379" w14:textId="77777777" w:rsidR="00104DB6" w:rsidRDefault="00104DB6" w:rsidP="00104DB6">
      <w:pPr>
        <w:pStyle w:val="odrazka"/>
        <w:numPr>
          <w:ilvl w:val="0"/>
          <w:numId w:val="0"/>
        </w:numPr>
        <w:spacing w:after="0"/>
        <w:ind w:left="357"/>
      </w:pPr>
    </w:p>
    <w:p w14:paraId="177DCD1C" w14:textId="46C77FC0" w:rsidR="00104DB6" w:rsidRPr="008824DD" w:rsidRDefault="00104DB6" w:rsidP="00104DB6">
      <w:pPr>
        <w:pStyle w:val="odrazka"/>
        <w:numPr>
          <w:ilvl w:val="0"/>
          <w:numId w:val="0"/>
        </w:numPr>
        <w:spacing w:before="100"/>
        <w:ind w:left="357" w:hanging="357"/>
      </w:pPr>
      <w:r>
        <w:t>V Praze dne</w:t>
      </w:r>
      <w:r w:rsidR="00750663">
        <w:t>: 3.7.2023</w:t>
      </w:r>
    </w:p>
    <w:p w14:paraId="50326ED5" w14:textId="60ECD1CA" w:rsidR="00104DB6" w:rsidRPr="008824DD" w:rsidRDefault="00104DB6" w:rsidP="00104DB6">
      <w:pPr>
        <w:pStyle w:val="odrazka"/>
        <w:numPr>
          <w:ilvl w:val="0"/>
          <w:numId w:val="0"/>
        </w:numPr>
        <w:spacing w:after="300"/>
        <w:ind w:left="357" w:hanging="357"/>
        <w:rPr>
          <w:rFonts w:ascii="Crabath Text Medium" w:hAnsi="Crabath Text Medium"/>
        </w:rPr>
      </w:pPr>
      <w:r>
        <w:rPr>
          <w:rFonts w:ascii="Crabath Text Medium" w:hAnsi="Crabath Text Medium"/>
        </w:rPr>
        <w:t>z</w:t>
      </w:r>
      <w:r w:rsidRPr="008824DD">
        <w:rPr>
          <w:rFonts w:ascii="Crabath Text Medium" w:hAnsi="Crabath Text Medium"/>
        </w:rPr>
        <w:t>a</w:t>
      </w:r>
      <w:r>
        <w:rPr>
          <w:rFonts w:ascii="Crabath Text Medium" w:hAnsi="Crabath Text Medium"/>
        </w:rPr>
        <w:t xml:space="preserve"> Objednatele</w:t>
      </w:r>
      <w:r w:rsidRPr="008824DD">
        <w:rPr>
          <w:rFonts w:ascii="Crabath Text Medium" w:hAnsi="Crabath Text Medium"/>
        </w:rPr>
        <w:t>:</w:t>
      </w:r>
      <w:r w:rsidRPr="008824DD">
        <w:tab/>
      </w:r>
      <w:r w:rsidRPr="008824DD">
        <w:tab/>
      </w:r>
      <w:r w:rsidRPr="008824DD">
        <w:tab/>
      </w:r>
      <w:r w:rsidRPr="008824DD">
        <w:tab/>
      </w:r>
      <w:r w:rsidRPr="008824DD">
        <w:tab/>
      </w:r>
    </w:p>
    <w:p w14:paraId="39D2BC0B" w14:textId="77777777" w:rsidR="00104DB6" w:rsidRDefault="00104DB6" w:rsidP="00104DB6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50334" wp14:editId="28F8E46B">
                <wp:simplePos x="0" y="0"/>
                <wp:positionH relativeFrom="column">
                  <wp:posOffset>3180715</wp:posOffset>
                </wp:positionH>
                <wp:positionV relativeFrom="paragraph">
                  <wp:posOffset>266065</wp:posOffset>
                </wp:positionV>
                <wp:extent cx="211582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7BA9B"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20.95pt" to="417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EkowEAAJgDAAAOAAAAZHJzL2Uyb0RvYy54bWysU01v2zAMvQ/YfxB0X2RnSFE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FA061" wp14:editId="42989C54">
                <wp:simplePos x="0" y="0"/>
                <wp:positionH relativeFrom="column">
                  <wp:posOffset>-4445</wp:posOffset>
                </wp:positionH>
                <wp:positionV relativeFrom="paragraph">
                  <wp:posOffset>266700</wp:posOffset>
                </wp:positionV>
                <wp:extent cx="211582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3A3A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1pt" to="166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EkowEAAJgDAAAOAAAAZHJzL2Uyb0RvYy54bWysU01v2zAMvQ/YfxB0X2RnSFE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t xml:space="preserve">          </w:t>
      </w:r>
      <w:r>
        <w:tab/>
      </w:r>
      <w:r>
        <w:tab/>
      </w:r>
      <w:r>
        <w:tab/>
      </w:r>
      <w:r>
        <w:tab/>
      </w:r>
    </w:p>
    <w:p w14:paraId="6484C397" w14:textId="505F5DCE" w:rsidR="00104DB6" w:rsidRDefault="0048097F" w:rsidP="00104DB6">
      <w:r>
        <w:rPr>
          <w:rFonts w:ascii="Crabath Text Medium" w:hAnsi="Crabath Text Medium"/>
        </w:rPr>
        <w:t>Mgr. Jana Adamcová</w:t>
      </w:r>
      <w:r w:rsidR="00104DB6">
        <w:rPr>
          <w:rFonts w:ascii="Crabath Text Medium" w:hAnsi="Crabath Text Medium"/>
        </w:rPr>
        <w:t xml:space="preserve">                             </w:t>
      </w:r>
      <w:r w:rsidR="00104DB6">
        <w:rPr>
          <w:rFonts w:ascii="Crabath Text Medium" w:hAnsi="Crabath Text Medium"/>
        </w:rPr>
        <w:tab/>
      </w:r>
      <w:r w:rsidR="00104DB6">
        <w:rPr>
          <w:rFonts w:ascii="Crabath Text Medium" w:hAnsi="Crabath Text Medium"/>
        </w:rPr>
        <w:tab/>
      </w:r>
      <w:r w:rsidR="00104DB6">
        <w:rPr>
          <w:rFonts w:ascii="Crabath Text Medium" w:hAnsi="Crabath Text Medium"/>
        </w:rPr>
        <w:tab/>
        <w:t>Ing. Miroslav Karel, MBA</w:t>
      </w:r>
      <w:r w:rsidR="00104DB6">
        <w:rPr>
          <w:rFonts w:ascii="Crabath Text Medium" w:hAnsi="Crabath Text Medium"/>
        </w:rPr>
        <w:br/>
      </w:r>
      <w:r>
        <w:t>místopředsedkyně</w:t>
      </w:r>
      <w:r w:rsidR="00104DB6">
        <w:t xml:space="preserve"> představenstva</w:t>
      </w:r>
      <w:r w:rsidR="00104DB6">
        <w:tab/>
      </w:r>
      <w:r w:rsidR="00104DB6">
        <w:tab/>
      </w:r>
      <w:r w:rsidR="00104DB6">
        <w:tab/>
        <w:t>člen představenstva</w:t>
      </w:r>
    </w:p>
    <w:p w14:paraId="545070A4" w14:textId="77777777" w:rsidR="00104DB6" w:rsidRDefault="00104DB6" w:rsidP="00104DB6">
      <w:pPr>
        <w:pStyle w:val="odrazka"/>
        <w:numPr>
          <w:ilvl w:val="0"/>
          <w:numId w:val="0"/>
        </w:numPr>
        <w:spacing w:after="0"/>
        <w:rPr>
          <w:noProof/>
        </w:rPr>
      </w:pPr>
    </w:p>
    <w:p w14:paraId="2CFE15ED" w14:textId="5F8F12FC" w:rsidR="00104DB6" w:rsidRPr="008824DD" w:rsidRDefault="00104DB6" w:rsidP="00104DB6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Pr="008824DD">
        <w:rPr>
          <w:noProof/>
        </w:rPr>
        <w:t>:</w:t>
      </w:r>
      <w:r w:rsidR="00750663">
        <w:rPr>
          <w:noProof/>
        </w:rPr>
        <w:t xml:space="preserve"> 28.6.2023</w:t>
      </w:r>
    </w:p>
    <w:p w14:paraId="2A9BF07A" w14:textId="2ADAD7F8" w:rsidR="00104DB6" w:rsidRDefault="00104DB6" w:rsidP="00104DB6">
      <w:pPr>
        <w:pStyle w:val="odrazka"/>
        <w:numPr>
          <w:ilvl w:val="0"/>
          <w:numId w:val="0"/>
        </w:numPr>
        <w:spacing w:after="0"/>
        <w:rPr>
          <w:rFonts w:ascii="Crabath Text Medium" w:hAnsi="Crabath Text Medium"/>
          <w:noProof/>
        </w:rPr>
      </w:pPr>
      <w:r>
        <w:rPr>
          <w:rFonts w:ascii="Crabath Text Medium" w:hAnsi="Crabath Text Medium"/>
          <w:noProof/>
        </w:rPr>
        <w:t>z</w:t>
      </w:r>
      <w:r w:rsidRPr="008824DD">
        <w:rPr>
          <w:rFonts w:ascii="Crabath Text Medium" w:hAnsi="Crabath Text Medium"/>
          <w:noProof/>
        </w:rPr>
        <w:t xml:space="preserve">a </w:t>
      </w:r>
      <w:r>
        <w:rPr>
          <w:rFonts w:ascii="Crabath Text Medium" w:hAnsi="Crabath Text Medium"/>
          <w:noProof/>
        </w:rPr>
        <w:t>Poskytovatele</w:t>
      </w:r>
      <w:r w:rsidRPr="008824DD">
        <w:rPr>
          <w:rFonts w:ascii="Crabath Text Medium" w:hAnsi="Crabath Text Medium"/>
          <w:noProof/>
        </w:rPr>
        <w:t>:</w:t>
      </w:r>
    </w:p>
    <w:p w14:paraId="3B6547D2" w14:textId="77777777" w:rsidR="00104DB6" w:rsidRDefault="00104DB6" w:rsidP="00104DB6">
      <w:pPr>
        <w:pStyle w:val="odrazka"/>
        <w:numPr>
          <w:ilvl w:val="0"/>
          <w:numId w:val="0"/>
        </w:numPr>
        <w:spacing w:after="100"/>
        <w:rPr>
          <w:rFonts w:ascii="Crabath Text Medium" w:hAnsi="Crabath Text Medium"/>
          <w:noProof/>
        </w:rPr>
      </w:pPr>
    </w:p>
    <w:p w14:paraId="3781126A" w14:textId="77777777" w:rsidR="00104DB6" w:rsidRDefault="00104DB6" w:rsidP="00104DB6">
      <w:pPr>
        <w:pStyle w:val="odrazka"/>
        <w:numPr>
          <w:ilvl w:val="0"/>
          <w:numId w:val="0"/>
        </w:numPr>
        <w:spacing w:after="0"/>
        <w:rPr>
          <w:rFonts w:ascii="Crabath Text Medium" w:hAnsi="Crabath Text Medium"/>
          <w:noProof/>
        </w:rPr>
      </w:pPr>
    </w:p>
    <w:p w14:paraId="138DCDBA" w14:textId="77777777" w:rsidR="0048097F" w:rsidRDefault="0048097F" w:rsidP="00104DB6">
      <w:pPr>
        <w:pStyle w:val="odrazka"/>
        <w:numPr>
          <w:ilvl w:val="0"/>
          <w:numId w:val="0"/>
        </w:numPr>
        <w:spacing w:after="0"/>
        <w:rPr>
          <w:rFonts w:ascii="Crabath Text Medium" w:hAnsi="Crabath Text Medium"/>
          <w:noProof/>
        </w:rPr>
      </w:pPr>
    </w:p>
    <w:p w14:paraId="7C872A2F" w14:textId="3D748485" w:rsidR="00DC0340" w:rsidRDefault="00104DB6" w:rsidP="0048097F">
      <w:pPr>
        <w:pStyle w:val="odrazka"/>
        <w:numPr>
          <w:ilvl w:val="0"/>
          <w:numId w:val="0"/>
        </w:numPr>
        <w:spacing w:before="100" w:after="0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1C5A" wp14:editId="12F6A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582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593E1" id="Přímá spojnic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6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EkowEAAJgDAAAOAAAAZHJzL2Uyb0RvYy54bWysU01v2zAMvQ/YfxB0X2RnSFE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w:t>Ing. Ladislav Klika</w:t>
      </w:r>
    </w:p>
    <w:p w14:paraId="1575BDE3" w14:textId="16E1EC43" w:rsidR="00104DB6" w:rsidRPr="0048097F" w:rsidRDefault="0048097F" w:rsidP="0048097F">
      <w:pPr>
        <w:pStyle w:val="odrazka"/>
        <w:numPr>
          <w:ilvl w:val="0"/>
          <w:numId w:val="0"/>
        </w:numPr>
        <w:spacing w:after="0"/>
      </w:pPr>
      <w:r>
        <w:rPr>
          <w:noProof/>
        </w:rPr>
        <w:t>p</w:t>
      </w:r>
      <w:r w:rsidR="00104DB6" w:rsidRPr="0048097F">
        <w:rPr>
          <w:noProof/>
        </w:rPr>
        <w:t>ředseda představe</w:t>
      </w:r>
      <w:r>
        <w:rPr>
          <w:noProof/>
        </w:rPr>
        <w:t>ns</w:t>
      </w:r>
      <w:r w:rsidR="00104DB6" w:rsidRPr="0048097F">
        <w:rPr>
          <w:noProof/>
        </w:rPr>
        <w:t>tva</w:t>
      </w:r>
    </w:p>
    <w:sectPr w:rsidR="00104DB6" w:rsidRPr="0048097F" w:rsidSect="007A490F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7DAA" w14:textId="77777777" w:rsidR="008E74B8" w:rsidRDefault="008E74B8" w:rsidP="00104DB6">
      <w:pPr>
        <w:spacing w:after="0" w:line="240" w:lineRule="auto"/>
      </w:pPr>
      <w:r>
        <w:separator/>
      </w:r>
    </w:p>
  </w:endnote>
  <w:endnote w:type="continuationSeparator" w:id="0">
    <w:p w14:paraId="5C320826" w14:textId="77777777" w:rsidR="008E74B8" w:rsidRDefault="008E74B8" w:rsidP="001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E5C5" w14:textId="07162BBE" w:rsidR="0099185E" w:rsidRPr="00026C34" w:rsidRDefault="00750663" w:rsidP="00F41175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1E9EC89" wp14:editId="162436D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24D65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dodatek č. 1 k </w:t>
    </w:r>
    <w:r w:rsidRPr="00F41175">
      <w:rPr>
        <w:rFonts w:ascii="Atyp BL Display Semibold" w:hAnsi="Atyp BL Display Semibold"/>
      </w:rPr>
      <w:t>smlouvě</w:t>
    </w:r>
    <w:r>
      <w:rPr>
        <w:rFonts w:ascii="Atyp BL Display Semibold" w:hAnsi="Atyp BL Display Semibold"/>
      </w:rPr>
      <w:t xml:space="preserve"> </w:t>
    </w:r>
    <w:r w:rsidR="00104DB6">
      <w:rPr>
        <w:rFonts w:ascii="Atyp BL Display Semibold" w:hAnsi="Atyp BL Display Semibold"/>
      </w:rPr>
      <w:t>o plnění veřejné zakázky</w:t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6BDE" w14:textId="77777777" w:rsidR="004A248B" w:rsidRPr="006759C0" w:rsidRDefault="00750663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596FC4" wp14:editId="30215D83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4ED56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1F991BB0" w14:textId="77777777" w:rsidR="004A248B" w:rsidRPr="006759C0" w:rsidRDefault="00750663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4FC7E21D" w14:textId="77777777" w:rsidR="00933491" w:rsidRPr="00933491" w:rsidRDefault="00750663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FEEC" w14:textId="77777777" w:rsidR="008E74B8" w:rsidRDefault="008E74B8" w:rsidP="00104DB6">
      <w:pPr>
        <w:spacing w:after="0" w:line="240" w:lineRule="auto"/>
      </w:pPr>
      <w:r>
        <w:separator/>
      </w:r>
    </w:p>
  </w:footnote>
  <w:footnote w:type="continuationSeparator" w:id="0">
    <w:p w14:paraId="26BEF127" w14:textId="77777777" w:rsidR="008E74B8" w:rsidRDefault="008E74B8" w:rsidP="0010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FF7A" w14:textId="77777777" w:rsidR="005B582C" w:rsidRDefault="00750663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594"/>
    <w:multiLevelType w:val="multilevel"/>
    <w:tmpl w:val="E22C60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1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29C"/>
    <w:multiLevelType w:val="hybridMultilevel"/>
    <w:tmpl w:val="CF125EAA"/>
    <w:lvl w:ilvl="0" w:tplc="037CED9A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07221">
    <w:abstractNumId w:val="1"/>
  </w:num>
  <w:num w:numId="2" w16cid:durableId="1831822788">
    <w:abstractNumId w:val="0"/>
  </w:num>
  <w:num w:numId="3" w16cid:durableId="1001080522">
    <w:abstractNumId w:val="1"/>
  </w:num>
  <w:num w:numId="4" w16cid:durableId="783186417">
    <w:abstractNumId w:val="1"/>
  </w:num>
  <w:num w:numId="5" w16cid:durableId="69607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B6"/>
    <w:rsid w:val="000837EA"/>
    <w:rsid w:val="000F4693"/>
    <w:rsid w:val="00104DB6"/>
    <w:rsid w:val="00140109"/>
    <w:rsid w:val="002D7144"/>
    <w:rsid w:val="002E1FFD"/>
    <w:rsid w:val="002E5FEC"/>
    <w:rsid w:val="002F7019"/>
    <w:rsid w:val="00307B72"/>
    <w:rsid w:val="003841CC"/>
    <w:rsid w:val="0048097F"/>
    <w:rsid w:val="004909C3"/>
    <w:rsid w:val="00490E4F"/>
    <w:rsid w:val="00515A53"/>
    <w:rsid w:val="0058091E"/>
    <w:rsid w:val="007166E1"/>
    <w:rsid w:val="0074259B"/>
    <w:rsid w:val="00750663"/>
    <w:rsid w:val="007A64B5"/>
    <w:rsid w:val="007D328D"/>
    <w:rsid w:val="008000C4"/>
    <w:rsid w:val="00823FF3"/>
    <w:rsid w:val="00843FA5"/>
    <w:rsid w:val="00854F0D"/>
    <w:rsid w:val="00866E19"/>
    <w:rsid w:val="00884D3C"/>
    <w:rsid w:val="008B7BB7"/>
    <w:rsid w:val="008E74B8"/>
    <w:rsid w:val="00912503"/>
    <w:rsid w:val="00921673"/>
    <w:rsid w:val="00930E65"/>
    <w:rsid w:val="009F76D4"/>
    <w:rsid w:val="00A8691B"/>
    <w:rsid w:val="00AB12EC"/>
    <w:rsid w:val="00AD783E"/>
    <w:rsid w:val="00BC45AC"/>
    <w:rsid w:val="00BE35A7"/>
    <w:rsid w:val="00BF3504"/>
    <w:rsid w:val="00C6581D"/>
    <w:rsid w:val="00CC119C"/>
    <w:rsid w:val="00CD3396"/>
    <w:rsid w:val="00DA48F9"/>
    <w:rsid w:val="00DC0340"/>
    <w:rsid w:val="00DC3A89"/>
    <w:rsid w:val="00DE4A44"/>
    <w:rsid w:val="00E01CC6"/>
    <w:rsid w:val="00E24645"/>
    <w:rsid w:val="00EB1EB2"/>
    <w:rsid w:val="00EF2BB3"/>
    <w:rsid w:val="00F41990"/>
    <w:rsid w:val="00F800B0"/>
    <w:rsid w:val="00F83892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9D9"/>
  <w15:chartTrackingRefBased/>
  <w15:docId w15:val="{3FC99C5F-6D19-4AE8-BC9D-160DBEE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04DB6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04DB6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4DB6"/>
    <w:pPr>
      <w:keepNext/>
      <w:keepLines/>
      <w:spacing w:before="360" w:after="16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4DB6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104DB6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104DB6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104DB6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104DB6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4DB6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104DB6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104DB6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104DB6"/>
    <w:pPr>
      <w:ind w:left="454" w:hanging="454"/>
    </w:pPr>
  </w:style>
  <w:style w:type="paragraph" w:customStyle="1" w:styleId="odrazka">
    <w:name w:val="odrazka"/>
    <w:basedOn w:val="Odstavecseseznamem"/>
    <w:rsid w:val="00104DB6"/>
    <w:pPr>
      <w:numPr>
        <w:ilvl w:val="1"/>
        <w:numId w:val="1"/>
      </w:numPr>
      <w:contextualSpacing w:val="0"/>
    </w:pPr>
    <w:rPr>
      <w:noProof w:val="0"/>
    </w:rPr>
  </w:style>
  <w:style w:type="paragraph" w:styleId="Bezmezer">
    <w:name w:val="No Spacing"/>
    <w:uiPriority w:val="1"/>
    <w:qFormat/>
    <w:rsid w:val="00104DB6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104DB6"/>
    <w:pPr>
      <w:ind w:left="720"/>
      <w:contextualSpacing/>
    </w:pPr>
  </w:style>
  <w:style w:type="table" w:styleId="Mkatabulky">
    <w:name w:val="Table Grid"/>
    <w:basedOn w:val="Normlntabulka"/>
    <w:uiPriority w:val="39"/>
    <w:rsid w:val="00CC119C"/>
    <w:pPr>
      <w:widowControl w:val="0"/>
      <w:autoSpaceDE w:val="0"/>
      <w:autoSpaceDN w:val="0"/>
      <w:spacing w:after="0" w:line="240" w:lineRule="auto"/>
    </w:pPr>
    <w:rPr>
      <w:rFonts w:ascii="Crabath Text Light" w:hAnsi="Crabath Text Light"/>
      <w:kern w:val="0"/>
      <w:sz w:val="20"/>
      <w:lang w:val="en-US"/>
      <w14:ligatures w14:val="none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CC119C"/>
    <w:pPr>
      <w:widowControl w:val="0"/>
      <w:autoSpaceDE w:val="0"/>
      <w:autoSpaceDN w:val="0"/>
      <w:spacing w:after="0" w:line="240" w:lineRule="auto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2023-06-27T09:24:00Z</cp:lastPrinted>
  <dcterms:created xsi:type="dcterms:W3CDTF">2023-07-04T13:02:00Z</dcterms:created>
  <dcterms:modified xsi:type="dcterms:W3CDTF">2023-07-04T13:02:00Z</dcterms:modified>
</cp:coreProperties>
</file>