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8A4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OBJEDNÁVKA –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obchodní podmínky</w:t>
      </w:r>
    </w:p>
    <w:p w14:paraId="002A7DFF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79306132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Evidenční číslo: </w:t>
      </w:r>
      <w:r>
        <w:rPr>
          <w:i/>
        </w:rPr>
        <w:t>OBJ2023032</w:t>
      </w:r>
    </w:p>
    <w:p w14:paraId="500DB8E5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Vyřizuje Vladimíra Šarounová, </w:t>
      </w:r>
      <w:hyperlink r:id="rId7">
        <w:r>
          <w:rPr>
            <w:i/>
            <w:color w:val="0563C1"/>
            <w:u w:val="single"/>
          </w:rPr>
          <w:t>vladimira.sarounova@jinag.eu</w:t>
        </w:r>
      </w:hyperlink>
      <w:r>
        <w:rPr>
          <w:i/>
          <w:color w:val="000000"/>
        </w:rPr>
        <w:t xml:space="preserve"> </w:t>
      </w:r>
    </w:p>
    <w:p w14:paraId="397B097A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0275075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Objednatel</w:t>
      </w:r>
    </w:p>
    <w:p w14:paraId="3F4668C1" w14:textId="77777777" w:rsidR="00C3570A" w:rsidRDefault="00000000">
      <w:r>
        <w:t xml:space="preserve">Název: </w:t>
      </w:r>
      <w:r>
        <w:tab/>
      </w:r>
      <w:r>
        <w:tab/>
        <w:t>Jihomoravská agentura pro veřejné inovace JINAG, spolek</w:t>
      </w:r>
    </w:p>
    <w:p w14:paraId="0B2D7C33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Žerotínovo náměstí 449/3, 602 00 Brno</w:t>
      </w:r>
    </w:p>
    <w:p w14:paraId="6B0259F6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65338090</w:t>
      </w:r>
    </w:p>
    <w:p w14:paraId="54421D5D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CZ‘65338090</w:t>
      </w:r>
    </w:p>
    <w:p w14:paraId="076D6150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  <w:t>Ing. Patrikem Reichlem, MBA, ředitel agentury</w:t>
      </w:r>
    </w:p>
    <w:p w14:paraId="0A3AFC74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 w:rsidRPr="00AC23F8">
        <w:rPr>
          <w:color w:val="000000"/>
          <w:highlight w:val="black"/>
        </w:rPr>
        <w:t xml:space="preserve">Ing. Jan Bárta, </w:t>
      </w:r>
      <w:hyperlink r:id="rId8">
        <w:r w:rsidRPr="00AC23F8">
          <w:rPr>
            <w:color w:val="0563C1"/>
            <w:highlight w:val="black"/>
            <w:u w:val="single"/>
          </w:rPr>
          <w:t>jan.barta@jinag.eu</w:t>
        </w:r>
      </w:hyperlink>
      <w:r w:rsidRPr="00AC23F8">
        <w:rPr>
          <w:highlight w:val="black"/>
        </w:rPr>
        <w:t>, 732 121 651</w:t>
      </w:r>
    </w:p>
    <w:p w14:paraId="13F39F12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42A4079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Dodavatel</w:t>
      </w:r>
    </w:p>
    <w:p w14:paraId="63F807A5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t>PMAC, spol. s r.o.</w:t>
      </w:r>
    </w:p>
    <w:p w14:paraId="3D4A2CCB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Jungmannovo nábřeží 310, Chrudim III, 537 01 Chrudim </w:t>
      </w:r>
    </w:p>
    <w:p w14:paraId="61A53824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02548101 </w:t>
      </w:r>
    </w:p>
    <w:p w14:paraId="1A67B976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CZ02548101</w:t>
      </w:r>
    </w:p>
    <w:p w14:paraId="1842AB6D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</w:r>
      <w:r>
        <w:t>Ing. Martinem Michkem</w:t>
      </w:r>
    </w:p>
    <w:p w14:paraId="50B739FB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Kontaktní osoba:</w:t>
      </w:r>
      <w:r>
        <w:rPr>
          <w:color w:val="000000"/>
        </w:rPr>
        <w:tab/>
      </w:r>
      <w:r w:rsidRPr="00AC23F8">
        <w:rPr>
          <w:highlight w:val="black"/>
        </w:rPr>
        <w:t xml:space="preserve">Ing. Martin Michek, </w:t>
      </w:r>
      <w:hyperlink r:id="rId9">
        <w:r w:rsidRPr="00AC23F8">
          <w:rPr>
            <w:color w:val="1155CC"/>
            <w:highlight w:val="black"/>
            <w:u w:val="single"/>
          </w:rPr>
          <w:t>martin.michek@pmac.cz</w:t>
        </w:r>
      </w:hyperlink>
      <w:r w:rsidRPr="00AC23F8">
        <w:rPr>
          <w:highlight w:val="black"/>
        </w:rPr>
        <w:t>, 606 640 374</w:t>
      </w:r>
    </w:p>
    <w:p w14:paraId="203833AB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22E6AA" w14:textId="77777777" w:rsidR="00C3570A" w:rsidRDefault="00000000">
      <w:pPr>
        <w:pStyle w:val="Nadpis1"/>
        <w:numPr>
          <w:ilvl w:val="0"/>
          <w:numId w:val="2"/>
        </w:numPr>
        <w:spacing w:line="276" w:lineRule="auto"/>
      </w:pPr>
      <w:bookmarkStart w:id="0" w:name="_7vp6wx1ii5m4" w:colFirst="0" w:colLast="0"/>
      <w:bookmarkEnd w:id="0"/>
      <w:r>
        <w:t>Předmět plnění</w:t>
      </w:r>
    </w:p>
    <w:p w14:paraId="00F7BC70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Poradenské služby zaměřené na využití komunitní energetiky v nově budované čtvrti Chytré Líchy v tomto zaměření:</w:t>
      </w:r>
    </w:p>
    <w:p w14:paraId="3B04BC66" w14:textId="77777777" w:rsidR="00C35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Provozní koncept na úrovni Chytré Líchy</w:t>
      </w:r>
    </w:p>
    <w:p w14:paraId="3FBC793C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veřejná síť</w:t>
      </w:r>
    </w:p>
    <w:p w14:paraId="3C83D27B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lokální síť</w:t>
      </w:r>
    </w:p>
    <w:p w14:paraId="282E90CD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Model sdružené odběrné místo</w:t>
      </w:r>
    </w:p>
    <w:p w14:paraId="1D75D354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Vyčíslení kladů a záporů</w:t>
      </w:r>
    </w:p>
    <w:p w14:paraId="4C390299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Základní ekonomické porovnání variant</w:t>
      </w:r>
    </w:p>
    <w:p w14:paraId="4225938E" w14:textId="77777777" w:rsidR="00C35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Simulační model (energetická bilance a business case), Analýza nákladů a výnosů na období 10 let</w:t>
      </w:r>
    </w:p>
    <w:p w14:paraId="369A7E9C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modelu průběhu spotřeby dle metody TDD (LP60)</w:t>
      </w:r>
    </w:p>
    <w:p w14:paraId="5FF80036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modelu průběhu lokální výroby</w:t>
      </w:r>
    </w:p>
    <w:p w14:paraId="482CF3C7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Bilanční porovnání spotřeby s výrobou </w:t>
      </w:r>
    </w:p>
    <w:p w14:paraId="7F91032A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Návrh možné akumulace z pohledu eliminace přetoků</w:t>
      </w:r>
    </w:p>
    <w:p w14:paraId="79335558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Návrh možné lokální regulace a její přínosy </w:t>
      </w:r>
    </w:p>
    <w:p w14:paraId="415E112C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Vývoj cen elektřiny ve vztahu na </w:t>
      </w:r>
      <w:proofErr w:type="spellStart"/>
      <w:r>
        <w:t>peak</w:t>
      </w:r>
      <w:proofErr w:type="spellEnd"/>
      <w:r>
        <w:t>/</w:t>
      </w:r>
      <w:proofErr w:type="spellStart"/>
      <w:r>
        <w:t>off-peak</w:t>
      </w:r>
      <w:proofErr w:type="spellEnd"/>
      <w:r>
        <w:t xml:space="preserve"> a přetoky do sítě</w:t>
      </w:r>
    </w:p>
    <w:p w14:paraId="50C596BB" w14:textId="77777777" w:rsidR="00C35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Řízení flexibility</w:t>
      </w:r>
    </w:p>
    <w:p w14:paraId="4734644B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Klasifikace možných prostředků pro řízení flexibility na NN úrovni</w:t>
      </w:r>
    </w:p>
    <w:p w14:paraId="3FF85B5A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Definování vstupů pro možné řízení flexibility v návaznosti na ostatní systémy</w:t>
      </w:r>
    </w:p>
    <w:p w14:paraId="35D557D3" w14:textId="77777777" w:rsidR="00C35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Napojení na Židlochovice</w:t>
      </w:r>
    </w:p>
    <w:p w14:paraId="5497021B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Návrh základních parametrů pro připojení lokality do distribuční sítě EGD</w:t>
      </w:r>
    </w:p>
    <w:p w14:paraId="4038B873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Typové příklady připojení, včetně rakouského modelu</w:t>
      </w:r>
    </w:p>
    <w:p w14:paraId="5B08EA2B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>Náklady na distribuci – posouzení typových příkladů</w:t>
      </w:r>
    </w:p>
    <w:p w14:paraId="000C5E06" w14:textId="77777777" w:rsidR="00C35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Podklady pro jednání s ERÚ</w:t>
      </w:r>
    </w:p>
    <w:p w14:paraId="757FBCF4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Posouzení jednotlivých variant provozu pilotu Chytré Líchy z pohledu ERU</w:t>
      </w:r>
    </w:p>
    <w:p w14:paraId="4080E65C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dopadů na provozovatele veřejné distribuční sítě</w:t>
      </w:r>
    </w:p>
    <w:p w14:paraId="2C123981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přínosů pro energetickou komunitu z pohledu jednotlivých variant</w:t>
      </w:r>
    </w:p>
    <w:p w14:paraId="5234DAC9" w14:textId="77777777" w:rsidR="00C3570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Specifikace využití lokálně vyrobené energie pro energetickou komunitu z pohledu přístupu k alokaci energie na jednotlivé odběry</w:t>
      </w:r>
    </w:p>
    <w:p w14:paraId="50BA3174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2080037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Přesná specifikace služeb vzejde z dohody na základě emailových upřesnění s řešitelem projektu </w:t>
      </w:r>
      <w:r w:rsidRPr="00AC23F8">
        <w:rPr>
          <w:color w:val="000000"/>
          <w:highlight w:val="black"/>
        </w:rPr>
        <w:t xml:space="preserve">Janem Bártou </w:t>
      </w:r>
      <w:hyperlink r:id="rId10">
        <w:r w:rsidRPr="00AC23F8">
          <w:rPr>
            <w:color w:val="0563C1"/>
            <w:highlight w:val="black"/>
            <w:u w:val="single"/>
          </w:rPr>
          <w:t>jan.barta@jinag.eu</w:t>
        </w:r>
      </w:hyperlink>
      <w:r>
        <w:rPr>
          <w:color w:val="000000"/>
        </w:rPr>
        <w:t xml:space="preserve"> </w:t>
      </w:r>
    </w:p>
    <w:p w14:paraId="57FD05FC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0DB83BE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Poradenství je poskytováno v návaznosti na řešení projektu </w:t>
      </w:r>
      <w:r>
        <w:t>“</w:t>
      </w:r>
      <w:proofErr w:type="spellStart"/>
      <w:r>
        <w:t>Feasibility</w:t>
      </w:r>
      <w:proofErr w:type="spellEnd"/>
      <w:r>
        <w:t xml:space="preserve"> study: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City </w:t>
      </w:r>
      <w:proofErr w:type="spellStart"/>
      <w:r>
        <w:t>of</w:t>
      </w:r>
      <w:proofErr w:type="spellEnd"/>
      <w:r>
        <w:t xml:space="preserve"> Židlochovice, Czech Republic”, AZ_38614</w:t>
      </w:r>
      <w:r>
        <w:rPr>
          <w:color w:val="000000"/>
        </w:rPr>
        <w:t xml:space="preserve"> s finanční podporou </w:t>
      </w:r>
      <w:proofErr w:type="spellStart"/>
      <w:r>
        <w:rPr>
          <w:color w:val="000000"/>
        </w:rPr>
        <w:t>Deutsche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Bundesstiftung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Umwelt</w:t>
      </w:r>
      <w:proofErr w:type="spellEnd"/>
      <w:r>
        <w:rPr>
          <w:color w:val="000000"/>
        </w:rPr>
        <w:t xml:space="preserve"> (</w:t>
      </w:r>
      <w:r>
        <w:t>DBU)</w:t>
      </w:r>
      <w:r>
        <w:rPr>
          <w:color w:val="000000"/>
        </w:rPr>
        <w:t>.</w:t>
      </w:r>
    </w:p>
    <w:p w14:paraId="2059D8C8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DE3272" w14:textId="77777777" w:rsidR="00C3570A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1" w:name="_irxoucxx52cr" w:colFirst="0" w:colLast="0"/>
      <w:bookmarkEnd w:id="1"/>
      <w:r>
        <w:t>Odevzdání a předání díla</w:t>
      </w:r>
    </w:p>
    <w:p w14:paraId="34420553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Předmětem plnění - díla - je zpráva zpracovaná na základě zadání dle bodu 1. Dodavatel se zavazuje odevzdat zprávu nejpozději do 30. 6. 202</w:t>
      </w:r>
      <w:r>
        <w:t>3</w:t>
      </w:r>
      <w:r>
        <w:rPr>
          <w:color w:val="000000"/>
        </w:rPr>
        <w:t xml:space="preserve"> prostřednictvím elektronických nástrojů zástupci objednatele, tj. řešiteli projektu Janu Bártovi. Dílo bude předáno v otevřeném editovatelném formátu.</w:t>
      </w:r>
    </w:p>
    <w:p w14:paraId="63D306AF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Předáním díla dodavatelem a převzetím díla objednatelem nabývá objednatel vlastnické právo k dílu a právo dílo užít v souladu s bodem 5.</w:t>
      </w:r>
    </w:p>
    <w:p w14:paraId="31B456FE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E7A2BEE" w14:textId="77777777" w:rsidR="00C3570A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2" w:name="_xn0vi8amg54o" w:colFirst="0" w:colLast="0"/>
      <w:bookmarkEnd w:id="2"/>
      <w:r>
        <w:t>Cena díla, platební podmínky</w:t>
      </w:r>
    </w:p>
    <w:p w14:paraId="5FF44B9C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Cena za splnění díla dodavatelem dle této objednávky – obchodních podmínek je stanovena na základě nabídky dodavatele při plánování projektu a činí </w:t>
      </w:r>
      <w:r>
        <w:rPr>
          <w:b/>
        </w:rPr>
        <w:t xml:space="preserve">250.000 </w:t>
      </w:r>
      <w:r>
        <w:rPr>
          <w:color w:val="000000"/>
        </w:rPr>
        <w:t xml:space="preserve">(slovy </w:t>
      </w:r>
      <w:r>
        <w:t>dvě stě padesát tisíc</w:t>
      </w:r>
      <w:r>
        <w:rPr>
          <w:color w:val="000000"/>
        </w:rPr>
        <w:t xml:space="preserve">) </w:t>
      </w:r>
      <w:r>
        <w:rPr>
          <w:b/>
          <w:color w:val="000000"/>
        </w:rPr>
        <w:t>Kč</w:t>
      </w:r>
      <w:r>
        <w:rPr>
          <w:color w:val="000000"/>
        </w:rPr>
        <w:t xml:space="preserve"> včetně DPH.</w:t>
      </w:r>
    </w:p>
    <w:p w14:paraId="3A058D25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Cena díla je cenou nejvýše přípustnou, kterou není možné překročit ani při zvýšení sazby DPH. Cena díla bude objednatelem uhrazena dodavateli po řádném </w:t>
      </w:r>
      <w:r>
        <w:t xml:space="preserve">převzetí </w:t>
      </w:r>
      <w:r>
        <w:rPr>
          <w:color w:val="000000"/>
        </w:rPr>
        <w:t>dílčích částí díla bez vad a nedodělků, na základě p</w:t>
      </w:r>
      <w:r>
        <w:t>růběžných zpráv, předložených podkladů a reportů práce čtvrtletně tj. k 31. 3. 2023 a 30. 6. 2023 na základě vystavených faktur splatných do</w:t>
      </w:r>
      <w:r>
        <w:rPr>
          <w:color w:val="000000"/>
        </w:rPr>
        <w:t xml:space="preserve"> 30 dnů od jejího vystavení a předání objednateli.</w:t>
      </w:r>
    </w:p>
    <w:p w14:paraId="02048662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Objednatel není oprávněn dílo převzít, pokud dílo vykazuje vady a nedodělky. Dodavatel je povinen odstranit vady a nedodělky díla ve lhůtě, na které se objednatel a dodavatel dohodnou. Nepřevzetím vadného díla objednatelem od dodavatele nejsou dotčena ujednání v bodě 4.</w:t>
      </w:r>
    </w:p>
    <w:p w14:paraId="02A40B16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4A0849" w14:textId="77777777" w:rsidR="00C3570A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3" w:name="_kc4ilp9c9hr6" w:colFirst="0" w:colLast="0"/>
      <w:bookmarkEnd w:id="3"/>
      <w:r>
        <w:t>Sankce, odstoupení od smlouvy</w:t>
      </w:r>
    </w:p>
    <w:p w14:paraId="352CB953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dodavatele s řádným a včasným předáním díla je objednatel oprávněn vyžadovat po dodavateli úhradu smluvní pokuty ve výši 0,</w:t>
      </w:r>
      <w:r>
        <w:t>1</w:t>
      </w:r>
      <w:r>
        <w:rPr>
          <w:color w:val="000000"/>
        </w:rPr>
        <w:t xml:space="preserve"> % z ceny díla za každý započatý den prodlení a dodavatel je povinen smluvní pokutu uhradit ve lhůtě 30 dnů od jejího uplatnění objednatelem. Objednatel je rovněž oprávněn započíst vyměřenou smluvní pokutu oproti ceně díla.</w:t>
      </w:r>
    </w:p>
    <w:p w14:paraId="0FCE6B10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objednatele s úhradou faktury za řádné a včasné plnění, je dodavatel oprávněn vyžadovat po objednateli úhradu smluvní pokuty ve výši 0,</w:t>
      </w:r>
      <w:r>
        <w:t>1</w:t>
      </w:r>
      <w:r>
        <w:rPr>
          <w:color w:val="000000"/>
        </w:rPr>
        <w:t xml:space="preserve"> % z ceny díla za každý </w:t>
      </w:r>
      <w:r>
        <w:rPr>
          <w:color w:val="000000"/>
        </w:rPr>
        <w:lastRenderedPageBreak/>
        <w:t>započatý den prodlení a objednatel je povinen smluvní pokutu uhradit ve lhůtě 30 dnů od jejího uplatnění dodavatelem.</w:t>
      </w:r>
    </w:p>
    <w:p w14:paraId="7CEE0A58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prodlení dodavatele s řádným a včasným předáním díla delším než 30 kalendářních dnů, je objednatel oprávněn odstoupit od této objednávky – obchodních podmínek, a to doručením písemného odstoupení dodavateli, vč. odstoupení formou e-mailu doručeného na kontaktní e-mail dodavatele.</w:t>
      </w:r>
    </w:p>
    <w:p w14:paraId="530FC163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1E7AD0B4" w14:textId="77777777" w:rsidR="00C3570A" w:rsidRDefault="00000000">
      <w:pPr>
        <w:pStyle w:val="Nadpis1"/>
        <w:numPr>
          <w:ilvl w:val="0"/>
          <w:numId w:val="2"/>
        </w:numPr>
        <w:spacing w:line="276" w:lineRule="auto"/>
        <w:jc w:val="both"/>
      </w:pPr>
      <w:bookmarkStart w:id="4" w:name="_5sfbp5xot8v9" w:colFirst="0" w:colLast="0"/>
      <w:bookmarkEnd w:id="4"/>
      <w:r>
        <w:t>Licenční ujednání</w:t>
      </w:r>
    </w:p>
    <w:p w14:paraId="68A545C8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Dodavatel poskytuje objednateli oprávnění dílo užít v neomezeném rozsahu po celou dobu trvání majetkových práv k dílu (licenci), a to </w:t>
      </w:r>
      <w:r>
        <w:t>jen</w:t>
      </w:r>
      <w:r>
        <w:rPr>
          <w:color w:val="000000"/>
        </w:rPr>
        <w:t xml:space="preserve"> k účelu, který </w:t>
      </w:r>
      <w:r>
        <w:t>je</w:t>
      </w:r>
      <w:r>
        <w:rPr>
          <w:color w:val="000000"/>
        </w:rPr>
        <w:t xml:space="preserve"> výslovně sjednán v této objednávce – obchodních podmínkách - za podmínky nekomerčního užití díla. Objednatel je oprávněn dílo zapracovat do výstupu projektu - studie proveditelnosti</w:t>
      </w:r>
      <w:r>
        <w:t xml:space="preserve">, včetně úprav nebo změn díla a překladu do anglického jazyka. Objednatel i dodavatel jsou oprávněni užít výstup projektu (studii proveditelnosti) </w:t>
      </w:r>
      <w:r>
        <w:rPr>
          <w:color w:val="000000"/>
        </w:rPr>
        <w:t>nebo jeho část v neomezeném rozsahu a poskytnout třetí osobě k užití ve stejném rozsahu.</w:t>
      </w:r>
    </w:p>
    <w:p w14:paraId="2772F2EF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Dodavatel souhlasí s veřejným sdílením </w:t>
      </w:r>
      <w:r>
        <w:t>výstupu projektu - studie proveditelnosti</w:t>
      </w:r>
      <w:r>
        <w:rPr>
          <w:color w:val="000000"/>
        </w:rPr>
        <w:t xml:space="preserve">. </w:t>
      </w:r>
    </w:p>
    <w:p w14:paraId="7FDE762A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Dodavatel souhlasí, že veškeré výsledky mohou být dále reprodukovány a aplikovány i na jiné projekty koordinované Jihomoravskou agenturou pro veřejné inovace JINAG, spolek.</w:t>
      </w:r>
    </w:p>
    <w:p w14:paraId="14682411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A3C6EEC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 xml:space="preserve"> </w:t>
      </w:r>
    </w:p>
    <w:p w14:paraId="7B785043" w14:textId="77777777" w:rsidR="00C3570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V Brně dne</w:t>
      </w:r>
      <w:r>
        <w:t xml:space="preserve"> </w:t>
      </w:r>
      <w:r w:rsidRPr="00AC23F8">
        <w:rPr>
          <w:highlight w:val="black"/>
        </w:rPr>
        <w:t>21. 4. 2023</w:t>
      </w:r>
    </w:p>
    <w:p w14:paraId="51AC1658" w14:textId="77777777" w:rsidR="00C3570A" w:rsidRDefault="00C35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14:paraId="51E21F7C" w14:textId="77777777" w:rsidR="00C3570A" w:rsidRDefault="00C3570A">
      <w:pPr>
        <w:shd w:val="clear" w:color="auto" w:fill="FFFFFF"/>
        <w:rPr>
          <w:b/>
        </w:rPr>
      </w:pPr>
    </w:p>
    <w:p w14:paraId="6ADEB900" w14:textId="6FB4C7FF" w:rsidR="00C3570A" w:rsidRDefault="00C3570A">
      <w:pPr>
        <w:shd w:val="clear" w:color="auto" w:fill="FFFFFF"/>
        <w:rPr>
          <w:b/>
        </w:rPr>
      </w:pPr>
    </w:p>
    <w:p w14:paraId="7D6C36D9" w14:textId="77777777" w:rsidR="00C3570A" w:rsidRDefault="00000000">
      <w:pPr>
        <w:shd w:val="clear" w:color="auto" w:fill="FFFFFF"/>
        <w:rPr>
          <w:b/>
        </w:rPr>
      </w:pPr>
      <w:r>
        <w:rPr>
          <w:b/>
        </w:rPr>
        <w:t>Ing. Patrik Reichl, MBA</w:t>
      </w:r>
    </w:p>
    <w:p w14:paraId="3B811ACB" w14:textId="77777777" w:rsidR="00C3570A" w:rsidRDefault="00000000">
      <w:pPr>
        <w:shd w:val="clear" w:color="auto" w:fill="FFFFFF"/>
        <w:rPr>
          <w:color w:val="000000"/>
        </w:rPr>
      </w:pPr>
      <w:r>
        <w:t>za objednatele</w:t>
      </w:r>
    </w:p>
    <w:sectPr w:rsidR="00C3570A">
      <w:headerReference w:type="default" r:id="rId11"/>
      <w:footerReference w:type="default" r:id="rId12"/>
      <w:pgSz w:w="11906" w:h="16838"/>
      <w:pgMar w:top="1133" w:right="1417" w:bottom="113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73E7" w14:textId="77777777" w:rsidR="008B7743" w:rsidRDefault="008B7743">
      <w:pPr>
        <w:spacing w:line="240" w:lineRule="auto"/>
      </w:pPr>
      <w:r>
        <w:separator/>
      </w:r>
    </w:p>
  </w:endnote>
  <w:endnote w:type="continuationSeparator" w:id="0">
    <w:p w14:paraId="357FC886" w14:textId="77777777" w:rsidR="008B7743" w:rsidRDefault="008B7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E292" w14:textId="77777777" w:rsidR="00C357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2B83722" wp14:editId="5027F3A2">
          <wp:extent cx="1819275" cy="907906"/>
          <wp:effectExtent l="0" t="0" r="0" b="0"/>
          <wp:docPr id="4" name="image4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sah obrázku text&#10;&#10;Popis byl vytvořen automaticky"/>
                  <pic:cNvPicPr preferRelativeResize="0"/>
                </pic:nvPicPr>
                <pic:blipFill>
                  <a:blip r:embed="rId1"/>
                  <a:srcRect b="20568"/>
                  <a:stretch>
                    <a:fillRect/>
                  </a:stretch>
                </pic:blipFill>
                <pic:spPr>
                  <a:xfrm>
                    <a:off x="0" y="0"/>
                    <a:ext cx="1819275" cy="9079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BA775A" wp14:editId="378187F2">
          <wp:simplePos x="0" y="0"/>
          <wp:positionH relativeFrom="column">
            <wp:posOffset>4053205</wp:posOffset>
          </wp:positionH>
          <wp:positionV relativeFrom="paragraph">
            <wp:posOffset>0</wp:posOffset>
          </wp:positionV>
          <wp:extent cx="1704975" cy="736456"/>
          <wp:effectExtent l="0" t="0" r="0" b="0"/>
          <wp:wrapSquare wrapText="bothSides" distT="0" distB="0" distL="114300" distR="114300"/>
          <wp:docPr id="3" name="image2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&#10;&#10;Popis byl vytvořen automaticky"/>
                  <pic:cNvPicPr preferRelativeResize="0"/>
                </pic:nvPicPr>
                <pic:blipFill>
                  <a:blip r:embed="rId2"/>
                  <a:srcRect b="31576"/>
                  <a:stretch>
                    <a:fillRect/>
                  </a:stretch>
                </pic:blipFill>
                <pic:spPr>
                  <a:xfrm>
                    <a:off x="0" y="0"/>
                    <a:ext cx="1704975" cy="736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F506" w14:textId="77777777" w:rsidR="008B7743" w:rsidRDefault="008B7743">
      <w:pPr>
        <w:spacing w:line="240" w:lineRule="auto"/>
      </w:pPr>
      <w:r>
        <w:separator/>
      </w:r>
    </w:p>
  </w:footnote>
  <w:footnote w:type="continuationSeparator" w:id="0">
    <w:p w14:paraId="2F43F8FB" w14:textId="77777777" w:rsidR="008B7743" w:rsidRDefault="008B7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6C2" w14:textId="77777777" w:rsidR="00C357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inline distT="0" distB="0" distL="114300" distR="114300" wp14:anchorId="06FC7D82" wp14:editId="1F678DD0">
          <wp:extent cx="2238375" cy="6686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51" t="22000"/>
                  <a:stretch>
                    <a:fillRect/>
                  </a:stretch>
                </pic:blipFill>
                <pic:spPr>
                  <a:xfrm>
                    <a:off x="0" y="0"/>
                    <a:ext cx="2238375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A88"/>
    <w:multiLevelType w:val="multilevel"/>
    <w:tmpl w:val="2884A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FF462A"/>
    <w:multiLevelType w:val="multilevel"/>
    <w:tmpl w:val="046270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53777">
    <w:abstractNumId w:val="0"/>
  </w:num>
  <w:num w:numId="2" w16cid:durableId="106641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0A"/>
    <w:rsid w:val="008B7743"/>
    <w:rsid w:val="00AC23F8"/>
    <w:rsid w:val="00C3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0470"/>
  <w15:docId w15:val="{FBA8D5A2-D4DE-4E0A-BC50-7CD0D20C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360" w:lineRule="auto"/>
      <w:ind w:left="720" w:hanging="360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arta@jinag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a.sarounova@jinag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.barta@jinag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michek@pmac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Šarounová</dc:creator>
  <cp:lastModifiedBy>Vladimíra Šarounová</cp:lastModifiedBy>
  <cp:revision>2</cp:revision>
  <dcterms:created xsi:type="dcterms:W3CDTF">2023-07-04T09:23:00Z</dcterms:created>
  <dcterms:modified xsi:type="dcterms:W3CDTF">2023-07-04T09:23:00Z</dcterms:modified>
</cp:coreProperties>
</file>