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46B7" w14:textId="77777777" w:rsidR="00411DC7" w:rsidRDefault="00411DC7" w:rsidP="00411DC7">
      <w:pPr>
        <w:pStyle w:val="Nadpis1"/>
        <w:jc w:val="center"/>
      </w:pPr>
      <w:r>
        <w:t>Rámcová smlouva o zajištění tiskařských služeb</w:t>
      </w:r>
    </w:p>
    <w:p w14:paraId="03E0978D" w14:textId="77777777" w:rsidR="00411DC7" w:rsidRDefault="00411DC7" w:rsidP="00411DC7">
      <w:r>
        <w:t>(dle ustanovení zákona č. 121/2000 Sb., autorský zákon, ve znění pozdějších předpisů, zákona č. 89/2012 Sb., občanský zákoník, ve znění pozdějších předpisů a zák. 46/2000 Sb., tiskový zákon, ve znění pozdějších předpisů)</w:t>
      </w:r>
    </w:p>
    <w:p w14:paraId="5A22B11F" w14:textId="77777777" w:rsidR="00411DC7" w:rsidRDefault="00411DC7" w:rsidP="00411DC7">
      <w:r>
        <w:t xml:space="preserve">Číslo smlouvy vydavatele: </w:t>
      </w:r>
    </w:p>
    <w:p w14:paraId="7FF1D53D" w14:textId="77777777" w:rsidR="00411DC7" w:rsidRDefault="00411DC7" w:rsidP="00411DC7"/>
    <w:p w14:paraId="7B8E8356" w14:textId="77777777" w:rsidR="00411DC7" w:rsidRDefault="00411DC7" w:rsidP="00411DC7">
      <w:r>
        <w:t>uzavřená níže uvedeného dne, měsíce a roku mezi smluvními stranami</w:t>
      </w:r>
    </w:p>
    <w:p w14:paraId="255175F3" w14:textId="77777777" w:rsidR="00411DC7" w:rsidRDefault="00411DC7" w:rsidP="00411DC7">
      <w:pPr>
        <w:rPr>
          <w:b/>
        </w:rPr>
      </w:pPr>
      <w:r>
        <w:rPr>
          <w:b/>
        </w:rPr>
        <w:t>1. město Rýmařov</w:t>
      </w:r>
    </w:p>
    <w:p w14:paraId="4126C0EC" w14:textId="77777777" w:rsidR="00411DC7" w:rsidRDefault="00411DC7" w:rsidP="00411DC7">
      <w:r>
        <w:t xml:space="preserve">Se sídlem: </w:t>
      </w:r>
      <w:r>
        <w:tab/>
      </w:r>
      <w:r>
        <w:tab/>
        <w:t>náměstí Míru 230/1, 795 01 Rýmařov</w:t>
      </w:r>
    </w:p>
    <w:p w14:paraId="06C3E8D1" w14:textId="77777777" w:rsidR="00411DC7" w:rsidRDefault="00411DC7" w:rsidP="00411DC7">
      <w:r>
        <w:t xml:space="preserve">Zastoupeno: </w:t>
      </w:r>
      <w:r>
        <w:tab/>
      </w:r>
      <w:r>
        <w:tab/>
        <w:t>Ing. Luďkem Šimko, starostou</w:t>
      </w:r>
    </w:p>
    <w:p w14:paraId="24C74D8E" w14:textId="77777777" w:rsidR="00411DC7" w:rsidRDefault="00411DC7" w:rsidP="00411DC7">
      <w:r>
        <w:t xml:space="preserve">IČO: </w:t>
      </w:r>
      <w:r>
        <w:tab/>
      </w:r>
      <w:r>
        <w:tab/>
      </w:r>
      <w:r>
        <w:tab/>
        <w:t>00296317</w:t>
      </w:r>
    </w:p>
    <w:p w14:paraId="0CF6F9D6" w14:textId="77777777" w:rsidR="00411DC7" w:rsidRDefault="00411DC7" w:rsidP="00411DC7">
      <w:r>
        <w:t xml:space="preserve">DIČ: </w:t>
      </w:r>
      <w:r>
        <w:tab/>
      </w:r>
      <w:r>
        <w:tab/>
      </w:r>
      <w:r>
        <w:tab/>
        <w:t>CZ00296317</w:t>
      </w:r>
    </w:p>
    <w:p w14:paraId="79DB3186" w14:textId="77777777" w:rsidR="00411DC7" w:rsidRDefault="00411DC7" w:rsidP="00411DC7">
      <w:r>
        <w:t xml:space="preserve">Bankovní spojení: </w:t>
      </w:r>
      <w:r>
        <w:tab/>
        <w:t>Komerční banka a. s.</w:t>
      </w:r>
    </w:p>
    <w:p w14:paraId="6907D704" w14:textId="77777777" w:rsidR="00411DC7" w:rsidRDefault="00411DC7" w:rsidP="00411DC7">
      <w:r>
        <w:t xml:space="preserve">Číslo účtu: </w:t>
      </w:r>
      <w:r>
        <w:tab/>
      </w:r>
      <w:r>
        <w:tab/>
        <w:t>19-1421771/0100</w:t>
      </w:r>
    </w:p>
    <w:p w14:paraId="6CD09FAC" w14:textId="77777777" w:rsidR="00411DC7" w:rsidRDefault="00411DC7" w:rsidP="00411DC7">
      <w:pPr>
        <w:spacing w:after="0"/>
      </w:pPr>
      <w:r>
        <w:t>Osoba oprávněná jednat ve věcech technických týkající se této smlouvy (kontaktní osoba):</w:t>
      </w:r>
    </w:p>
    <w:p w14:paraId="1A8A86EB" w14:textId="4E498D95" w:rsidR="00411DC7" w:rsidRDefault="00966ABE" w:rsidP="00411DC7">
      <w:pPr>
        <w:spacing w:after="0"/>
      </w:pPr>
      <w:r>
        <w:t>XXXXXXXXXXXX</w:t>
      </w:r>
      <w:r w:rsidR="00411DC7">
        <w:t xml:space="preserve">, tel.: </w:t>
      </w:r>
      <w:r>
        <w:t>XXXXXXXXXXXX</w:t>
      </w:r>
      <w:r w:rsidR="00411DC7">
        <w:t xml:space="preserve">, e-mail: </w:t>
      </w:r>
      <w:r>
        <w:t>XXXXXXXXXXXXXXXXXXXXXX</w:t>
      </w:r>
    </w:p>
    <w:p w14:paraId="4F669B8B" w14:textId="77777777" w:rsidR="00411DC7" w:rsidRDefault="00411DC7" w:rsidP="00411DC7">
      <w:pPr>
        <w:spacing w:after="0"/>
      </w:pPr>
    </w:p>
    <w:p w14:paraId="2E6A09D9" w14:textId="77777777" w:rsidR="00411DC7" w:rsidRDefault="00411DC7" w:rsidP="00411DC7">
      <w:pPr>
        <w:spacing w:after="0"/>
      </w:pPr>
      <w:r>
        <w:t xml:space="preserve">(dále jen </w:t>
      </w:r>
      <w:r>
        <w:rPr>
          <w:i/>
        </w:rPr>
        <w:t>„vydavatel“</w:t>
      </w:r>
      <w:r>
        <w:t>)</w:t>
      </w:r>
    </w:p>
    <w:p w14:paraId="3508A851" w14:textId="77777777" w:rsidR="00411DC7" w:rsidRDefault="00411DC7" w:rsidP="00411DC7"/>
    <w:p w14:paraId="282E0724" w14:textId="77777777" w:rsidR="00411DC7" w:rsidRDefault="00411DC7" w:rsidP="00411DC7">
      <w:r>
        <w:t>a</w:t>
      </w:r>
    </w:p>
    <w:p w14:paraId="08D4B025" w14:textId="77777777" w:rsidR="00411DC7" w:rsidRDefault="00411DC7" w:rsidP="00411DC7"/>
    <w:p w14:paraId="62763A87" w14:textId="6DFEC499" w:rsidR="00411DC7" w:rsidRDefault="00411DC7" w:rsidP="00411DC7">
      <w:pPr>
        <w:rPr>
          <w:b/>
        </w:rPr>
      </w:pPr>
      <w:r>
        <w:rPr>
          <w:b/>
        </w:rPr>
        <w:t xml:space="preserve">2. </w:t>
      </w:r>
      <w:r w:rsidR="00260C90">
        <w:rPr>
          <w:b/>
        </w:rPr>
        <w:t>Profi-tisk group s.r.o.</w:t>
      </w:r>
    </w:p>
    <w:p w14:paraId="6CB04AFF" w14:textId="227CCF11" w:rsidR="00411DC7" w:rsidRDefault="00411DC7" w:rsidP="00411DC7">
      <w:r>
        <w:t xml:space="preserve">Se sídlem: </w:t>
      </w:r>
      <w:r w:rsidR="00260C90">
        <w:tab/>
      </w:r>
      <w:r w:rsidR="00260C90">
        <w:tab/>
        <w:t>Chválkovická 223/5, 779 00 Olomouc</w:t>
      </w:r>
    </w:p>
    <w:p w14:paraId="4239FF70" w14:textId="38E34843" w:rsidR="00411DC7" w:rsidRDefault="00411DC7" w:rsidP="00411DC7">
      <w:r>
        <w:t xml:space="preserve">Zastoupena: </w:t>
      </w:r>
      <w:r w:rsidR="00260C90">
        <w:tab/>
      </w:r>
      <w:r w:rsidR="00260C90">
        <w:tab/>
        <w:t>Tomáš Vebr, jednatel</w:t>
      </w:r>
    </w:p>
    <w:p w14:paraId="46094D9E" w14:textId="31D334F3" w:rsidR="00411DC7" w:rsidRDefault="00411DC7" w:rsidP="00411DC7">
      <w:r>
        <w:t xml:space="preserve">IČO: </w:t>
      </w:r>
      <w:r w:rsidR="00260C90">
        <w:tab/>
      </w:r>
      <w:r w:rsidR="00260C90">
        <w:tab/>
      </w:r>
      <w:r w:rsidR="00260C90">
        <w:tab/>
        <w:t>26868954</w:t>
      </w:r>
    </w:p>
    <w:p w14:paraId="6DF38FBF" w14:textId="13E9B305" w:rsidR="00411DC7" w:rsidRDefault="00411DC7" w:rsidP="00411DC7">
      <w:r>
        <w:t xml:space="preserve">DIČ: </w:t>
      </w:r>
      <w:r w:rsidR="00260C90">
        <w:tab/>
      </w:r>
      <w:r w:rsidR="00260C90">
        <w:tab/>
      </w:r>
      <w:r w:rsidR="00260C90">
        <w:tab/>
        <w:t>CZ26868954</w:t>
      </w:r>
    </w:p>
    <w:p w14:paraId="33DE7B10" w14:textId="57C57698" w:rsidR="00411DC7" w:rsidRDefault="00411DC7" w:rsidP="00411DC7">
      <w:r>
        <w:t xml:space="preserve">Bankovní spojení: </w:t>
      </w:r>
      <w:r w:rsidR="00260C90">
        <w:tab/>
        <w:t>UniCredit Bank a.s. Czech republic</w:t>
      </w:r>
    </w:p>
    <w:p w14:paraId="7923E535" w14:textId="05F2F954" w:rsidR="00411DC7" w:rsidRDefault="00411DC7" w:rsidP="00411DC7">
      <w:r>
        <w:t xml:space="preserve">Číslo účtu: </w:t>
      </w:r>
      <w:r w:rsidR="00260C90">
        <w:tab/>
      </w:r>
      <w:r w:rsidR="00260C90">
        <w:tab/>
        <w:t>210574</w:t>
      </w:r>
      <w:r w:rsidR="00830B1E">
        <w:t>0</w:t>
      </w:r>
      <w:r w:rsidR="00260C90">
        <w:t>23</w:t>
      </w:r>
      <w:r w:rsidR="00830B1E">
        <w:t>1</w:t>
      </w:r>
      <w:r w:rsidR="00260C90">
        <w:t>/2700</w:t>
      </w:r>
    </w:p>
    <w:p w14:paraId="711D1EA2" w14:textId="7DC3E463" w:rsidR="00411DC7" w:rsidRDefault="00411DC7" w:rsidP="00411DC7">
      <w:r>
        <w:t xml:space="preserve">Zapsaná v </w:t>
      </w:r>
      <w:r w:rsidR="00260C90">
        <w:t>obchodním</w:t>
      </w:r>
      <w:r>
        <w:t xml:space="preserve"> rejstříku vedeném </w:t>
      </w:r>
      <w:r w:rsidR="00260C90">
        <w:t xml:space="preserve">Krajským soudem v Ostravě, </w:t>
      </w:r>
      <w:r>
        <w:t>sp.zn.</w:t>
      </w:r>
      <w:r w:rsidR="00260C90">
        <w:t xml:space="preserve"> C 40897</w:t>
      </w:r>
    </w:p>
    <w:p w14:paraId="052D1AC6" w14:textId="77777777" w:rsidR="00411DC7" w:rsidRDefault="00411DC7" w:rsidP="00411DC7">
      <w:r>
        <w:t>Osoba oprávněná jednat ve věcech realizace a věcech technických týkajících se této smlouvy (kontaktní osoba):</w:t>
      </w:r>
    </w:p>
    <w:p w14:paraId="05EECBAB" w14:textId="52851463" w:rsidR="00966ABE" w:rsidRDefault="00966ABE" w:rsidP="00411DC7">
      <w:r>
        <w:t>XXXXXXXXXXXXXXXXXXX</w:t>
      </w:r>
      <w:r w:rsidR="00260C90">
        <w:t>, obchodní zástupce,</w:t>
      </w:r>
      <w:r w:rsidR="00411DC7">
        <w:t xml:space="preserve"> tel. </w:t>
      </w:r>
      <w:r>
        <w:t>XXXXXXXXXX</w:t>
      </w:r>
      <w:r w:rsidR="00260C90">
        <w:t xml:space="preserve">, </w:t>
      </w:r>
      <w:r w:rsidR="00411DC7">
        <w:t xml:space="preserve">e-mail: </w:t>
      </w:r>
      <w:r>
        <w:t>XXXXXXXXXXXXXX</w:t>
      </w:r>
    </w:p>
    <w:p w14:paraId="08E8356B" w14:textId="0A735775" w:rsidR="00411DC7" w:rsidRDefault="00411DC7" w:rsidP="00411DC7">
      <w:r>
        <w:t xml:space="preserve">(dále jen </w:t>
      </w:r>
      <w:r>
        <w:rPr>
          <w:i/>
        </w:rPr>
        <w:t>„obstaravatel“</w:t>
      </w:r>
      <w:r>
        <w:t>)</w:t>
      </w:r>
    </w:p>
    <w:p w14:paraId="4F56054A" w14:textId="77777777" w:rsidR="00411DC7" w:rsidRDefault="00411DC7" w:rsidP="00411DC7"/>
    <w:p w14:paraId="3215C34C" w14:textId="77777777" w:rsidR="00411DC7" w:rsidRDefault="00411DC7" w:rsidP="00411DC7">
      <w:pPr>
        <w:pStyle w:val="Odstavecseseznamem"/>
        <w:numPr>
          <w:ilvl w:val="0"/>
          <w:numId w:val="1"/>
        </w:numPr>
        <w:ind w:left="426" w:hanging="426"/>
        <w:jc w:val="center"/>
        <w:rPr>
          <w:b/>
        </w:rPr>
      </w:pPr>
      <w:r>
        <w:rPr>
          <w:b/>
        </w:rPr>
        <w:t>Základní ustanovení</w:t>
      </w:r>
    </w:p>
    <w:p w14:paraId="07F2052B" w14:textId="77777777" w:rsidR="00411DC7" w:rsidRDefault="00411DC7" w:rsidP="00411DC7">
      <w:pPr>
        <w:pStyle w:val="Odstavecseseznamem"/>
        <w:numPr>
          <w:ilvl w:val="1"/>
          <w:numId w:val="2"/>
        </w:numPr>
        <w:ind w:left="284" w:hanging="284"/>
      </w:pPr>
      <w:r>
        <w:t xml:space="preserve">Vydavatel tímto prohlašuje, že je ve smyslu § 3 písm. b) zákona č. 46/2000 Sb., o právech a povinnostech při vydávání periodického tisku a o změně některých jiných zákonů (tiskový zákon), </w:t>
      </w:r>
      <w:r>
        <w:lastRenderedPageBreak/>
        <w:t>ve znění pozdějších předpisů, vydavatelem periodického tisku, a to měsíčníku Rýmařovský horizont (dále jen „měsíčník“ nebo „periodikum“).</w:t>
      </w:r>
    </w:p>
    <w:p w14:paraId="6ABCEBD4" w14:textId="77777777" w:rsidR="00411DC7" w:rsidRDefault="00411DC7" w:rsidP="00411DC7">
      <w:pPr>
        <w:pStyle w:val="Odstavecseseznamem"/>
        <w:numPr>
          <w:ilvl w:val="1"/>
          <w:numId w:val="2"/>
        </w:numPr>
        <w:ind w:left="284" w:hanging="284"/>
      </w:pPr>
      <w:r>
        <w:t>Obstaravatel tímto prohlašuje, že je ve smyslu zákona č. 455/1991 Sb., o živnostenském podnikání, ve znění pozdějších předpisů, oprávněn tuto smlouvu uzavřít a vykonávat činnost uvedenou v této smlouvě.</w:t>
      </w:r>
    </w:p>
    <w:p w14:paraId="6CB02078" w14:textId="77777777" w:rsidR="00411DC7" w:rsidRDefault="00411DC7" w:rsidP="00411DC7">
      <w:pPr>
        <w:pStyle w:val="Odstavecseseznamem"/>
        <w:numPr>
          <w:ilvl w:val="0"/>
          <w:numId w:val="1"/>
        </w:numPr>
        <w:ind w:left="426" w:hanging="426"/>
        <w:jc w:val="center"/>
        <w:rPr>
          <w:b/>
        </w:rPr>
      </w:pPr>
      <w:r>
        <w:rPr>
          <w:b/>
        </w:rPr>
        <w:t>Předmět smlouvy</w:t>
      </w:r>
    </w:p>
    <w:p w14:paraId="3BDA907C" w14:textId="77777777" w:rsidR="00411DC7" w:rsidRDefault="00411DC7" w:rsidP="00411DC7">
      <w:pPr>
        <w:pStyle w:val="Odstavecseseznamem"/>
        <w:numPr>
          <w:ilvl w:val="0"/>
          <w:numId w:val="3"/>
        </w:numPr>
        <w:ind w:left="284" w:hanging="284"/>
      </w:pPr>
      <w:r>
        <w:t>Obstaravatel se zavazuje na svůj náklad a nebezpečí a na základě realizačních smluv zajistit tiskařské služby včetně originální grafické podoby titulní strany, grafické přípravy, tisku, vazby, balení a distribuce měsíčníku za podmínek této smlouvy (dále jen „tiskařské služby“).</w:t>
      </w:r>
    </w:p>
    <w:p w14:paraId="4AE5A64F" w14:textId="77777777" w:rsidR="00411DC7" w:rsidRDefault="00411DC7" w:rsidP="00411DC7">
      <w:pPr>
        <w:pStyle w:val="Odstavecseseznamem"/>
        <w:numPr>
          <w:ilvl w:val="0"/>
          <w:numId w:val="3"/>
        </w:numPr>
        <w:ind w:left="284" w:hanging="284"/>
      </w:pPr>
      <w:r>
        <w:t>Vydavatel se zavazuje zaplatit obstaravateli za poskytnuté tiskařské služby dohodnutou cenu.</w:t>
      </w:r>
    </w:p>
    <w:p w14:paraId="672A068E" w14:textId="77777777" w:rsidR="00411DC7" w:rsidRDefault="00411DC7" w:rsidP="00411DC7"/>
    <w:p w14:paraId="524A57F7" w14:textId="77777777" w:rsidR="00411DC7" w:rsidRDefault="00411DC7" w:rsidP="00411DC7">
      <w:pPr>
        <w:pStyle w:val="Odstavecseseznamem"/>
        <w:numPr>
          <w:ilvl w:val="0"/>
          <w:numId w:val="1"/>
        </w:numPr>
        <w:ind w:left="426" w:hanging="426"/>
        <w:jc w:val="center"/>
        <w:rPr>
          <w:b/>
        </w:rPr>
      </w:pPr>
      <w:r>
        <w:rPr>
          <w:b/>
        </w:rPr>
        <w:t>Obsah a harmonogram zpracování periodika</w:t>
      </w:r>
    </w:p>
    <w:p w14:paraId="091D8B88" w14:textId="77777777" w:rsidR="00411DC7" w:rsidRDefault="00411DC7" w:rsidP="00411DC7">
      <w:pPr>
        <w:pStyle w:val="Odstavecseseznamem"/>
        <w:numPr>
          <w:ilvl w:val="0"/>
          <w:numId w:val="4"/>
        </w:numPr>
        <w:ind w:left="284" w:hanging="284"/>
      </w:pPr>
      <w:r>
        <w:t>Vydavatel je povinen zajistit obsahovou náplň všech stran periodika. Obsah periodika bude tvořen autorskými články, informacemi o činnosti orgánů města Rýmařova, informacemi o konání schůzí Rady a o konání zasedání Zastupitelstva města Rýmařova, informacemi o obsahu a výsledcích jednání; provozní oznámení, kulturní, sportovní a společenská a další oznámení; informace o dění a životě ve městě, tj. informace z oblasti kultury, vč. představení osobností města, informace z oblasti vzdělávání, sportu, dopravy, informace o činnosti neziskových organizací a charity, informace o soutěžích, názorech odborné i laické veřejnosti apod. Součástí periodika budou rovněž autorské fotografie. Do periodika budou zařazovány rovněž neredigované příspěvky a inzerce.</w:t>
      </w:r>
    </w:p>
    <w:p w14:paraId="4D7E89FE" w14:textId="77777777" w:rsidR="00411DC7" w:rsidRDefault="00411DC7" w:rsidP="00411DC7">
      <w:pPr>
        <w:pStyle w:val="Odstavecseseznamem"/>
        <w:numPr>
          <w:ilvl w:val="0"/>
          <w:numId w:val="4"/>
        </w:numPr>
        <w:ind w:left="284" w:hanging="284"/>
      </w:pPr>
      <w:r>
        <w:t>Podklady pro grafické zpracování periodika budou obstaravateli předávány v následujících formátech:</w:t>
      </w:r>
    </w:p>
    <w:p w14:paraId="0A80A7D9" w14:textId="77777777" w:rsidR="00411DC7" w:rsidRDefault="00411DC7" w:rsidP="00411DC7">
      <w:pPr>
        <w:pStyle w:val="Odstavecseseznamem"/>
        <w:numPr>
          <w:ilvl w:val="0"/>
          <w:numId w:val="5"/>
        </w:numPr>
        <w:suppressAutoHyphens/>
        <w:spacing w:after="0"/>
        <w:ind w:left="993" w:hanging="284"/>
        <w:contextualSpacing/>
        <w:rPr>
          <w:rFonts w:cstheme="minorHAnsi"/>
        </w:rPr>
      </w:pPr>
      <w:r>
        <w:rPr>
          <w:rFonts w:cstheme="minorHAnsi"/>
        </w:rPr>
        <w:t>texty: soubory DOC, DOCX, RTF, XLS, XLSX, PDF (případné další formáty dle dohody),</w:t>
      </w:r>
    </w:p>
    <w:p w14:paraId="04B3E9C1" w14:textId="067FBCDD" w:rsidR="00411DC7" w:rsidRDefault="00411DC7" w:rsidP="00411DC7">
      <w:pPr>
        <w:pStyle w:val="Odstavecseseznamem"/>
        <w:numPr>
          <w:ilvl w:val="0"/>
          <w:numId w:val="5"/>
        </w:numPr>
        <w:suppressAutoHyphens/>
        <w:spacing w:after="0"/>
        <w:ind w:left="993" w:hanging="284"/>
        <w:contextualSpacing/>
        <w:rPr>
          <w:rFonts w:cstheme="minorHAnsi"/>
        </w:rPr>
      </w:pPr>
      <w:r>
        <w:rPr>
          <w:rFonts w:cstheme="minorHAnsi"/>
        </w:rPr>
        <w:t>fotografie: soubory JPG, TIFF, BMP, GIF (případné další formáty dle dohody),</w:t>
      </w:r>
    </w:p>
    <w:p w14:paraId="051B5441" w14:textId="77777777" w:rsidR="00411DC7" w:rsidRDefault="00411DC7" w:rsidP="00411DC7">
      <w:pPr>
        <w:pStyle w:val="Odstavecseseznamem"/>
        <w:numPr>
          <w:ilvl w:val="0"/>
          <w:numId w:val="5"/>
        </w:numPr>
        <w:suppressAutoHyphens/>
        <w:spacing w:after="0"/>
        <w:ind w:left="993" w:hanging="284"/>
        <w:contextualSpacing/>
        <w:rPr>
          <w:rFonts w:cstheme="minorHAnsi"/>
        </w:rPr>
      </w:pPr>
      <w:r>
        <w:rPr>
          <w:rFonts w:cstheme="minorHAnsi"/>
        </w:rPr>
        <w:t>podklady pro reklamy: soubory CDR, AI, EPS, PDF (možné i JPG, TIFF) (případné další formáty dle dohody),</w:t>
      </w:r>
    </w:p>
    <w:p w14:paraId="047BEB81" w14:textId="77777777" w:rsidR="00411DC7" w:rsidRDefault="00411DC7" w:rsidP="00411DC7">
      <w:pPr>
        <w:pStyle w:val="Odstavecseseznamem"/>
        <w:ind w:left="284"/>
      </w:pPr>
      <w:r>
        <w:t>a to v termínech podle harmonogramu zpracování:</w:t>
      </w:r>
    </w:p>
    <w:p w14:paraId="21065595" w14:textId="77777777" w:rsidR="00411DC7" w:rsidRDefault="00411DC7" w:rsidP="00411DC7">
      <w:pPr>
        <w:pStyle w:val="Odstavecseseznamem"/>
        <w:numPr>
          <w:ilvl w:val="0"/>
          <w:numId w:val="4"/>
        </w:numPr>
        <w:ind w:left="284" w:hanging="284"/>
        <w:rPr>
          <w:bCs/>
        </w:rPr>
      </w:pPr>
      <w:r>
        <w:rPr>
          <w:bCs/>
        </w:rPr>
        <w:t>Harmonogram plnění:</w:t>
      </w:r>
    </w:p>
    <w:p w14:paraId="0B0E04EE" w14:textId="77777777" w:rsidR="00411DC7" w:rsidRDefault="00411DC7" w:rsidP="00411DC7">
      <w:pPr>
        <w:pStyle w:val="Odstavecseseznamem"/>
        <w:numPr>
          <w:ilvl w:val="1"/>
          <w:numId w:val="4"/>
        </w:numPr>
        <w:suppressAutoHyphens/>
        <w:spacing w:after="0"/>
        <w:ind w:left="993"/>
        <w:contextualSpacing/>
        <w:rPr>
          <w:rFonts w:cstheme="minorHAnsi"/>
        </w:rPr>
      </w:pPr>
      <w:r>
        <w:rPr>
          <w:rFonts w:cstheme="minorHAnsi"/>
        </w:rPr>
        <w:t>zadavatel předává podklady pro tisk v týdnu vydání v pondělí do 15:00 v elektronické podobě tak, že do zadavatelova nebo zhotovitelova úložiště budou uloženy veškeré podklady a poté zadavatel zhotoviteli odešle zprávu s případnými dalšími požadavky;</w:t>
      </w:r>
    </w:p>
    <w:p w14:paraId="33DFE319" w14:textId="77777777" w:rsidR="00411DC7" w:rsidRDefault="00411DC7" w:rsidP="00411DC7">
      <w:pPr>
        <w:pStyle w:val="Odstavecseseznamem"/>
        <w:numPr>
          <w:ilvl w:val="1"/>
          <w:numId w:val="4"/>
        </w:numPr>
        <w:suppressAutoHyphens/>
        <w:spacing w:after="0"/>
        <w:ind w:left="993"/>
        <w:contextualSpacing/>
        <w:rPr>
          <w:rFonts w:cstheme="minorHAnsi"/>
        </w:rPr>
      </w:pPr>
      <w:r>
        <w:rPr>
          <w:rFonts w:cstheme="minorHAnsi"/>
        </w:rPr>
        <w:t>zhotovitel tyto podklady graficky zpracuje a odešle na úložiště zadavatele nebo zhotovitele nejpozději do středy stejného týdne do 08:00 v souboru PDF;</w:t>
      </w:r>
    </w:p>
    <w:p w14:paraId="2F17F83F" w14:textId="2D9349B7" w:rsidR="00411DC7" w:rsidRDefault="00411DC7" w:rsidP="00411DC7">
      <w:pPr>
        <w:pStyle w:val="Odstavecseseznamem"/>
        <w:numPr>
          <w:ilvl w:val="1"/>
          <w:numId w:val="4"/>
        </w:numPr>
        <w:suppressAutoHyphens/>
        <w:spacing w:after="0"/>
        <w:ind w:left="993"/>
        <w:contextualSpacing/>
        <w:rPr>
          <w:rFonts w:cstheme="minorHAnsi"/>
          <w:color w:val="000000" w:themeColor="text1"/>
        </w:rPr>
      </w:pPr>
      <w:r>
        <w:rPr>
          <w:rFonts w:cstheme="minorHAnsi"/>
        </w:rPr>
        <w:t>zadavatel provede tentýž den, tj. ve středu, korekturu a odešle nejpozději do 13:00 zpět zhotoviteli prostřednictvím e-mailu ve formátu PDF s elektronickými poznámkami;</w:t>
      </w:r>
    </w:p>
    <w:p w14:paraId="459B4B46" w14:textId="77777777" w:rsidR="00411DC7" w:rsidRDefault="00411DC7" w:rsidP="00411DC7">
      <w:pPr>
        <w:pStyle w:val="Odstavecseseznamem"/>
        <w:numPr>
          <w:ilvl w:val="1"/>
          <w:numId w:val="4"/>
        </w:numPr>
        <w:suppressAutoHyphens/>
        <w:spacing w:after="0"/>
        <w:ind w:left="993"/>
        <w:contextualSpacing/>
        <w:rPr>
          <w:rFonts w:cstheme="minorHAnsi"/>
        </w:rPr>
      </w:pPr>
      <w:r>
        <w:rPr>
          <w:rFonts w:cstheme="minorHAnsi"/>
        </w:rPr>
        <w:t>po zapracování připomínek včetně oprav zhotovitel odešle tentýž den, tj. ve středu, konečnou verzi ve formátu PDF k odsouhlasení zadavateli nejpozději v 17:00;</w:t>
      </w:r>
    </w:p>
    <w:p w14:paraId="71A393B8" w14:textId="77777777" w:rsidR="00411DC7" w:rsidRDefault="00411DC7" w:rsidP="00411DC7">
      <w:pPr>
        <w:pStyle w:val="Odstavecseseznamem"/>
        <w:numPr>
          <w:ilvl w:val="1"/>
          <w:numId w:val="4"/>
        </w:numPr>
        <w:suppressAutoHyphens/>
        <w:spacing w:after="0"/>
        <w:ind w:left="993"/>
        <w:contextualSpacing/>
        <w:rPr>
          <w:rFonts w:cstheme="minorHAnsi"/>
        </w:rPr>
      </w:pPr>
      <w:r>
        <w:rPr>
          <w:rFonts w:cstheme="minorHAnsi"/>
        </w:rPr>
        <w:t>konečná verze bude zadavatelem odsouhlasena nejpozději v 17:00 téhož dne, tj. ve středu, poté může následovat tisk novin; v případě nejasností nebo technických problémů bude vše řešeno operativně pomocí dostupných prostředků;</w:t>
      </w:r>
    </w:p>
    <w:p w14:paraId="2B66EB23" w14:textId="77777777" w:rsidR="00411DC7" w:rsidRDefault="00411DC7" w:rsidP="00411DC7">
      <w:pPr>
        <w:pStyle w:val="Odstavecseseznamem"/>
        <w:numPr>
          <w:ilvl w:val="1"/>
          <w:numId w:val="4"/>
        </w:numPr>
        <w:suppressAutoHyphens/>
        <w:spacing w:after="0"/>
        <w:ind w:left="993"/>
        <w:contextualSpacing/>
        <w:rPr>
          <w:rFonts w:cstheme="minorHAnsi"/>
        </w:rPr>
      </w:pPr>
      <w:r>
        <w:rPr>
          <w:rFonts w:cstheme="minorHAnsi"/>
        </w:rPr>
        <w:t>zhotovitel předá vytištěné a zabalené noviny zadavateli na místo plnění (článek VI.) v pátek do 08:00. Současně s tím bude na úložiště zadavatele nebo zhotovitele odeslána elektronická verze novin v kvalitě vhodné k umístění na internet.</w:t>
      </w:r>
    </w:p>
    <w:p w14:paraId="265769C5" w14:textId="77777777" w:rsidR="00411DC7" w:rsidRDefault="00411DC7" w:rsidP="00411DC7">
      <w:pPr>
        <w:pStyle w:val="Odstavecseseznamem"/>
        <w:numPr>
          <w:ilvl w:val="0"/>
          <w:numId w:val="4"/>
        </w:numPr>
        <w:spacing w:before="240"/>
        <w:ind w:left="284" w:hanging="284"/>
      </w:pPr>
      <w:r>
        <w:t>Obstaravatel je povinen zajistit, aby na každém vydání periodika byly uvedeny povinné údaje dle ustanovení § 8 tiskového zákona.</w:t>
      </w:r>
    </w:p>
    <w:p w14:paraId="02816C0F" w14:textId="77777777" w:rsidR="00411DC7" w:rsidRDefault="00411DC7" w:rsidP="00411DC7">
      <w:pPr>
        <w:pStyle w:val="Odstavecseseznamem"/>
        <w:spacing w:before="240"/>
        <w:ind w:left="284"/>
      </w:pPr>
    </w:p>
    <w:p w14:paraId="3A1B257C" w14:textId="77777777" w:rsidR="00411DC7" w:rsidRDefault="00411DC7" w:rsidP="00411DC7">
      <w:pPr>
        <w:pStyle w:val="Odstavecseseznamem"/>
        <w:numPr>
          <w:ilvl w:val="0"/>
          <w:numId w:val="1"/>
        </w:numPr>
        <w:ind w:left="426" w:hanging="426"/>
        <w:jc w:val="center"/>
        <w:rPr>
          <w:b/>
        </w:rPr>
      </w:pPr>
      <w:r>
        <w:rPr>
          <w:b/>
        </w:rPr>
        <w:t>Technická specifikace a grafické provedení periodika</w:t>
      </w:r>
    </w:p>
    <w:p w14:paraId="3E79DC11" w14:textId="77777777" w:rsidR="00411DC7" w:rsidRDefault="00411DC7" w:rsidP="00411DC7">
      <w:pPr>
        <w:pStyle w:val="Odstavecseseznamem"/>
        <w:numPr>
          <w:ilvl w:val="0"/>
          <w:numId w:val="6"/>
        </w:numPr>
        <w:ind w:left="284" w:hanging="284"/>
      </w:pPr>
      <w:r>
        <w:t>Technická specifikace:</w:t>
      </w:r>
    </w:p>
    <w:p w14:paraId="63FC56BC" w14:textId="77777777" w:rsidR="00411DC7" w:rsidRDefault="00411DC7" w:rsidP="00411DC7">
      <w:pPr>
        <w:pStyle w:val="Odstavecseseznamem"/>
        <w:spacing w:after="0"/>
        <w:ind w:left="284"/>
        <w:rPr>
          <w:rFonts w:cstheme="minorHAnsi"/>
          <w:bCs/>
        </w:rPr>
      </w:pPr>
      <w:r>
        <w:rPr>
          <w:rFonts w:cstheme="minorHAnsi"/>
          <w:bCs/>
        </w:rPr>
        <w:t>Počet výtisků jednoho čísla: 1 290 ks</w:t>
      </w:r>
    </w:p>
    <w:p w14:paraId="62984CFA" w14:textId="77777777" w:rsidR="00411DC7" w:rsidRDefault="00411DC7" w:rsidP="00411DC7">
      <w:pPr>
        <w:pStyle w:val="Odstavecseseznamem"/>
        <w:spacing w:after="0"/>
        <w:ind w:left="284"/>
        <w:rPr>
          <w:rFonts w:cstheme="minorHAnsi"/>
          <w:bCs/>
        </w:rPr>
      </w:pPr>
      <w:r>
        <w:rPr>
          <w:rFonts w:cstheme="minorHAnsi"/>
          <w:bCs/>
        </w:rPr>
        <w:t xml:space="preserve">Počet stránek: maximálně 44 stran  </w:t>
      </w:r>
    </w:p>
    <w:p w14:paraId="07CDF521" w14:textId="77777777" w:rsidR="00411DC7" w:rsidRDefault="00411DC7" w:rsidP="00411DC7">
      <w:pPr>
        <w:pStyle w:val="Odstavecseseznamem"/>
        <w:spacing w:after="0"/>
        <w:ind w:left="284"/>
        <w:rPr>
          <w:rFonts w:cstheme="minorHAnsi"/>
          <w:bCs/>
        </w:rPr>
      </w:pPr>
      <w:r>
        <w:rPr>
          <w:rFonts w:cstheme="minorHAnsi"/>
          <w:bCs/>
        </w:rPr>
        <w:t>Periodicita: 1 x měsíčně</w:t>
      </w:r>
    </w:p>
    <w:p w14:paraId="0341B275" w14:textId="77777777" w:rsidR="00411DC7" w:rsidRDefault="00411DC7" w:rsidP="00411DC7">
      <w:pPr>
        <w:pStyle w:val="Odstavecseseznamem"/>
        <w:spacing w:after="0"/>
        <w:ind w:left="284"/>
        <w:rPr>
          <w:rFonts w:cstheme="minorHAnsi"/>
          <w:bCs/>
        </w:rPr>
      </w:pPr>
      <w:r>
        <w:rPr>
          <w:rFonts w:cstheme="minorHAnsi"/>
          <w:bCs/>
        </w:rPr>
        <w:t>Materiál a gramáž papíru, barevnost a způsob tisku: 90 g/ m² G-print, 4/4, CMYK, formát A3</w:t>
      </w:r>
    </w:p>
    <w:p w14:paraId="0A67E037" w14:textId="77777777" w:rsidR="00411DC7" w:rsidRDefault="00411DC7" w:rsidP="00411DC7">
      <w:pPr>
        <w:pStyle w:val="Odstavecseseznamem"/>
        <w:spacing w:after="0"/>
        <w:ind w:left="284"/>
        <w:rPr>
          <w:rFonts w:cstheme="minorHAnsi"/>
          <w:bCs/>
        </w:rPr>
      </w:pPr>
      <w:r>
        <w:rPr>
          <w:rFonts w:cstheme="minorHAnsi"/>
          <w:bCs/>
        </w:rPr>
        <w:t xml:space="preserve">Vazba: Zlom + 2 sponky </w:t>
      </w:r>
    </w:p>
    <w:p w14:paraId="4E1149D1" w14:textId="77777777" w:rsidR="00411DC7" w:rsidRDefault="00411DC7" w:rsidP="00411DC7">
      <w:pPr>
        <w:pStyle w:val="Odstavecseseznamem"/>
        <w:spacing w:after="0"/>
        <w:ind w:left="284"/>
        <w:rPr>
          <w:rFonts w:cstheme="minorHAnsi"/>
          <w:bCs/>
        </w:rPr>
      </w:pPr>
      <w:r>
        <w:rPr>
          <w:rFonts w:cstheme="minorHAnsi"/>
          <w:bCs/>
        </w:rPr>
        <w:t>Konečný formát novin: A4</w:t>
      </w:r>
    </w:p>
    <w:p w14:paraId="0849AB5D" w14:textId="77777777" w:rsidR="00411DC7" w:rsidRDefault="00411DC7" w:rsidP="00411DC7">
      <w:pPr>
        <w:pStyle w:val="Odstavecseseznamem"/>
        <w:spacing w:after="0"/>
        <w:ind w:left="284"/>
        <w:rPr>
          <w:rFonts w:cstheme="minorHAnsi"/>
          <w:bCs/>
        </w:rPr>
      </w:pPr>
    </w:p>
    <w:p w14:paraId="0D3FCE2E" w14:textId="77777777" w:rsidR="00411DC7" w:rsidRDefault="00411DC7" w:rsidP="00411DC7">
      <w:pPr>
        <w:pStyle w:val="Odstavecseseznamem"/>
        <w:numPr>
          <w:ilvl w:val="0"/>
          <w:numId w:val="6"/>
        </w:numPr>
        <w:ind w:left="284" w:hanging="284"/>
      </w:pPr>
      <w:r>
        <w:t>Při grafické úpravě písma a jeho sazby je obstaravatel povinen zajistit vysokou kvalitu čitelnosti písma. Podmínky kvality čitelnosti splňuje takové vydání periodika, ve kterém nebude text splývat, písmo nebude odskočené, v textu či v titulcích nebudou nevhodné mezery apod.</w:t>
      </w:r>
    </w:p>
    <w:p w14:paraId="63D56172" w14:textId="77777777" w:rsidR="00411DC7" w:rsidRDefault="00411DC7" w:rsidP="00411DC7">
      <w:pPr>
        <w:pStyle w:val="Odstavecseseznamem"/>
        <w:numPr>
          <w:ilvl w:val="0"/>
          <w:numId w:val="6"/>
        </w:numPr>
        <w:ind w:left="284" w:hanging="284"/>
      </w:pPr>
      <w:r>
        <w:t>Vydavatel požaduje, aby text na stránce byl přehledně rozvržen do sloupců. Titulky, podtitulky, upoutávky a podbarvení budou přehledné a v barvách, které poskytnou čtenáři maximální přehled a upoutají jeho pozornost. Fotografie budou odpovídajícím způsobem zalomeny v textu.</w:t>
      </w:r>
    </w:p>
    <w:p w14:paraId="0C084F19" w14:textId="77777777" w:rsidR="00411DC7" w:rsidRDefault="00411DC7" w:rsidP="00411DC7">
      <w:pPr>
        <w:pStyle w:val="Odstavecseseznamem"/>
        <w:numPr>
          <w:ilvl w:val="0"/>
          <w:numId w:val="6"/>
        </w:numPr>
        <w:ind w:left="284" w:hanging="284"/>
      </w:pPr>
      <w:r>
        <w:t>Vydavatel si vyhrazuje právo aplikovat do titulní strany v průběhu trvání zakázky logo města.</w:t>
      </w:r>
    </w:p>
    <w:p w14:paraId="35CF2F26" w14:textId="77777777" w:rsidR="00411DC7" w:rsidRDefault="00411DC7" w:rsidP="00411DC7">
      <w:pPr>
        <w:pStyle w:val="Odstavecseseznamem"/>
        <w:numPr>
          <w:ilvl w:val="0"/>
          <w:numId w:val="1"/>
        </w:numPr>
        <w:ind w:left="426" w:hanging="426"/>
        <w:jc w:val="center"/>
        <w:rPr>
          <w:b/>
        </w:rPr>
      </w:pPr>
      <w:r>
        <w:rPr>
          <w:b/>
        </w:rPr>
        <w:t>Realizační smlouvy</w:t>
      </w:r>
    </w:p>
    <w:p w14:paraId="6850A011" w14:textId="77777777" w:rsidR="00411DC7" w:rsidRDefault="00411DC7" w:rsidP="00411DC7">
      <w:pPr>
        <w:pStyle w:val="Odstavecseseznamem"/>
        <w:numPr>
          <w:ilvl w:val="0"/>
          <w:numId w:val="7"/>
        </w:numPr>
        <w:ind w:left="284" w:hanging="284"/>
      </w:pPr>
      <w:r>
        <w:t>Vydavatel si vyhrazuje právo uzavírat realizační smlouvy podle svých skutečných aktuálních potřeb.</w:t>
      </w:r>
    </w:p>
    <w:p w14:paraId="78198F27" w14:textId="77777777" w:rsidR="00411DC7" w:rsidRDefault="00411DC7" w:rsidP="00411DC7">
      <w:pPr>
        <w:pStyle w:val="Odstavecseseznamem"/>
        <w:numPr>
          <w:ilvl w:val="0"/>
          <w:numId w:val="7"/>
        </w:numPr>
        <w:ind w:left="284" w:hanging="284"/>
      </w:pPr>
      <w:r>
        <w:t xml:space="preserve">Realizační smlouvy budou uzavírány na základě písemné objednávky vydavatele, která je návrhem na uzavření realizační smlouvy a písemného potvrzení objednávky obstaravatelem (dále jen „akceptace“), které je přijetím návrhu realizační smlouvy. </w:t>
      </w:r>
    </w:p>
    <w:p w14:paraId="0795C95A" w14:textId="77777777" w:rsidR="00411DC7" w:rsidRDefault="00411DC7" w:rsidP="00411DC7">
      <w:pPr>
        <w:pStyle w:val="Odstavecseseznamem"/>
        <w:numPr>
          <w:ilvl w:val="0"/>
          <w:numId w:val="7"/>
        </w:numPr>
        <w:ind w:left="284" w:hanging="284"/>
      </w:pPr>
      <w:r>
        <w:t>Objednávky budou vydavatelem (jeho kontaktní osobou) zasílány na e-mail kontaktní osoby obstaravatele ve lhůtě shodné se lhůtou pro odeslání podkladů pro tisk dle písm. a) harmonogramu. Akceptace objednávky bude obstaravatelem (jeho kontaktní osobou) zaslána na e-mail kontaktní osoby vydavatele ve lhůtě dle písm. b) harmonogramu.</w:t>
      </w:r>
    </w:p>
    <w:p w14:paraId="185A30AE" w14:textId="77777777" w:rsidR="00411DC7" w:rsidRDefault="00411DC7" w:rsidP="00411DC7">
      <w:pPr>
        <w:pStyle w:val="Odstavecseseznamem"/>
        <w:numPr>
          <w:ilvl w:val="0"/>
          <w:numId w:val="1"/>
        </w:numPr>
        <w:ind w:left="426" w:hanging="426"/>
        <w:jc w:val="center"/>
        <w:rPr>
          <w:b/>
        </w:rPr>
      </w:pPr>
      <w:r>
        <w:rPr>
          <w:b/>
        </w:rPr>
        <w:t>Místo plnění a distribuce</w:t>
      </w:r>
    </w:p>
    <w:p w14:paraId="570A326A" w14:textId="77777777" w:rsidR="00411DC7" w:rsidRDefault="00411DC7" w:rsidP="00411DC7">
      <w:r>
        <w:t xml:space="preserve">Obstaravatel se zavazuje dodat měsíčník v balení po 30 ks ve folii ve lhůtě dle čl. III. odst. 3 písm. f) harmonogramu na adresu sídla vydavatele. </w:t>
      </w:r>
    </w:p>
    <w:p w14:paraId="3D3CF6FB" w14:textId="77777777" w:rsidR="00411DC7" w:rsidRDefault="00411DC7" w:rsidP="00411DC7">
      <w:pPr>
        <w:pStyle w:val="Odstavecseseznamem"/>
        <w:numPr>
          <w:ilvl w:val="0"/>
          <w:numId w:val="1"/>
        </w:numPr>
        <w:ind w:left="426" w:hanging="426"/>
        <w:jc w:val="center"/>
        <w:rPr>
          <w:b/>
        </w:rPr>
      </w:pPr>
      <w:r>
        <w:rPr>
          <w:b/>
        </w:rPr>
        <w:t>Cena</w:t>
      </w:r>
    </w:p>
    <w:p w14:paraId="66DBD94B" w14:textId="77777777" w:rsidR="00411DC7" w:rsidRDefault="00411DC7" w:rsidP="00411DC7">
      <w:pPr>
        <w:pStyle w:val="Odstavecseseznamem"/>
        <w:numPr>
          <w:ilvl w:val="0"/>
          <w:numId w:val="8"/>
        </w:numPr>
        <w:ind w:left="284" w:hanging="284"/>
      </w:pPr>
      <w:r>
        <w:t>Cena za plnění zahrnuje veškeré náklady potřebné k zajištění plnění v rozsahu dle čl. II. a v ostatních ustanoveních této smlouvy. Sjednaná cena obsahuje i předpokládané náklady vzniklé vývojem cen, a to až do termínu řádného dokončení poslední části plnění dle této smlouvy.</w:t>
      </w:r>
    </w:p>
    <w:p w14:paraId="1B2BF17C" w14:textId="77777777" w:rsidR="00411DC7" w:rsidRDefault="00411DC7" w:rsidP="00411DC7">
      <w:pPr>
        <w:pStyle w:val="Odstavecseseznamem"/>
        <w:numPr>
          <w:ilvl w:val="0"/>
          <w:numId w:val="8"/>
        </w:numPr>
        <w:ind w:left="284" w:hanging="284"/>
      </w:pPr>
      <w:r>
        <w:t>Smluvní strany se v souladu s ustanovením zákona č. 526/1990 Sb., o cenách, ve znění pozdějších předpisů, dohodly na celkové ceně za řádně zhotovený a bezvadný předmět plnění v rozsahu čl. II. této smlouvy, která činí:</w:t>
      </w:r>
    </w:p>
    <w:p w14:paraId="7FDBD059" w14:textId="33EF6410" w:rsidR="00411DC7" w:rsidRDefault="00411DC7" w:rsidP="00411DC7">
      <w:pPr>
        <w:tabs>
          <w:tab w:val="right" w:leader="dot" w:pos="6804"/>
        </w:tabs>
        <w:ind w:firstLine="284"/>
      </w:pPr>
      <w:r>
        <w:t xml:space="preserve">Nabídková cena bez DPH za jeden výtisk: </w:t>
      </w:r>
      <w:r w:rsidR="00B8354E">
        <w:t xml:space="preserve">30.191,00 </w:t>
      </w:r>
      <w:r>
        <w:t>Kč</w:t>
      </w:r>
    </w:p>
    <w:p w14:paraId="2ED4F047" w14:textId="420AB684" w:rsidR="00411DC7" w:rsidRDefault="00411DC7" w:rsidP="00411DC7">
      <w:pPr>
        <w:tabs>
          <w:tab w:val="right" w:leader="dot" w:pos="6804"/>
        </w:tabs>
        <w:ind w:firstLine="284"/>
      </w:pPr>
      <w:r>
        <w:t>Výše DPH:</w:t>
      </w:r>
      <w:r w:rsidR="00B8354E">
        <w:t xml:space="preserve"> 3.019,10</w:t>
      </w:r>
      <w:r>
        <w:t>Kč</w:t>
      </w:r>
    </w:p>
    <w:p w14:paraId="3A1296B4" w14:textId="5C508DCB" w:rsidR="00411DC7" w:rsidRDefault="00411DC7" w:rsidP="00411DC7">
      <w:pPr>
        <w:tabs>
          <w:tab w:val="right" w:leader="dot" w:pos="6804"/>
        </w:tabs>
        <w:ind w:firstLine="284"/>
      </w:pPr>
      <w:r>
        <w:t>Ce</w:t>
      </w:r>
      <w:r w:rsidR="00B8354E">
        <w:t>lková nabídková cena včetně DPH</w:t>
      </w:r>
      <w:r>
        <w:t xml:space="preserve">: </w:t>
      </w:r>
      <w:r w:rsidR="00B8354E">
        <w:t xml:space="preserve">33.210,10 </w:t>
      </w:r>
      <w:r>
        <w:t>Kč</w:t>
      </w:r>
    </w:p>
    <w:p w14:paraId="762C5918" w14:textId="71AD084A" w:rsidR="00411DC7" w:rsidRDefault="00411DC7" w:rsidP="00411DC7">
      <w:pPr>
        <w:tabs>
          <w:tab w:val="right" w:leader="dot" w:pos="6804"/>
        </w:tabs>
        <w:ind w:firstLine="284"/>
      </w:pPr>
      <w:proofErr w:type="gramStart"/>
      <w:r>
        <w:t>( slovy</w:t>
      </w:r>
      <w:proofErr w:type="gramEnd"/>
      <w:r>
        <w:t xml:space="preserve">: </w:t>
      </w:r>
      <w:r w:rsidR="00B8354E">
        <w:t>třicet tři tisíc dvě stě korun českých deset haléřů</w:t>
      </w:r>
      <w:r>
        <w:t>)</w:t>
      </w:r>
    </w:p>
    <w:p w14:paraId="1E62E887" w14:textId="77777777" w:rsidR="00411DC7" w:rsidRDefault="00411DC7" w:rsidP="00411DC7">
      <w:pPr>
        <w:pStyle w:val="Odstavecseseznamem"/>
        <w:numPr>
          <w:ilvl w:val="0"/>
          <w:numId w:val="8"/>
        </w:numPr>
        <w:ind w:left="284" w:hanging="284"/>
      </w:pPr>
      <w:r>
        <w:t>Smluvní strany sjednávají za plnění obstaravatele dle této smlouvy cenu v níže uvedené specifikaci:</w:t>
      </w:r>
    </w:p>
    <w:tbl>
      <w:tblPr>
        <w:tblW w:w="9285" w:type="dxa"/>
        <w:tblInd w:w="130" w:type="dxa"/>
        <w:tblLayout w:type="fixed"/>
        <w:tblCellMar>
          <w:left w:w="0" w:type="dxa"/>
          <w:right w:w="0" w:type="dxa"/>
        </w:tblCellMar>
        <w:tblLook w:val="04A0" w:firstRow="1" w:lastRow="0" w:firstColumn="1" w:lastColumn="0" w:noHBand="0" w:noVBand="1"/>
      </w:tblPr>
      <w:tblGrid>
        <w:gridCol w:w="3542"/>
        <w:gridCol w:w="1700"/>
        <w:gridCol w:w="850"/>
        <w:gridCol w:w="1559"/>
        <w:gridCol w:w="1634"/>
      </w:tblGrid>
      <w:tr w:rsidR="00411DC7" w14:paraId="3F025111" w14:textId="77777777" w:rsidTr="00411DC7">
        <w:trPr>
          <w:trHeight w:hRule="exact" w:val="1029"/>
        </w:trPr>
        <w:tc>
          <w:tcPr>
            <w:tcW w:w="3542" w:type="dxa"/>
            <w:tcBorders>
              <w:top w:val="single" w:sz="12" w:space="0" w:color="000000"/>
              <w:left w:val="single" w:sz="12" w:space="0" w:color="000000"/>
              <w:bottom w:val="single" w:sz="12" w:space="0" w:color="000000"/>
              <w:right w:val="single" w:sz="6" w:space="0" w:color="000000"/>
            </w:tcBorders>
            <w:hideMark/>
          </w:tcPr>
          <w:p w14:paraId="537F51CB" w14:textId="77777777" w:rsidR="00411DC7" w:rsidRDefault="00411DC7">
            <w:pPr>
              <w:kinsoku w:val="0"/>
              <w:overflowPunct w:val="0"/>
              <w:autoSpaceDE w:val="0"/>
              <w:autoSpaceDN w:val="0"/>
              <w:adjustRightInd w:val="0"/>
              <w:spacing w:after="0" w:line="276" w:lineRule="auto"/>
              <w:ind w:left="1343"/>
              <w:jc w:val="left"/>
              <w:rPr>
                <w:rFonts w:ascii="Times New Roman" w:hAnsi="Times New Roman" w:cs="Times New Roman"/>
                <w:sz w:val="24"/>
                <w:szCs w:val="24"/>
              </w:rPr>
            </w:pPr>
            <w:r>
              <w:rPr>
                <w:rFonts w:ascii="Calibri" w:hAnsi="Calibri" w:cs="Calibri"/>
                <w:sz w:val="20"/>
                <w:szCs w:val="20"/>
              </w:rPr>
              <w:lastRenderedPageBreak/>
              <w:t>Položka cenové kalkulace</w:t>
            </w:r>
          </w:p>
        </w:tc>
        <w:tc>
          <w:tcPr>
            <w:tcW w:w="1701" w:type="dxa"/>
            <w:tcBorders>
              <w:top w:val="single" w:sz="12" w:space="0" w:color="000000"/>
              <w:left w:val="single" w:sz="6" w:space="0" w:color="000000"/>
              <w:bottom w:val="single" w:sz="12" w:space="0" w:color="000000"/>
              <w:right w:val="single" w:sz="6" w:space="0" w:color="000000"/>
            </w:tcBorders>
            <w:hideMark/>
          </w:tcPr>
          <w:p w14:paraId="5671AEEA" w14:textId="77777777" w:rsidR="00411DC7" w:rsidRDefault="00411DC7">
            <w:pPr>
              <w:kinsoku w:val="0"/>
              <w:overflowPunct w:val="0"/>
              <w:autoSpaceDE w:val="0"/>
              <w:autoSpaceDN w:val="0"/>
              <w:adjustRightInd w:val="0"/>
              <w:spacing w:after="0" w:line="276" w:lineRule="auto"/>
              <w:ind w:left="252" w:right="196" w:hanging="58"/>
              <w:rPr>
                <w:rFonts w:cstheme="minorHAnsi"/>
                <w:sz w:val="24"/>
                <w:szCs w:val="24"/>
              </w:rPr>
            </w:pPr>
            <w:r>
              <w:rPr>
                <w:rFonts w:cstheme="minorHAnsi"/>
                <w:sz w:val="20"/>
                <w:szCs w:val="20"/>
              </w:rPr>
              <w:t>Nabídková cena v Kč bez DPH</w:t>
            </w:r>
          </w:p>
        </w:tc>
        <w:tc>
          <w:tcPr>
            <w:tcW w:w="850" w:type="dxa"/>
            <w:tcBorders>
              <w:top w:val="single" w:sz="12" w:space="0" w:color="000000"/>
              <w:left w:val="single" w:sz="6" w:space="0" w:color="000000"/>
              <w:bottom w:val="single" w:sz="12" w:space="0" w:color="000000"/>
              <w:right w:val="single" w:sz="6" w:space="0" w:color="000000"/>
            </w:tcBorders>
            <w:hideMark/>
          </w:tcPr>
          <w:p w14:paraId="62501C80" w14:textId="77777777" w:rsidR="00411DC7" w:rsidRDefault="00411DC7">
            <w:pPr>
              <w:kinsoku w:val="0"/>
              <w:overflowPunct w:val="0"/>
              <w:autoSpaceDE w:val="0"/>
              <w:autoSpaceDN w:val="0"/>
              <w:adjustRightInd w:val="0"/>
              <w:spacing w:after="0" w:line="276" w:lineRule="auto"/>
              <w:ind w:left="136" w:right="136"/>
              <w:jc w:val="center"/>
              <w:rPr>
                <w:rFonts w:cstheme="minorHAnsi"/>
                <w:sz w:val="20"/>
                <w:szCs w:val="20"/>
              </w:rPr>
            </w:pPr>
            <w:r>
              <w:rPr>
                <w:rFonts w:cstheme="minorHAnsi"/>
                <w:sz w:val="20"/>
                <w:szCs w:val="20"/>
              </w:rPr>
              <w:t xml:space="preserve">Sazba DPH </w:t>
            </w:r>
          </w:p>
          <w:p w14:paraId="36623E01" w14:textId="77777777" w:rsidR="00411DC7" w:rsidRDefault="00411DC7">
            <w:pPr>
              <w:kinsoku w:val="0"/>
              <w:overflowPunct w:val="0"/>
              <w:autoSpaceDE w:val="0"/>
              <w:autoSpaceDN w:val="0"/>
              <w:adjustRightInd w:val="0"/>
              <w:spacing w:after="0" w:line="276" w:lineRule="auto"/>
              <w:ind w:left="136" w:right="136"/>
              <w:jc w:val="center"/>
              <w:rPr>
                <w:rFonts w:cstheme="minorHAnsi"/>
                <w:sz w:val="24"/>
                <w:szCs w:val="24"/>
              </w:rPr>
            </w:pPr>
            <w:r>
              <w:rPr>
                <w:rFonts w:cstheme="minorHAnsi"/>
                <w:sz w:val="20"/>
                <w:szCs w:val="20"/>
              </w:rPr>
              <w:t xml:space="preserve">v </w:t>
            </w:r>
            <w:r>
              <w:rPr>
                <w:rFonts w:cstheme="minorHAnsi"/>
                <w:w w:val="99"/>
                <w:sz w:val="20"/>
                <w:szCs w:val="20"/>
              </w:rPr>
              <w:t>%</w:t>
            </w:r>
          </w:p>
        </w:tc>
        <w:tc>
          <w:tcPr>
            <w:tcW w:w="1560" w:type="dxa"/>
            <w:tcBorders>
              <w:top w:val="single" w:sz="12" w:space="0" w:color="000000"/>
              <w:left w:val="single" w:sz="6" w:space="0" w:color="000000"/>
              <w:bottom w:val="single" w:sz="12" w:space="0" w:color="000000"/>
              <w:right w:val="single" w:sz="6" w:space="0" w:color="000000"/>
            </w:tcBorders>
            <w:hideMark/>
          </w:tcPr>
          <w:p w14:paraId="71F18E97" w14:textId="77777777" w:rsidR="00411DC7" w:rsidRDefault="00411DC7">
            <w:pPr>
              <w:kinsoku w:val="0"/>
              <w:overflowPunct w:val="0"/>
              <w:autoSpaceDE w:val="0"/>
              <w:autoSpaceDN w:val="0"/>
              <w:adjustRightInd w:val="0"/>
              <w:spacing w:after="0" w:line="276" w:lineRule="auto"/>
              <w:ind w:left="496" w:right="116" w:hanging="360"/>
              <w:jc w:val="left"/>
              <w:rPr>
                <w:rFonts w:cstheme="minorHAnsi"/>
                <w:sz w:val="24"/>
                <w:szCs w:val="24"/>
              </w:rPr>
            </w:pPr>
            <w:r>
              <w:rPr>
                <w:rFonts w:cstheme="minorHAnsi"/>
                <w:sz w:val="20"/>
                <w:szCs w:val="20"/>
              </w:rPr>
              <w:t>Výše DPH v Kč</w:t>
            </w:r>
          </w:p>
        </w:tc>
        <w:tc>
          <w:tcPr>
            <w:tcW w:w="1635" w:type="dxa"/>
            <w:tcBorders>
              <w:top w:val="single" w:sz="12" w:space="0" w:color="000000"/>
              <w:left w:val="single" w:sz="6" w:space="0" w:color="000000"/>
              <w:bottom w:val="single" w:sz="12" w:space="0" w:color="000000"/>
              <w:right w:val="single" w:sz="12" w:space="0" w:color="000000"/>
            </w:tcBorders>
            <w:hideMark/>
          </w:tcPr>
          <w:p w14:paraId="5AF83C14" w14:textId="77777777" w:rsidR="00411DC7" w:rsidRDefault="00411DC7">
            <w:pPr>
              <w:kinsoku w:val="0"/>
              <w:overflowPunct w:val="0"/>
              <w:autoSpaceDE w:val="0"/>
              <w:autoSpaceDN w:val="0"/>
              <w:adjustRightInd w:val="0"/>
              <w:spacing w:after="0" w:line="276" w:lineRule="auto"/>
              <w:ind w:left="115" w:right="108" w:hanging="1"/>
              <w:jc w:val="center"/>
              <w:rPr>
                <w:rFonts w:ascii="Calibri" w:hAnsi="Calibri" w:cs="Calibri"/>
                <w:sz w:val="20"/>
                <w:szCs w:val="20"/>
              </w:rPr>
            </w:pPr>
            <w:r>
              <w:rPr>
                <w:rFonts w:ascii="Calibri" w:hAnsi="Calibri" w:cs="Calibri"/>
                <w:sz w:val="20"/>
                <w:szCs w:val="20"/>
              </w:rPr>
              <w:t>Nabídková cena v Kč vč.</w:t>
            </w:r>
          </w:p>
          <w:p w14:paraId="0025A39C" w14:textId="77777777" w:rsidR="00411DC7" w:rsidRDefault="00411DC7">
            <w:pPr>
              <w:kinsoku w:val="0"/>
              <w:overflowPunct w:val="0"/>
              <w:autoSpaceDE w:val="0"/>
              <w:autoSpaceDN w:val="0"/>
              <w:adjustRightInd w:val="0"/>
              <w:spacing w:after="0" w:line="276" w:lineRule="auto"/>
              <w:ind w:left="78" w:right="75"/>
              <w:jc w:val="center"/>
              <w:rPr>
                <w:rFonts w:ascii="Times New Roman" w:hAnsi="Times New Roman" w:cs="Times New Roman"/>
                <w:sz w:val="24"/>
                <w:szCs w:val="24"/>
              </w:rPr>
            </w:pPr>
            <w:r>
              <w:rPr>
                <w:rFonts w:ascii="Calibri" w:hAnsi="Calibri" w:cs="Calibri"/>
                <w:sz w:val="20"/>
                <w:szCs w:val="20"/>
              </w:rPr>
              <w:t>DPH</w:t>
            </w:r>
          </w:p>
        </w:tc>
      </w:tr>
      <w:tr w:rsidR="00411DC7" w14:paraId="59D99C7C" w14:textId="77777777" w:rsidTr="00411DC7">
        <w:trPr>
          <w:trHeight w:hRule="exact" w:val="511"/>
        </w:trPr>
        <w:tc>
          <w:tcPr>
            <w:tcW w:w="3542" w:type="dxa"/>
            <w:tcBorders>
              <w:top w:val="single" w:sz="12" w:space="0" w:color="000000"/>
              <w:left w:val="single" w:sz="12" w:space="0" w:color="000000"/>
              <w:bottom w:val="single" w:sz="6" w:space="0" w:color="000000"/>
              <w:right w:val="single" w:sz="6" w:space="0" w:color="000000"/>
            </w:tcBorders>
            <w:hideMark/>
          </w:tcPr>
          <w:p w14:paraId="56ECD843" w14:textId="77777777" w:rsidR="00411DC7" w:rsidRDefault="00411DC7">
            <w:pPr>
              <w:kinsoku w:val="0"/>
              <w:overflowPunct w:val="0"/>
              <w:autoSpaceDE w:val="0"/>
              <w:autoSpaceDN w:val="0"/>
              <w:adjustRightInd w:val="0"/>
              <w:spacing w:before="1" w:after="0" w:line="256" w:lineRule="auto"/>
              <w:ind w:left="93" w:right="-11"/>
              <w:jc w:val="left"/>
              <w:rPr>
                <w:rFonts w:ascii="Times New Roman" w:hAnsi="Times New Roman" w:cs="Times New Roman"/>
                <w:sz w:val="24"/>
                <w:szCs w:val="24"/>
              </w:rPr>
            </w:pPr>
            <w:r>
              <w:rPr>
                <w:rFonts w:ascii="Calibri" w:hAnsi="Calibri" w:cs="Calibri"/>
                <w:sz w:val="20"/>
                <w:szCs w:val="20"/>
              </w:rPr>
              <w:t>Předtisková příprava jednoho vydání (technická a grafická příprava)</w:t>
            </w:r>
          </w:p>
        </w:tc>
        <w:tc>
          <w:tcPr>
            <w:tcW w:w="1701" w:type="dxa"/>
            <w:tcBorders>
              <w:top w:val="single" w:sz="12" w:space="0" w:color="000000"/>
              <w:left w:val="single" w:sz="6" w:space="0" w:color="000000"/>
              <w:bottom w:val="single" w:sz="6" w:space="0" w:color="000000"/>
              <w:right w:val="single" w:sz="6" w:space="0" w:color="000000"/>
            </w:tcBorders>
          </w:tcPr>
          <w:p w14:paraId="57315775" w14:textId="62CE3A77" w:rsidR="00411DC7" w:rsidRDefault="00B8354E">
            <w:pPr>
              <w:kinsoku w:val="0"/>
              <w:overflowPunct w:val="0"/>
              <w:autoSpaceDE w:val="0"/>
              <w:autoSpaceDN w:val="0"/>
              <w:adjustRightInd w:val="0"/>
              <w:spacing w:before="124" w:after="0" w:line="256" w:lineRule="auto"/>
              <w:ind w:left="81" w:right="35"/>
              <w:jc w:val="center"/>
              <w:rPr>
                <w:rFonts w:cstheme="minorHAnsi"/>
                <w:sz w:val="24"/>
                <w:szCs w:val="24"/>
              </w:rPr>
            </w:pPr>
            <w:r>
              <w:rPr>
                <w:rFonts w:cstheme="minorHAnsi"/>
                <w:sz w:val="24"/>
                <w:szCs w:val="24"/>
              </w:rPr>
              <w:t>5.000,00</w:t>
            </w:r>
          </w:p>
        </w:tc>
        <w:tc>
          <w:tcPr>
            <w:tcW w:w="850" w:type="dxa"/>
            <w:vMerge w:val="restart"/>
            <w:tcBorders>
              <w:top w:val="single" w:sz="12" w:space="0" w:color="000000"/>
              <w:left w:val="single" w:sz="6" w:space="0" w:color="000000"/>
              <w:bottom w:val="single" w:sz="12" w:space="0" w:color="000000"/>
              <w:right w:val="single" w:sz="6" w:space="0" w:color="000000"/>
            </w:tcBorders>
          </w:tcPr>
          <w:p w14:paraId="1AF50A88" w14:textId="77777777" w:rsidR="00411DC7" w:rsidRDefault="00411DC7">
            <w:pPr>
              <w:kinsoku w:val="0"/>
              <w:overflowPunct w:val="0"/>
              <w:autoSpaceDE w:val="0"/>
              <w:autoSpaceDN w:val="0"/>
              <w:adjustRightInd w:val="0"/>
              <w:spacing w:after="0" w:line="256" w:lineRule="auto"/>
              <w:jc w:val="left"/>
              <w:rPr>
                <w:rFonts w:cstheme="minorHAnsi"/>
                <w:sz w:val="20"/>
                <w:szCs w:val="20"/>
              </w:rPr>
            </w:pPr>
          </w:p>
          <w:p w14:paraId="45A1D3E1" w14:textId="6C4DA225" w:rsidR="00411DC7" w:rsidRDefault="002F744C">
            <w:pPr>
              <w:kinsoku w:val="0"/>
              <w:overflowPunct w:val="0"/>
              <w:autoSpaceDE w:val="0"/>
              <w:autoSpaceDN w:val="0"/>
              <w:adjustRightInd w:val="0"/>
              <w:spacing w:after="0" w:line="256" w:lineRule="auto"/>
              <w:ind w:left="230"/>
              <w:jc w:val="left"/>
              <w:rPr>
                <w:rFonts w:cstheme="minorHAnsi"/>
                <w:sz w:val="24"/>
                <w:szCs w:val="24"/>
              </w:rPr>
            </w:pPr>
            <w:proofErr w:type="gramStart"/>
            <w:r>
              <w:rPr>
                <w:rFonts w:cstheme="minorHAnsi"/>
                <w:sz w:val="20"/>
                <w:szCs w:val="20"/>
              </w:rPr>
              <w:t>10</w:t>
            </w:r>
            <w:r w:rsidR="00411DC7">
              <w:rPr>
                <w:rFonts w:cstheme="minorHAnsi"/>
                <w:sz w:val="20"/>
                <w:szCs w:val="20"/>
              </w:rPr>
              <w:t>%</w:t>
            </w:r>
            <w:proofErr w:type="gramEnd"/>
          </w:p>
        </w:tc>
        <w:tc>
          <w:tcPr>
            <w:tcW w:w="1560" w:type="dxa"/>
            <w:tcBorders>
              <w:top w:val="single" w:sz="12" w:space="0" w:color="000000"/>
              <w:left w:val="single" w:sz="6" w:space="0" w:color="000000"/>
              <w:bottom w:val="single" w:sz="6" w:space="0" w:color="000000"/>
              <w:right w:val="single" w:sz="6" w:space="0" w:color="000000"/>
            </w:tcBorders>
          </w:tcPr>
          <w:p w14:paraId="6C4A3BB9" w14:textId="5217D26B" w:rsidR="00411DC7" w:rsidRDefault="002F744C">
            <w:pPr>
              <w:kinsoku w:val="0"/>
              <w:overflowPunct w:val="0"/>
              <w:autoSpaceDE w:val="0"/>
              <w:autoSpaceDN w:val="0"/>
              <w:adjustRightInd w:val="0"/>
              <w:spacing w:before="124" w:after="0" w:line="256" w:lineRule="auto"/>
              <w:ind w:left="139" w:right="99"/>
              <w:jc w:val="center"/>
              <w:rPr>
                <w:rFonts w:cstheme="minorHAnsi"/>
                <w:sz w:val="24"/>
                <w:szCs w:val="24"/>
              </w:rPr>
            </w:pPr>
            <w:r>
              <w:rPr>
                <w:rFonts w:cstheme="minorHAnsi"/>
                <w:sz w:val="24"/>
                <w:szCs w:val="24"/>
              </w:rPr>
              <w:t>50</w:t>
            </w:r>
            <w:r w:rsidR="00B8354E">
              <w:rPr>
                <w:rFonts w:cstheme="minorHAnsi"/>
                <w:sz w:val="24"/>
                <w:szCs w:val="24"/>
              </w:rPr>
              <w:t>0,00</w:t>
            </w:r>
          </w:p>
        </w:tc>
        <w:tc>
          <w:tcPr>
            <w:tcW w:w="1635" w:type="dxa"/>
            <w:tcBorders>
              <w:top w:val="single" w:sz="12" w:space="0" w:color="000000"/>
              <w:left w:val="single" w:sz="6" w:space="0" w:color="000000"/>
              <w:bottom w:val="single" w:sz="6" w:space="0" w:color="000000"/>
              <w:right w:val="single" w:sz="12" w:space="0" w:color="000000"/>
            </w:tcBorders>
          </w:tcPr>
          <w:p w14:paraId="76E21201" w14:textId="2CEC7B33" w:rsidR="00411DC7" w:rsidRDefault="002F744C">
            <w:pPr>
              <w:kinsoku w:val="0"/>
              <w:overflowPunct w:val="0"/>
              <w:autoSpaceDE w:val="0"/>
              <w:autoSpaceDN w:val="0"/>
              <w:adjustRightInd w:val="0"/>
              <w:spacing w:before="124" w:after="0" w:line="256" w:lineRule="auto"/>
              <w:ind w:left="79" w:right="74"/>
              <w:jc w:val="center"/>
              <w:rPr>
                <w:rFonts w:ascii="Times New Roman" w:hAnsi="Times New Roman" w:cs="Times New Roman"/>
                <w:sz w:val="24"/>
                <w:szCs w:val="24"/>
              </w:rPr>
            </w:pPr>
            <w:r>
              <w:rPr>
                <w:rFonts w:ascii="Times New Roman" w:hAnsi="Times New Roman" w:cs="Times New Roman"/>
                <w:sz w:val="24"/>
                <w:szCs w:val="24"/>
              </w:rPr>
              <w:t>5.50</w:t>
            </w:r>
            <w:r w:rsidR="00B8354E">
              <w:rPr>
                <w:rFonts w:ascii="Times New Roman" w:hAnsi="Times New Roman" w:cs="Times New Roman"/>
                <w:sz w:val="24"/>
                <w:szCs w:val="24"/>
              </w:rPr>
              <w:t>0,00</w:t>
            </w:r>
          </w:p>
        </w:tc>
      </w:tr>
      <w:tr w:rsidR="00411DC7" w14:paraId="078D2FEC" w14:textId="77777777" w:rsidTr="00411DC7">
        <w:trPr>
          <w:trHeight w:hRule="exact" w:val="266"/>
        </w:trPr>
        <w:tc>
          <w:tcPr>
            <w:tcW w:w="3542" w:type="dxa"/>
            <w:tcBorders>
              <w:top w:val="single" w:sz="6" w:space="0" w:color="000000"/>
              <w:left w:val="single" w:sz="12" w:space="0" w:color="000000"/>
              <w:bottom w:val="single" w:sz="12" w:space="0" w:color="000000"/>
              <w:right w:val="single" w:sz="6" w:space="0" w:color="000000"/>
            </w:tcBorders>
            <w:hideMark/>
          </w:tcPr>
          <w:p w14:paraId="0C551F16" w14:textId="77777777" w:rsidR="00411DC7" w:rsidRDefault="00411DC7">
            <w:pPr>
              <w:kinsoku w:val="0"/>
              <w:overflowPunct w:val="0"/>
              <w:autoSpaceDE w:val="0"/>
              <w:autoSpaceDN w:val="0"/>
              <w:adjustRightInd w:val="0"/>
              <w:spacing w:after="0" w:line="243" w:lineRule="exact"/>
              <w:ind w:left="93"/>
              <w:jc w:val="left"/>
              <w:rPr>
                <w:rFonts w:ascii="Times New Roman" w:hAnsi="Times New Roman" w:cs="Times New Roman"/>
                <w:sz w:val="24"/>
                <w:szCs w:val="24"/>
              </w:rPr>
            </w:pPr>
            <w:r>
              <w:rPr>
                <w:rFonts w:ascii="Calibri" w:hAnsi="Calibri" w:cs="Calibri"/>
                <w:sz w:val="20"/>
                <w:szCs w:val="20"/>
              </w:rPr>
              <w:t>Tisk jednoho vydání</w:t>
            </w:r>
          </w:p>
        </w:tc>
        <w:tc>
          <w:tcPr>
            <w:tcW w:w="1701" w:type="dxa"/>
            <w:tcBorders>
              <w:top w:val="single" w:sz="6" w:space="0" w:color="000000"/>
              <w:left w:val="single" w:sz="6" w:space="0" w:color="000000"/>
              <w:bottom w:val="single" w:sz="12" w:space="0" w:color="000000"/>
              <w:right w:val="single" w:sz="6" w:space="0" w:color="000000"/>
            </w:tcBorders>
          </w:tcPr>
          <w:p w14:paraId="389640E5" w14:textId="1CA5C977" w:rsidR="00411DC7" w:rsidRDefault="00B8354E">
            <w:pPr>
              <w:kinsoku w:val="0"/>
              <w:overflowPunct w:val="0"/>
              <w:autoSpaceDE w:val="0"/>
              <w:autoSpaceDN w:val="0"/>
              <w:adjustRightInd w:val="0"/>
              <w:spacing w:after="0" w:line="243" w:lineRule="exact"/>
              <w:ind w:left="81" w:right="35"/>
              <w:jc w:val="center"/>
              <w:rPr>
                <w:rFonts w:cstheme="minorHAnsi"/>
                <w:sz w:val="24"/>
                <w:szCs w:val="24"/>
              </w:rPr>
            </w:pPr>
            <w:r>
              <w:rPr>
                <w:rFonts w:cstheme="minorHAnsi"/>
                <w:sz w:val="24"/>
                <w:szCs w:val="24"/>
              </w:rPr>
              <w:t>25.191,00</w:t>
            </w:r>
          </w:p>
        </w:tc>
        <w:tc>
          <w:tcPr>
            <w:tcW w:w="850" w:type="dxa"/>
            <w:vMerge/>
            <w:tcBorders>
              <w:top w:val="single" w:sz="12" w:space="0" w:color="000000"/>
              <w:left w:val="single" w:sz="6" w:space="0" w:color="000000"/>
              <w:bottom w:val="single" w:sz="12" w:space="0" w:color="000000"/>
              <w:right w:val="single" w:sz="6" w:space="0" w:color="000000"/>
            </w:tcBorders>
            <w:vAlign w:val="center"/>
            <w:hideMark/>
          </w:tcPr>
          <w:p w14:paraId="774469FA" w14:textId="77777777" w:rsidR="00411DC7" w:rsidRDefault="00411DC7">
            <w:pPr>
              <w:spacing w:after="0" w:line="256" w:lineRule="auto"/>
              <w:jc w:val="left"/>
              <w:rPr>
                <w:rFonts w:cstheme="minorHAnsi"/>
                <w:sz w:val="24"/>
                <w:szCs w:val="24"/>
              </w:rPr>
            </w:pPr>
          </w:p>
        </w:tc>
        <w:tc>
          <w:tcPr>
            <w:tcW w:w="1560" w:type="dxa"/>
            <w:tcBorders>
              <w:top w:val="single" w:sz="6" w:space="0" w:color="000000"/>
              <w:left w:val="single" w:sz="6" w:space="0" w:color="000000"/>
              <w:bottom w:val="single" w:sz="12" w:space="0" w:color="000000"/>
              <w:right w:val="single" w:sz="6" w:space="0" w:color="000000"/>
            </w:tcBorders>
          </w:tcPr>
          <w:p w14:paraId="16A2A564" w14:textId="6404B6B1" w:rsidR="00411DC7" w:rsidRDefault="002F744C">
            <w:pPr>
              <w:kinsoku w:val="0"/>
              <w:overflowPunct w:val="0"/>
              <w:autoSpaceDE w:val="0"/>
              <w:autoSpaceDN w:val="0"/>
              <w:adjustRightInd w:val="0"/>
              <w:spacing w:after="0" w:line="243" w:lineRule="exact"/>
              <w:ind w:left="97" w:right="99"/>
              <w:jc w:val="center"/>
              <w:rPr>
                <w:rFonts w:cstheme="minorHAnsi"/>
                <w:sz w:val="24"/>
                <w:szCs w:val="24"/>
              </w:rPr>
            </w:pPr>
            <w:r>
              <w:rPr>
                <w:rFonts w:cstheme="minorHAnsi"/>
                <w:sz w:val="24"/>
                <w:szCs w:val="24"/>
              </w:rPr>
              <w:t>2.519,10</w:t>
            </w:r>
          </w:p>
        </w:tc>
        <w:tc>
          <w:tcPr>
            <w:tcW w:w="1635" w:type="dxa"/>
            <w:tcBorders>
              <w:top w:val="single" w:sz="6" w:space="0" w:color="000000"/>
              <w:left w:val="single" w:sz="6" w:space="0" w:color="000000"/>
              <w:bottom w:val="single" w:sz="12" w:space="0" w:color="000000"/>
              <w:right w:val="single" w:sz="12" w:space="0" w:color="000000"/>
            </w:tcBorders>
          </w:tcPr>
          <w:p w14:paraId="78AFB3AF" w14:textId="75D0A0B8" w:rsidR="00411DC7" w:rsidRDefault="002F744C">
            <w:pPr>
              <w:kinsoku w:val="0"/>
              <w:overflowPunct w:val="0"/>
              <w:autoSpaceDE w:val="0"/>
              <w:autoSpaceDN w:val="0"/>
              <w:adjustRightInd w:val="0"/>
              <w:spacing w:after="0" w:line="243" w:lineRule="exact"/>
              <w:ind w:left="79" w:right="31"/>
              <w:jc w:val="center"/>
              <w:rPr>
                <w:rFonts w:ascii="Times New Roman" w:hAnsi="Times New Roman" w:cs="Times New Roman"/>
                <w:sz w:val="24"/>
                <w:szCs w:val="24"/>
              </w:rPr>
            </w:pPr>
            <w:r>
              <w:rPr>
                <w:rFonts w:ascii="Times New Roman" w:hAnsi="Times New Roman" w:cs="Times New Roman"/>
                <w:sz w:val="24"/>
                <w:szCs w:val="24"/>
              </w:rPr>
              <w:t>27.710,10</w:t>
            </w:r>
          </w:p>
        </w:tc>
      </w:tr>
      <w:tr w:rsidR="00411DC7" w14:paraId="4F694B36" w14:textId="77777777" w:rsidTr="00411DC7">
        <w:trPr>
          <w:trHeight w:hRule="exact" w:val="266"/>
        </w:trPr>
        <w:tc>
          <w:tcPr>
            <w:tcW w:w="3542" w:type="dxa"/>
            <w:tcBorders>
              <w:top w:val="single" w:sz="12" w:space="0" w:color="000000"/>
              <w:left w:val="single" w:sz="12" w:space="0" w:color="000000"/>
              <w:bottom w:val="single" w:sz="6" w:space="0" w:color="000000"/>
              <w:right w:val="single" w:sz="6" w:space="0" w:color="000000"/>
            </w:tcBorders>
            <w:hideMark/>
          </w:tcPr>
          <w:p w14:paraId="4E742136" w14:textId="77777777" w:rsidR="00411DC7" w:rsidRDefault="00411DC7">
            <w:pPr>
              <w:kinsoku w:val="0"/>
              <w:overflowPunct w:val="0"/>
              <w:autoSpaceDE w:val="0"/>
              <w:autoSpaceDN w:val="0"/>
              <w:adjustRightInd w:val="0"/>
              <w:spacing w:after="0" w:line="243" w:lineRule="exact"/>
              <w:ind w:left="93"/>
              <w:jc w:val="left"/>
              <w:rPr>
                <w:rFonts w:ascii="Times New Roman" w:hAnsi="Times New Roman" w:cs="Times New Roman"/>
                <w:sz w:val="24"/>
                <w:szCs w:val="24"/>
              </w:rPr>
            </w:pPr>
            <w:r>
              <w:rPr>
                <w:rFonts w:ascii="Calibri" w:hAnsi="Calibri" w:cs="Calibri"/>
                <w:sz w:val="20"/>
                <w:szCs w:val="20"/>
              </w:rPr>
              <w:t>Distribuce jednoho vydání</w:t>
            </w:r>
            <w:r>
              <w:rPr>
                <w:rFonts w:cstheme="minorHAnsi"/>
                <w:i/>
                <w:iCs/>
                <w:sz w:val="20"/>
                <w:szCs w:val="20"/>
              </w:rPr>
              <w:t>*</w:t>
            </w:r>
          </w:p>
        </w:tc>
        <w:tc>
          <w:tcPr>
            <w:tcW w:w="1701" w:type="dxa"/>
            <w:tcBorders>
              <w:top w:val="single" w:sz="12" w:space="0" w:color="000000"/>
              <w:left w:val="single" w:sz="6" w:space="0" w:color="000000"/>
              <w:bottom w:val="single" w:sz="6" w:space="0" w:color="000000"/>
              <w:right w:val="single" w:sz="6" w:space="0" w:color="000000"/>
            </w:tcBorders>
          </w:tcPr>
          <w:p w14:paraId="582B0276" w14:textId="7DFCB58F" w:rsidR="00411DC7" w:rsidRDefault="00B8354E">
            <w:pPr>
              <w:kinsoku w:val="0"/>
              <w:overflowPunct w:val="0"/>
              <w:autoSpaceDE w:val="0"/>
              <w:autoSpaceDN w:val="0"/>
              <w:adjustRightInd w:val="0"/>
              <w:spacing w:after="0" w:line="243" w:lineRule="exact"/>
              <w:ind w:left="81" w:right="35"/>
              <w:jc w:val="center"/>
              <w:rPr>
                <w:rFonts w:cstheme="minorHAnsi"/>
                <w:sz w:val="24"/>
                <w:szCs w:val="24"/>
              </w:rPr>
            </w:pPr>
            <w:r>
              <w:rPr>
                <w:rFonts w:cstheme="minorHAnsi"/>
                <w:sz w:val="24"/>
                <w:szCs w:val="24"/>
              </w:rPr>
              <w:t>1.000,00</w:t>
            </w:r>
          </w:p>
        </w:tc>
        <w:tc>
          <w:tcPr>
            <w:tcW w:w="850" w:type="dxa"/>
            <w:vMerge w:val="restart"/>
            <w:tcBorders>
              <w:top w:val="single" w:sz="12" w:space="0" w:color="000000"/>
              <w:left w:val="single" w:sz="6" w:space="0" w:color="000000"/>
              <w:bottom w:val="single" w:sz="12" w:space="0" w:color="000000"/>
              <w:right w:val="single" w:sz="6" w:space="0" w:color="000000"/>
            </w:tcBorders>
          </w:tcPr>
          <w:p w14:paraId="050A4DA6" w14:textId="77777777" w:rsidR="00411DC7" w:rsidRDefault="00411DC7">
            <w:pPr>
              <w:kinsoku w:val="0"/>
              <w:overflowPunct w:val="0"/>
              <w:autoSpaceDE w:val="0"/>
              <w:autoSpaceDN w:val="0"/>
              <w:adjustRightInd w:val="0"/>
              <w:spacing w:before="10" w:after="0" w:line="256" w:lineRule="auto"/>
              <w:jc w:val="left"/>
              <w:rPr>
                <w:rFonts w:cstheme="minorHAnsi"/>
                <w:sz w:val="21"/>
                <w:szCs w:val="21"/>
              </w:rPr>
            </w:pPr>
          </w:p>
          <w:p w14:paraId="7751988B" w14:textId="77777777" w:rsidR="00411DC7" w:rsidRDefault="00411DC7">
            <w:pPr>
              <w:kinsoku w:val="0"/>
              <w:overflowPunct w:val="0"/>
              <w:autoSpaceDE w:val="0"/>
              <w:autoSpaceDN w:val="0"/>
              <w:adjustRightInd w:val="0"/>
              <w:spacing w:after="0" w:line="256" w:lineRule="auto"/>
              <w:ind w:left="230"/>
              <w:jc w:val="left"/>
              <w:rPr>
                <w:rFonts w:cstheme="minorHAnsi"/>
                <w:sz w:val="24"/>
                <w:szCs w:val="24"/>
              </w:rPr>
            </w:pPr>
            <w:proofErr w:type="gramStart"/>
            <w:r>
              <w:rPr>
                <w:rFonts w:cstheme="minorHAnsi"/>
                <w:sz w:val="20"/>
                <w:szCs w:val="20"/>
              </w:rPr>
              <w:t>21%</w:t>
            </w:r>
            <w:proofErr w:type="gramEnd"/>
          </w:p>
        </w:tc>
        <w:tc>
          <w:tcPr>
            <w:tcW w:w="1560" w:type="dxa"/>
            <w:tcBorders>
              <w:top w:val="single" w:sz="12" w:space="0" w:color="000000"/>
              <w:left w:val="single" w:sz="6" w:space="0" w:color="000000"/>
              <w:bottom w:val="single" w:sz="6" w:space="0" w:color="000000"/>
              <w:right w:val="single" w:sz="6" w:space="0" w:color="000000"/>
            </w:tcBorders>
          </w:tcPr>
          <w:p w14:paraId="1055F207" w14:textId="1BFEF904" w:rsidR="00411DC7" w:rsidRDefault="00B8354E">
            <w:pPr>
              <w:kinsoku w:val="0"/>
              <w:overflowPunct w:val="0"/>
              <w:autoSpaceDE w:val="0"/>
              <w:autoSpaceDN w:val="0"/>
              <w:adjustRightInd w:val="0"/>
              <w:spacing w:after="0" w:line="243" w:lineRule="exact"/>
              <w:ind w:left="96" w:right="99"/>
              <w:jc w:val="center"/>
              <w:rPr>
                <w:rFonts w:cstheme="minorHAnsi"/>
                <w:sz w:val="24"/>
                <w:szCs w:val="24"/>
              </w:rPr>
            </w:pPr>
            <w:r>
              <w:rPr>
                <w:rFonts w:cstheme="minorHAnsi"/>
                <w:sz w:val="24"/>
                <w:szCs w:val="24"/>
              </w:rPr>
              <w:t>210,00</w:t>
            </w:r>
          </w:p>
        </w:tc>
        <w:tc>
          <w:tcPr>
            <w:tcW w:w="1635" w:type="dxa"/>
            <w:tcBorders>
              <w:top w:val="single" w:sz="12" w:space="0" w:color="000000"/>
              <w:left w:val="single" w:sz="6" w:space="0" w:color="000000"/>
              <w:bottom w:val="single" w:sz="6" w:space="0" w:color="000000"/>
              <w:right w:val="single" w:sz="12" w:space="0" w:color="000000"/>
            </w:tcBorders>
          </w:tcPr>
          <w:p w14:paraId="4C32AED0" w14:textId="244F9474" w:rsidR="00411DC7" w:rsidRDefault="00B8354E">
            <w:pPr>
              <w:kinsoku w:val="0"/>
              <w:overflowPunct w:val="0"/>
              <w:autoSpaceDE w:val="0"/>
              <w:autoSpaceDN w:val="0"/>
              <w:adjustRightInd w:val="0"/>
              <w:spacing w:after="0" w:line="243" w:lineRule="exact"/>
              <w:ind w:left="79" w:right="74"/>
              <w:jc w:val="center"/>
              <w:rPr>
                <w:rFonts w:ascii="Times New Roman" w:hAnsi="Times New Roman" w:cs="Times New Roman"/>
                <w:sz w:val="24"/>
                <w:szCs w:val="24"/>
              </w:rPr>
            </w:pPr>
            <w:r>
              <w:rPr>
                <w:rFonts w:ascii="Times New Roman" w:hAnsi="Times New Roman" w:cs="Times New Roman"/>
                <w:sz w:val="24"/>
                <w:szCs w:val="24"/>
              </w:rPr>
              <w:t>1.210,00</w:t>
            </w:r>
          </w:p>
        </w:tc>
      </w:tr>
      <w:tr w:rsidR="00411DC7" w14:paraId="4FFAE5E5" w14:textId="77777777" w:rsidTr="00411DC7">
        <w:trPr>
          <w:trHeight w:hRule="exact" w:val="512"/>
        </w:trPr>
        <w:tc>
          <w:tcPr>
            <w:tcW w:w="3542" w:type="dxa"/>
            <w:tcBorders>
              <w:top w:val="single" w:sz="6" w:space="0" w:color="000000"/>
              <w:left w:val="single" w:sz="12" w:space="0" w:color="000000"/>
              <w:bottom w:val="single" w:sz="12" w:space="0" w:color="000000"/>
              <w:right w:val="single" w:sz="6" w:space="0" w:color="000000"/>
            </w:tcBorders>
            <w:hideMark/>
          </w:tcPr>
          <w:p w14:paraId="157734CE" w14:textId="77777777" w:rsidR="00411DC7" w:rsidRDefault="00411DC7">
            <w:pPr>
              <w:kinsoku w:val="0"/>
              <w:overflowPunct w:val="0"/>
              <w:autoSpaceDE w:val="0"/>
              <w:autoSpaceDN w:val="0"/>
              <w:adjustRightInd w:val="0"/>
              <w:spacing w:after="0" w:line="256" w:lineRule="auto"/>
              <w:ind w:left="93" w:right="360"/>
              <w:jc w:val="left"/>
              <w:rPr>
                <w:rFonts w:ascii="Times New Roman" w:hAnsi="Times New Roman" w:cs="Times New Roman"/>
                <w:sz w:val="24"/>
                <w:szCs w:val="24"/>
              </w:rPr>
            </w:pPr>
            <w:r>
              <w:rPr>
                <w:rFonts w:ascii="Calibri" w:hAnsi="Calibri" w:cs="Calibri"/>
                <w:sz w:val="20"/>
                <w:szCs w:val="20"/>
              </w:rPr>
              <w:t>Cena za realizaci elektronické podoby (PDF) novin na internet</w:t>
            </w:r>
          </w:p>
        </w:tc>
        <w:tc>
          <w:tcPr>
            <w:tcW w:w="1701" w:type="dxa"/>
            <w:tcBorders>
              <w:top w:val="single" w:sz="6" w:space="0" w:color="000000"/>
              <w:left w:val="single" w:sz="6" w:space="0" w:color="000000"/>
              <w:bottom w:val="single" w:sz="12" w:space="0" w:color="000000"/>
              <w:right w:val="single" w:sz="6" w:space="0" w:color="000000"/>
            </w:tcBorders>
          </w:tcPr>
          <w:p w14:paraId="193182AD" w14:textId="1F2E92BB" w:rsidR="00411DC7" w:rsidRDefault="00B8354E">
            <w:pPr>
              <w:kinsoku w:val="0"/>
              <w:overflowPunct w:val="0"/>
              <w:autoSpaceDE w:val="0"/>
              <w:autoSpaceDN w:val="0"/>
              <w:adjustRightInd w:val="0"/>
              <w:spacing w:before="122" w:after="0" w:line="256" w:lineRule="auto"/>
              <w:ind w:left="81" w:right="35"/>
              <w:jc w:val="center"/>
              <w:rPr>
                <w:rFonts w:cstheme="minorHAnsi"/>
                <w:sz w:val="24"/>
                <w:szCs w:val="24"/>
              </w:rPr>
            </w:pPr>
            <w:r>
              <w:rPr>
                <w:rFonts w:cstheme="minorHAnsi"/>
                <w:sz w:val="24"/>
                <w:szCs w:val="24"/>
              </w:rPr>
              <w:t>0,00</w:t>
            </w:r>
          </w:p>
        </w:tc>
        <w:tc>
          <w:tcPr>
            <w:tcW w:w="850" w:type="dxa"/>
            <w:vMerge/>
            <w:tcBorders>
              <w:top w:val="single" w:sz="12" w:space="0" w:color="000000"/>
              <w:left w:val="single" w:sz="6" w:space="0" w:color="000000"/>
              <w:bottom w:val="single" w:sz="12" w:space="0" w:color="000000"/>
              <w:right w:val="single" w:sz="6" w:space="0" w:color="000000"/>
            </w:tcBorders>
            <w:vAlign w:val="center"/>
            <w:hideMark/>
          </w:tcPr>
          <w:p w14:paraId="1B6EF766" w14:textId="77777777" w:rsidR="00411DC7" w:rsidRDefault="00411DC7">
            <w:pPr>
              <w:spacing w:after="0" w:line="256" w:lineRule="auto"/>
              <w:jc w:val="left"/>
              <w:rPr>
                <w:rFonts w:cstheme="minorHAnsi"/>
                <w:sz w:val="24"/>
                <w:szCs w:val="24"/>
              </w:rPr>
            </w:pPr>
          </w:p>
        </w:tc>
        <w:tc>
          <w:tcPr>
            <w:tcW w:w="1560" w:type="dxa"/>
            <w:tcBorders>
              <w:top w:val="single" w:sz="6" w:space="0" w:color="000000"/>
              <w:left w:val="single" w:sz="6" w:space="0" w:color="000000"/>
              <w:bottom w:val="single" w:sz="12" w:space="0" w:color="000000"/>
              <w:right w:val="single" w:sz="6" w:space="0" w:color="000000"/>
            </w:tcBorders>
          </w:tcPr>
          <w:p w14:paraId="0B15C1A6" w14:textId="1FA3BDE3" w:rsidR="00411DC7" w:rsidRDefault="00B8354E">
            <w:pPr>
              <w:kinsoku w:val="0"/>
              <w:overflowPunct w:val="0"/>
              <w:autoSpaceDE w:val="0"/>
              <w:autoSpaceDN w:val="0"/>
              <w:adjustRightInd w:val="0"/>
              <w:spacing w:before="122" w:after="0" w:line="256" w:lineRule="auto"/>
              <w:ind w:left="139" w:right="99"/>
              <w:jc w:val="center"/>
              <w:rPr>
                <w:rFonts w:cstheme="minorHAnsi"/>
                <w:sz w:val="24"/>
                <w:szCs w:val="24"/>
              </w:rPr>
            </w:pPr>
            <w:r>
              <w:rPr>
                <w:rFonts w:cstheme="minorHAnsi"/>
                <w:sz w:val="24"/>
                <w:szCs w:val="24"/>
              </w:rPr>
              <w:t>0,00</w:t>
            </w:r>
          </w:p>
        </w:tc>
        <w:tc>
          <w:tcPr>
            <w:tcW w:w="1635" w:type="dxa"/>
            <w:tcBorders>
              <w:top w:val="single" w:sz="6" w:space="0" w:color="000000"/>
              <w:left w:val="single" w:sz="6" w:space="0" w:color="000000"/>
              <w:bottom w:val="single" w:sz="12" w:space="0" w:color="000000"/>
              <w:right w:val="single" w:sz="12" w:space="0" w:color="000000"/>
            </w:tcBorders>
          </w:tcPr>
          <w:p w14:paraId="5CB2BC9E" w14:textId="67B8601D" w:rsidR="00411DC7" w:rsidRDefault="00B8354E">
            <w:pPr>
              <w:kinsoku w:val="0"/>
              <w:overflowPunct w:val="0"/>
              <w:autoSpaceDE w:val="0"/>
              <w:autoSpaceDN w:val="0"/>
              <w:adjustRightInd w:val="0"/>
              <w:spacing w:before="122" w:after="0" w:line="256" w:lineRule="auto"/>
              <w:ind w:left="79" w:right="74"/>
              <w:jc w:val="center"/>
              <w:rPr>
                <w:rFonts w:ascii="Times New Roman" w:hAnsi="Times New Roman" w:cs="Times New Roman"/>
                <w:sz w:val="24"/>
                <w:szCs w:val="24"/>
              </w:rPr>
            </w:pPr>
            <w:r>
              <w:rPr>
                <w:rFonts w:ascii="Times New Roman" w:hAnsi="Times New Roman" w:cs="Times New Roman"/>
                <w:sz w:val="24"/>
                <w:szCs w:val="24"/>
              </w:rPr>
              <w:t>0,00</w:t>
            </w:r>
          </w:p>
        </w:tc>
      </w:tr>
      <w:tr w:rsidR="00411DC7" w14:paraId="58D31FA9" w14:textId="77777777" w:rsidTr="00411DC7">
        <w:trPr>
          <w:trHeight w:hRule="exact" w:val="274"/>
        </w:trPr>
        <w:tc>
          <w:tcPr>
            <w:tcW w:w="3542" w:type="dxa"/>
            <w:tcBorders>
              <w:top w:val="single" w:sz="12" w:space="0" w:color="000000"/>
              <w:left w:val="single" w:sz="12" w:space="0" w:color="000000"/>
              <w:bottom w:val="single" w:sz="12" w:space="0" w:color="000000"/>
              <w:right w:val="single" w:sz="6" w:space="0" w:color="000000"/>
            </w:tcBorders>
            <w:hideMark/>
          </w:tcPr>
          <w:p w14:paraId="67525CA1" w14:textId="77777777" w:rsidR="00411DC7" w:rsidRDefault="00411DC7">
            <w:pPr>
              <w:kinsoku w:val="0"/>
              <w:overflowPunct w:val="0"/>
              <w:autoSpaceDE w:val="0"/>
              <w:autoSpaceDN w:val="0"/>
              <w:adjustRightInd w:val="0"/>
              <w:spacing w:after="0" w:line="243" w:lineRule="exact"/>
              <w:ind w:left="93"/>
              <w:jc w:val="left"/>
              <w:rPr>
                <w:rFonts w:ascii="Times New Roman" w:hAnsi="Times New Roman" w:cs="Times New Roman"/>
                <w:sz w:val="24"/>
                <w:szCs w:val="24"/>
              </w:rPr>
            </w:pPr>
            <w:r>
              <w:rPr>
                <w:rFonts w:ascii="Calibri" w:hAnsi="Calibri" w:cs="Calibri"/>
                <w:sz w:val="20"/>
                <w:szCs w:val="20"/>
              </w:rPr>
              <w:t>Cena (celkem) za jedno vydání</w:t>
            </w:r>
          </w:p>
        </w:tc>
        <w:tc>
          <w:tcPr>
            <w:tcW w:w="1701" w:type="dxa"/>
            <w:tcBorders>
              <w:top w:val="single" w:sz="12" w:space="0" w:color="000000"/>
              <w:left w:val="single" w:sz="6" w:space="0" w:color="000000"/>
              <w:bottom w:val="single" w:sz="12" w:space="0" w:color="000000"/>
              <w:right w:val="single" w:sz="6" w:space="0" w:color="000000"/>
            </w:tcBorders>
          </w:tcPr>
          <w:p w14:paraId="5DB86F8B" w14:textId="195C9285" w:rsidR="00411DC7" w:rsidRDefault="00B8354E">
            <w:pPr>
              <w:kinsoku w:val="0"/>
              <w:overflowPunct w:val="0"/>
              <w:autoSpaceDE w:val="0"/>
              <w:autoSpaceDN w:val="0"/>
              <w:adjustRightInd w:val="0"/>
              <w:spacing w:after="0" w:line="243" w:lineRule="exact"/>
              <w:ind w:left="81" w:right="35"/>
              <w:jc w:val="center"/>
              <w:rPr>
                <w:rFonts w:cstheme="minorHAnsi"/>
                <w:sz w:val="24"/>
                <w:szCs w:val="24"/>
              </w:rPr>
            </w:pPr>
            <w:r>
              <w:rPr>
                <w:rFonts w:cstheme="minorHAnsi"/>
                <w:sz w:val="24"/>
                <w:szCs w:val="24"/>
              </w:rPr>
              <w:t>30.191,00</w:t>
            </w:r>
          </w:p>
        </w:tc>
        <w:tc>
          <w:tcPr>
            <w:tcW w:w="850" w:type="dxa"/>
            <w:vMerge w:val="restart"/>
            <w:tcBorders>
              <w:top w:val="single" w:sz="12" w:space="0" w:color="000000"/>
              <w:left w:val="single" w:sz="6" w:space="0" w:color="000000"/>
              <w:bottom w:val="single" w:sz="12" w:space="0" w:color="000000"/>
              <w:right w:val="single" w:sz="6" w:space="0" w:color="000000"/>
            </w:tcBorders>
          </w:tcPr>
          <w:p w14:paraId="079C0649" w14:textId="77777777" w:rsidR="00411DC7" w:rsidRDefault="00411DC7">
            <w:pPr>
              <w:autoSpaceDE w:val="0"/>
              <w:autoSpaceDN w:val="0"/>
              <w:adjustRightInd w:val="0"/>
              <w:spacing w:after="0" w:line="256" w:lineRule="auto"/>
              <w:jc w:val="left"/>
              <w:rPr>
                <w:rFonts w:cstheme="minorHAnsi"/>
                <w:sz w:val="24"/>
                <w:szCs w:val="24"/>
              </w:rPr>
            </w:pPr>
          </w:p>
        </w:tc>
        <w:tc>
          <w:tcPr>
            <w:tcW w:w="1560" w:type="dxa"/>
            <w:tcBorders>
              <w:top w:val="single" w:sz="12" w:space="0" w:color="000000"/>
              <w:left w:val="single" w:sz="6" w:space="0" w:color="000000"/>
              <w:bottom w:val="single" w:sz="12" w:space="0" w:color="000000"/>
              <w:right w:val="single" w:sz="6" w:space="0" w:color="000000"/>
            </w:tcBorders>
          </w:tcPr>
          <w:p w14:paraId="07A9C962" w14:textId="77777777" w:rsidR="00411DC7" w:rsidRDefault="00411DC7">
            <w:pPr>
              <w:kinsoku w:val="0"/>
              <w:overflowPunct w:val="0"/>
              <w:autoSpaceDE w:val="0"/>
              <w:autoSpaceDN w:val="0"/>
              <w:adjustRightInd w:val="0"/>
              <w:spacing w:after="0" w:line="243" w:lineRule="exact"/>
              <w:ind w:left="141" w:right="99"/>
              <w:jc w:val="center"/>
              <w:rPr>
                <w:rFonts w:cstheme="minorHAnsi"/>
                <w:sz w:val="24"/>
                <w:szCs w:val="24"/>
              </w:rPr>
            </w:pPr>
          </w:p>
        </w:tc>
        <w:tc>
          <w:tcPr>
            <w:tcW w:w="1635" w:type="dxa"/>
            <w:tcBorders>
              <w:top w:val="single" w:sz="12" w:space="0" w:color="000000"/>
              <w:left w:val="single" w:sz="6" w:space="0" w:color="000000"/>
              <w:bottom w:val="single" w:sz="12" w:space="0" w:color="000000"/>
              <w:right w:val="single" w:sz="12" w:space="0" w:color="000000"/>
            </w:tcBorders>
          </w:tcPr>
          <w:p w14:paraId="179F642F" w14:textId="77777777" w:rsidR="00411DC7" w:rsidRDefault="00411DC7">
            <w:pPr>
              <w:kinsoku w:val="0"/>
              <w:overflowPunct w:val="0"/>
              <w:autoSpaceDE w:val="0"/>
              <w:autoSpaceDN w:val="0"/>
              <w:adjustRightInd w:val="0"/>
              <w:spacing w:after="0" w:line="243" w:lineRule="exact"/>
              <w:ind w:left="79" w:right="31"/>
              <w:jc w:val="center"/>
              <w:rPr>
                <w:rFonts w:ascii="Times New Roman" w:hAnsi="Times New Roman" w:cs="Times New Roman"/>
                <w:sz w:val="24"/>
                <w:szCs w:val="24"/>
              </w:rPr>
            </w:pPr>
          </w:p>
        </w:tc>
      </w:tr>
      <w:tr w:rsidR="00411DC7" w14:paraId="79F2C30B" w14:textId="77777777" w:rsidTr="00411DC7">
        <w:trPr>
          <w:trHeight w:hRule="exact" w:val="274"/>
        </w:trPr>
        <w:tc>
          <w:tcPr>
            <w:tcW w:w="3542" w:type="dxa"/>
            <w:tcBorders>
              <w:top w:val="single" w:sz="12" w:space="0" w:color="000000"/>
              <w:left w:val="single" w:sz="12" w:space="0" w:color="000000"/>
              <w:bottom w:val="single" w:sz="12" w:space="0" w:color="000000"/>
              <w:right w:val="single" w:sz="6" w:space="0" w:color="000000"/>
            </w:tcBorders>
            <w:hideMark/>
          </w:tcPr>
          <w:p w14:paraId="36728643" w14:textId="77777777" w:rsidR="00411DC7" w:rsidRDefault="00411DC7">
            <w:pPr>
              <w:kinsoku w:val="0"/>
              <w:overflowPunct w:val="0"/>
              <w:autoSpaceDE w:val="0"/>
              <w:autoSpaceDN w:val="0"/>
              <w:adjustRightInd w:val="0"/>
              <w:spacing w:after="0" w:line="243" w:lineRule="exact"/>
              <w:ind w:left="93"/>
              <w:jc w:val="left"/>
              <w:rPr>
                <w:rFonts w:ascii="Times New Roman" w:hAnsi="Times New Roman" w:cs="Times New Roman"/>
                <w:sz w:val="24"/>
                <w:szCs w:val="24"/>
              </w:rPr>
            </w:pPr>
            <w:r>
              <w:rPr>
                <w:rFonts w:ascii="Calibri" w:hAnsi="Calibri" w:cs="Calibri"/>
                <w:sz w:val="20"/>
                <w:szCs w:val="20"/>
              </w:rPr>
              <w:t>Cena celkem za 48 vydání (48 měsíců)</w:t>
            </w:r>
          </w:p>
        </w:tc>
        <w:tc>
          <w:tcPr>
            <w:tcW w:w="1701" w:type="dxa"/>
            <w:tcBorders>
              <w:top w:val="single" w:sz="12" w:space="0" w:color="000000"/>
              <w:left w:val="single" w:sz="6" w:space="0" w:color="000000"/>
              <w:bottom w:val="single" w:sz="12" w:space="0" w:color="000000"/>
              <w:right w:val="single" w:sz="6" w:space="0" w:color="000000"/>
            </w:tcBorders>
          </w:tcPr>
          <w:p w14:paraId="62959972" w14:textId="0F6DAFC4" w:rsidR="00411DC7" w:rsidRDefault="00B8354E">
            <w:pPr>
              <w:kinsoku w:val="0"/>
              <w:overflowPunct w:val="0"/>
              <w:autoSpaceDE w:val="0"/>
              <w:autoSpaceDN w:val="0"/>
              <w:adjustRightInd w:val="0"/>
              <w:spacing w:after="0" w:line="243" w:lineRule="exact"/>
              <w:ind w:left="81" w:right="81"/>
              <w:jc w:val="center"/>
              <w:rPr>
                <w:rFonts w:cstheme="minorHAnsi"/>
                <w:sz w:val="24"/>
                <w:szCs w:val="24"/>
              </w:rPr>
            </w:pPr>
            <w:r>
              <w:rPr>
                <w:rFonts w:cstheme="minorHAnsi"/>
                <w:sz w:val="24"/>
                <w:szCs w:val="24"/>
              </w:rPr>
              <w:t>1.449.168,00</w:t>
            </w:r>
          </w:p>
        </w:tc>
        <w:tc>
          <w:tcPr>
            <w:tcW w:w="850" w:type="dxa"/>
            <w:vMerge/>
            <w:tcBorders>
              <w:top w:val="single" w:sz="12" w:space="0" w:color="000000"/>
              <w:left w:val="single" w:sz="6" w:space="0" w:color="000000"/>
              <w:bottom w:val="single" w:sz="12" w:space="0" w:color="000000"/>
              <w:right w:val="single" w:sz="6" w:space="0" w:color="000000"/>
            </w:tcBorders>
            <w:vAlign w:val="center"/>
            <w:hideMark/>
          </w:tcPr>
          <w:p w14:paraId="202C93D7" w14:textId="77777777" w:rsidR="00411DC7" w:rsidRDefault="00411DC7">
            <w:pPr>
              <w:spacing w:after="0" w:line="256" w:lineRule="auto"/>
              <w:jc w:val="left"/>
              <w:rPr>
                <w:rFonts w:cstheme="minorHAnsi"/>
                <w:sz w:val="24"/>
                <w:szCs w:val="24"/>
              </w:rPr>
            </w:pPr>
          </w:p>
        </w:tc>
        <w:tc>
          <w:tcPr>
            <w:tcW w:w="1560" w:type="dxa"/>
            <w:tcBorders>
              <w:top w:val="single" w:sz="12" w:space="0" w:color="000000"/>
              <w:left w:val="single" w:sz="6" w:space="0" w:color="000000"/>
              <w:bottom w:val="single" w:sz="12" w:space="0" w:color="000000"/>
              <w:right w:val="single" w:sz="6" w:space="0" w:color="000000"/>
            </w:tcBorders>
          </w:tcPr>
          <w:p w14:paraId="69306862" w14:textId="77777777" w:rsidR="00411DC7" w:rsidRDefault="00411DC7">
            <w:pPr>
              <w:kinsoku w:val="0"/>
              <w:overflowPunct w:val="0"/>
              <w:autoSpaceDE w:val="0"/>
              <w:autoSpaceDN w:val="0"/>
              <w:adjustRightInd w:val="0"/>
              <w:spacing w:after="0" w:line="243" w:lineRule="exact"/>
              <w:ind w:left="141" w:right="99"/>
              <w:jc w:val="center"/>
              <w:rPr>
                <w:rFonts w:cstheme="minorHAnsi"/>
                <w:sz w:val="24"/>
                <w:szCs w:val="24"/>
              </w:rPr>
            </w:pPr>
          </w:p>
        </w:tc>
        <w:tc>
          <w:tcPr>
            <w:tcW w:w="1635" w:type="dxa"/>
            <w:tcBorders>
              <w:top w:val="single" w:sz="12" w:space="0" w:color="000000"/>
              <w:left w:val="single" w:sz="6" w:space="0" w:color="000000"/>
              <w:bottom w:val="single" w:sz="12" w:space="0" w:color="000000"/>
              <w:right w:val="single" w:sz="12" w:space="0" w:color="000000"/>
            </w:tcBorders>
          </w:tcPr>
          <w:p w14:paraId="01216A2C" w14:textId="77777777" w:rsidR="00411DC7" w:rsidRDefault="00411DC7">
            <w:pPr>
              <w:kinsoku w:val="0"/>
              <w:overflowPunct w:val="0"/>
              <w:autoSpaceDE w:val="0"/>
              <w:autoSpaceDN w:val="0"/>
              <w:adjustRightInd w:val="0"/>
              <w:spacing w:after="0" w:line="243" w:lineRule="exact"/>
              <w:ind w:left="79" w:right="75"/>
              <w:jc w:val="center"/>
              <w:rPr>
                <w:rFonts w:ascii="Times New Roman" w:hAnsi="Times New Roman" w:cs="Times New Roman"/>
                <w:sz w:val="24"/>
                <w:szCs w:val="24"/>
              </w:rPr>
            </w:pPr>
          </w:p>
        </w:tc>
      </w:tr>
      <w:tr w:rsidR="00411DC7" w14:paraId="0FF68956" w14:textId="77777777" w:rsidTr="00411DC7">
        <w:trPr>
          <w:trHeight w:val="307"/>
        </w:trPr>
        <w:tc>
          <w:tcPr>
            <w:tcW w:w="9288" w:type="dxa"/>
            <w:gridSpan w:val="5"/>
            <w:tcBorders>
              <w:top w:val="single" w:sz="12" w:space="0" w:color="000000"/>
              <w:left w:val="single" w:sz="12" w:space="0" w:color="000000"/>
              <w:bottom w:val="single" w:sz="4" w:space="0" w:color="000000"/>
              <w:right w:val="single" w:sz="12" w:space="0" w:color="000000"/>
            </w:tcBorders>
            <w:hideMark/>
          </w:tcPr>
          <w:p w14:paraId="71316B84" w14:textId="77777777" w:rsidR="00411DC7" w:rsidRDefault="00411DC7">
            <w:pPr>
              <w:kinsoku w:val="0"/>
              <w:overflowPunct w:val="0"/>
              <w:autoSpaceDE w:val="0"/>
              <w:autoSpaceDN w:val="0"/>
              <w:adjustRightInd w:val="0"/>
              <w:spacing w:after="0" w:line="256" w:lineRule="auto"/>
              <w:ind w:left="93"/>
              <w:jc w:val="left"/>
              <w:rPr>
                <w:rFonts w:cstheme="minorHAnsi"/>
                <w:sz w:val="24"/>
                <w:szCs w:val="24"/>
              </w:rPr>
            </w:pPr>
            <w:r>
              <w:rPr>
                <w:rFonts w:cstheme="minorHAnsi"/>
                <w:i/>
                <w:iCs/>
                <w:sz w:val="20"/>
                <w:szCs w:val="20"/>
              </w:rPr>
              <w:t>* Pozn. „vydání“ = měsíční náklad ve výši 1 290 ks výtisků</w:t>
            </w:r>
          </w:p>
        </w:tc>
      </w:tr>
    </w:tbl>
    <w:p w14:paraId="7FFF6EBF" w14:textId="77777777" w:rsidR="00411DC7" w:rsidRDefault="00411DC7" w:rsidP="00411DC7"/>
    <w:p w14:paraId="054892AC" w14:textId="77777777" w:rsidR="00411DC7" w:rsidRDefault="00411DC7" w:rsidP="00411DC7">
      <w:pPr>
        <w:pStyle w:val="Odstavecseseznamem"/>
        <w:numPr>
          <w:ilvl w:val="0"/>
          <w:numId w:val="8"/>
        </w:numPr>
        <w:ind w:left="284" w:hanging="284"/>
      </w:pPr>
      <w:r>
        <w:t>Cena (resp. její jednotlivé složky) uvedená v odst. 2 a 3. tohoto článku je cena nejvýše přípustná a zahrnuje veškeré náklady obstaravatele a jeho odměnu. Obstaravatel přebírá nebezpečí změny okolností ve smyslu § 1765 odst. 2 občanského zákoníku.</w:t>
      </w:r>
    </w:p>
    <w:p w14:paraId="4C2F7892" w14:textId="77777777" w:rsidR="00411DC7" w:rsidRDefault="00411DC7" w:rsidP="00411DC7">
      <w:pPr>
        <w:pStyle w:val="Odstavecseseznamem"/>
        <w:numPr>
          <w:ilvl w:val="0"/>
          <w:numId w:val="8"/>
        </w:numPr>
        <w:ind w:left="284" w:hanging="284"/>
      </w:pPr>
      <w:r>
        <w:t>Příslušná sazba daně z přidané hodnoty (DPH) bude účtována dle platných předpisů ČR v době zdanitelného plnění.</w:t>
      </w:r>
    </w:p>
    <w:p w14:paraId="543159B2" w14:textId="77777777" w:rsidR="00411DC7" w:rsidRDefault="00411DC7" w:rsidP="00411DC7">
      <w:pPr>
        <w:pStyle w:val="Odstavecseseznamem"/>
        <w:numPr>
          <w:ilvl w:val="0"/>
          <w:numId w:val="8"/>
        </w:numPr>
        <w:ind w:left="284" w:hanging="284"/>
      </w:pPr>
      <w:r>
        <w:t>Smluvní strany se dohodly na tom, že příjemce zdanitelného plnění je oprávněn uplatnit institut zvláštního způsobu zajištění daně z přidané hodnoty ve smyslu § 109a zákona č. 235/2004 Sb., o dani z přidané hodnoty, v platném znění,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č. 235/2004 Sb., o dani z přidané hodnoty, v platném znění,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w:t>
      </w:r>
    </w:p>
    <w:p w14:paraId="044AE7A5" w14:textId="77777777" w:rsidR="00411DC7" w:rsidRDefault="00411DC7" w:rsidP="00411DC7">
      <w:pPr>
        <w:pStyle w:val="Odstavecseseznamem"/>
        <w:numPr>
          <w:ilvl w:val="0"/>
          <w:numId w:val="8"/>
        </w:numPr>
        <w:ind w:left="284" w:hanging="284"/>
      </w:pPr>
      <w:r>
        <w:t>Příslušná výše ceny, která má být za předmět plnění zaplacena obstaravateli, bude vždy sjednána v realizační smlouvě. Pro vyloučení pochybností smluvní strany sjednávají, že na základě této smlouvy bez uzavření realizační smlouvy nevzniká obstaravateli nárok na jakoukoliv úplatu.</w:t>
      </w:r>
    </w:p>
    <w:p w14:paraId="48A56096" w14:textId="77777777" w:rsidR="00411DC7" w:rsidRDefault="00411DC7" w:rsidP="00411DC7">
      <w:pPr>
        <w:pStyle w:val="Odstavecseseznamem"/>
        <w:numPr>
          <w:ilvl w:val="0"/>
          <w:numId w:val="8"/>
        </w:numPr>
        <w:ind w:left="284" w:hanging="284"/>
      </w:pPr>
      <w:r>
        <w:t>Pokud dojde před nebo v průběhu realizace předmětu plnění ke změnám daňových předpisů majících vliv na cenu předmětu plnění, bude cena upravena dle sazeb daně z přidané hodnoty platných ke dni zdanitelného plnění bez nutnosti vyhotovit dodatek k této smlouvě.</w:t>
      </w:r>
    </w:p>
    <w:p w14:paraId="0B772473" w14:textId="77777777" w:rsidR="00411DC7" w:rsidRDefault="00411DC7" w:rsidP="00411DC7">
      <w:pPr>
        <w:pStyle w:val="Odstavecseseznamem"/>
        <w:numPr>
          <w:ilvl w:val="0"/>
          <w:numId w:val="8"/>
        </w:numPr>
        <w:ind w:left="284" w:hanging="284"/>
        <w:rPr>
          <w:b/>
        </w:rPr>
      </w:pPr>
      <w:r>
        <w:t>V případě, že v průběhu realizace předmětu plnění vzniknou na straně obstaravatele náklady převyšující dohodnutou cenu předmětu plnění, je obstaravatel povinen o této skutečnosti písemně informovat vydavatele, a to bez zbytečného odkladu, nejpozději do 7 kalendářních dnů ode dne, kdy obstaravatel věděl nebo mohl rozumně předpokládat, že dojde ke zvýšení ceny díla. Náklady, převyšující dohodnutou cenu předmětu plnění, vydavatel uhradí pouze tehdy, bude-li ze strany obstaravatele splněna tato informační povinnost a vydavatel se zvýšením ceny projeví písemný souhlas.</w:t>
      </w:r>
    </w:p>
    <w:p w14:paraId="74BE0DF7" w14:textId="77777777" w:rsidR="00411DC7" w:rsidRDefault="00411DC7" w:rsidP="00411DC7">
      <w:pPr>
        <w:pStyle w:val="Odstavecseseznamem"/>
        <w:ind w:left="284"/>
        <w:rPr>
          <w:b/>
        </w:rPr>
      </w:pPr>
    </w:p>
    <w:p w14:paraId="3A2AB3CB" w14:textId="77777777" w:rsidR="00411DC7" w:rsidRDefault="00411DC7" w:rsidP="00411DC7">
      <w:pPr>
        <w:pStyle w:val="Odstavecseseznamem"/>
        <w:numPr>
          <w:ilvl w:val="0"/>
          <w:numId w:val="1"/>
        </w:numPr>
        <w:ind w:left="426" w:hanging="426"/>
        <w:jc w:val="center"/>
        <w:rPr>
          <w:b/>
        </w:rPr>
      </w:pPr>
      <w:r>
        <w:rPr>
          <w:b/>
        </w:rPr>
        <w:lastRenderedPageBreak/>
        <w:t>Platební podmínky</w:t>
      </w:r>
    </w:p>
    <w:p w14:paraId="13403E5A" w14:textId="77777777" w:rsidR="00411DC7" w:rsidRDefault="00411DC7" w:rsidP="00411DC7">
      <w:pPr>
        <w:pStyle w:val="Odstavecseseznamem"/>
        <w:numPr>
          <w:ilvl w:val="0"/>
          <w:numId w:val="9"/>
        </w:numPr>
        <w:ind w:left="284" w:hanging="284"/>
      </w:pPr>
      <w:r>
        <w:t>Vydavatel neposkytuje obstaravateli zálohy.</w:t>
      </w:r>
    </w:p>
    <w:p w14:paraId="22A4C0BD" w14:textId="77777777" w:rsidR="00411DC7" w:rsidRDefault="00411DC7" w:rsidP="00411DC7">
      <w:pPr>
        <w:pStyle w:val="Odstavecseseznamem"/>
        <w:numPr>
          <w:ilvl w:val="0"/>
          <w:numId w:val="9"/>
        </w:numPr>
        <w:ind w:left="284" w:hanging="284"/>
      </w:pPr>
      <w:r>
        <w:t>Smluvní strany se dohodly na fakturaci v souladu se zákonem o DPH v režimu dílčího plnění.</w:t>
      </w:r>
    </w:p>
    <w:p w14:paraId="2582D56C" w14:textId="77777777" w:rsidR="00411DC7" w:rsidRDefault="00411DC7" w:rsidP="00411DC7">
      <w:pPr>
        <w:pStyle w:val="Odstavecseseznamem"/>
        <w:numPr>
          <w:ilvl w:val="0"/>
          <w:numId w:val="9"/>
        </w:numPr>
        <w:ind w:left="284" w:hanging="284"/>
      </w:pPr>
      <w:r>
        <w:t>Obstaravatel je oprávněn požadovat zaplacení ceny za příslušný kalendářní měsíc na základě faktury jím vystavené po dokončení distribuce periodika v příslušném kalendářním měsíci. Za datum uskutečnění dílčího plnění se považuje kalendářní den dokončení distribuce periodika. Splatnost faktury se sjednává na 21 dnů ode dne jejího vystavení vydavateli.</w:t>
      </w:r>
    </w:p>
    <w:p w14:paraId="27426402" w14:textId="77777777" w:rsidR="00411DC7" w:rsidRDefault="00411DC7" w:rsidP="00411DC7">
      <w:pPr>
        <w:pStyle w:val="Odstavecseseznamem"/>
        <w:numPr>
          <w:ilvl w:val="0"/>
          <w:numId w:val="9"/>
        </w:numPr>
        <w:ind w:left="284" w:hanging="284"/>
      </w:pPr>
      <w:r>
        <w:t>Podkladem pro úhradu ceny za předmět plnění budou faktury, které budou mít náležitosti daňového dokladu podle zákona o DPH, a které budou součástí dodávky periodika v souladu s čl. III. odst. 3 písm. f) této smlouvy.</w:t>
      </w:r>
    </w:p>
    <w:p w14:paraId="3903570D" w14:textId="77777777" w:rsidR="00411DC7" w:rsidRDefault="00411DC7" w:rsidP="00411DC7">
      <w:pPr>
        <w:pStyle w:val="Odstavecseseznamem"/>
        <w:numPr>
          <w:ilvl w:val="0"/>
          <w:numId w:val="9"/>
        </w:numPr>
        <w:ind w:left="284" w:hanging="284"/>
      </w:pPr>
      <w:r>
        <w:t>Kromě náležitostí stanovených platnými právními předpisy pro daňový doklad je obstaravatel povinen ve faktuře uvést i tyto údaje:</w:t>
      </w:r>
    </w:p>
    <w:p w14:paraId="502F5BA6" w14:textId="77777777" w:rsidR="00411DC7" w:rsidRDefault="00411DC7" w:rsidP="00411DC7">
      <w:pPr>
        <w:ind w:firstLine="284"/>
      </w:pPr>
      <w:r>
        <w:t>a) číslo smlouvy vydavatele, IČO vydavatele,</w:t>
      </w:r>
    </w:p>
    <w:p w14:paraId="43DBC58C" w14:textId="77777777" w:rsidR="00411DC7" w:rsidRDefault="00411DC7" w:rsidP="00411DC7">
      <w:pPr>
        <w:ind w:left="567" w:hanging="283"/>
      </w:pPr>
      <w:r>
        <w:t>b) předmět smlouvy, tj. text „Rýmařovský horizont“, označení banky a číslo účtu, na který musí být zaplaceno (pokud dojde ke změně čísla účtu, je obstaravatel povinen o této skutečnosti informovat),</w:t>
      </w:r>
    </w:p>
    <w:p w14:paraId="61366852" w14:textId="77777777" w:rsidR="00411DC7" w:rsidRDefault="00411DC7" w:rsidP="00411DC7">
      <w:pPr>
        <w:ind w:firstLine="284"/>
      </w:pPr>
      <w:r>
        <w:t>c) lhůtu splatnosti faktury,</w:t>
      </w:r>
    </w:p>
    <w:p w14:paraId="7F4CF12B" w14:textId="77777777" w:rsidR="00411DC7" w:rsidRDefault="00411DC7" w:rsidP="00411DC7">
      <w:pPr>
        <w:ind w:firstLine="284"/>
      </w:pPr>
      <w:r>
        <w:t>d) označení osoby, která fakturu vyhotovila, včetně jejího podpisu a kontaktního telefonu,</w:t>
      </w:r>
    </w:p>
    <w:p w14:paraId="45CD0797" w14:textId="77777777" w:rsidR="00411DC7" w:rsidRDefault="00411DC7" w:rsidP="00411DC7">
      <w:pPr>
        <w:pStyle w:val="Odstavecseseznamem"/>
        <w:numPr>
          <w:ilvl w:val="0"/>
          <w:numId w:val="9"/>
        </w:numPr>
        <w:ind w:left="284" w:hanging="284"/>
      </w:pPr>
      <w:r>
        <w:t>Vydavatel je oprávněn vadnou fakturu před uplynutím lhůty splatnosti vrátit druhé smluvní straně bez zaplacení k provedení opravy v těchto případech:</w:t>
      </w:r>
    </w:p>
    <w:p w14:paraId="65A90731" w14:textId="77777777" w:rsidR="00411DC7" w:rsidRDefault="00411DC7" w:rsidP="00411DC7">
      <w:pPr>
        <w:ind w:left="567" w:hanging="283"/>
      </w:pPr>
      <w:r>
        <w:t>a) nebude-li faktura obsahovat některou povinnou nebo dohodnutou náležitost nebo bude-li chybně vyúčtována cena,</w:t>
      </w:r>
    </w:p>
    <w:p w14:paraId="2085CCC0" w14:textId="77777777" w:rsidR="00411DC7" w:rsidRDefault="00411DC7" w:rsidP="00411DC7">
      <w:pPr>
        <w:ind w:left="567" w:hanging="283"/>
      </w:pPr>
      <w:r>
        <w:t>b)</w:t>
      </w:r>
      <w:r>
        <w:tab/>
        <w:t>budou-li vyúčtovány služby, které nebyly provedeny či nebyly potvrzeny oprávněným zástupcem vydavatele.</w:t>
      </w:r>
    </w:p>
    <w:p w14:paraId="480CB572" w14:textId="77777777" w:rsidR="00411DC7" w:rsidRDefault="00411DC7" w:rsidP="00411DC7">
      <w:pPr>
        <w:pStyle w:val="Odstavecseseznamem"/>
        <w:numPr>
          <w:ilvl w:val="0"/>
          <w:numId w:val="9"/>
        </w:numPr>
        <w:ind w:left="284" w:hanging="284"/>
      </w:pPr>
      <w:r>
        <w:t>Ve vrácené faktuře vydavatel vyznačí důvod vrácení. Obstaravatel provede opravu vystavením nové faktury. Vrátí-li vydavatel vadnou fakturu obstaravateli, přestává běžet původní lhůta splatnosti. Celá lhůta splatnosti běží opět ode dne doručení nově vyhotovené faktury vydavateli.</w:t>
      </w:r>
    </w:p>
    <w:p w14:paraId="2A99AC22" w14:textId="77777777" w:rsidR="00411DC7" w:rsidRDefault="00411DC7" w:rsidP="00411DC7">
      <w:pPr>
        <w:pStyle w:val="Odstavecseseznamem"/>
        <w:numPr>
          <w:ilvl w:val="0"/>
          <w:numId w:val="9"/>
        </w:numPr>
        <w:ind w:left="284" w:hanging="284"/>
      </w:pPr>
      <w:r>
        <w:t>Povinnost zaplatit cenu za dílo je splněna dnem odepsání příslušné částky z účtu vydavatele.</w:t>
      </w:r>
    </w:p>
    <w:p w14:paraId="646D6665" w14:textId="77777777" w:rsidR="00411DC7" w:rsidRDefault="00411DC7" w:rsidP="00411DC7">
      <w:pPr>
        <w:pStyle w:val="Odstavecseseznamem"/>
        <w:numPr>
          <w:ilvl w:val="0"/>
          <w:numId w:val="9"/>
        </w:numPr>
        <w:ind w:left="284" w:hanging="284"/>
      </w:pPr>
      <w:r>
        <w:t>Vydavatel je oprávněn pozastavit financování v případě, že obstaravatel bezdůvodně přeruší plnění této smlouvy nebo plnění této smlouvy bude provádět v rozporu se smlouvou nebo pokyny vydavatele.</w:t>
      </w:r>
    </w:p>
    <w:p w14:paraId="53FE2CEC" w14:textId="77777777" w:rsidR="00411DC7" w:rsidRDefault="00411DC7" w:rsidP="00411DC7">
      <w:pPr>
        <w:pStyle w:val="Odstavecseseznamem"/>
        <w:numPr>
          <w:ilvl w:val="0"/>
          <w:numId w:val="1"/>
        </w:numPr>
        <w:ind w:left="426" w:hanging="426"/>
        <w:jc w:val="center"/>
        <w:rPr>
          <w:b/>
        </w:rPr>
      </w:pPr>
      <w:r>
        <w:rPr>
          <w:b/>
        </w:rPr>
        <w:t>Licenční podmínky</w:t>
      </w:r>
    </w:p>
    <w:p w14:paraId="590E39B7" w14:textId="77777777" w:rsidR="00411DC7" w:rsidRDefault="00411DC7" w:rsidP="00411DC7">
      <w:pPr>
        <w:pStyle w:val="Odstavecseseznamem"/>
        <w:numPr>
          <w:ilvl w:val="0"/>
          <w:numId w:val="10"/>
        </w:numPr>
        <w:ind w:left="284" w:hanging="284"/>
      </w:pPr>
      <w:r>
        <w:t>Obstaravatel je oprávněn užít autorská díla, která budou zachycena v periodiku, pouze pro účel, který vyplývá z této smlouvy (tj. způsobem rozmnožování a rozšiřování rozmnoženiny autorského díla), a to v ujednaném množstevním rozsahu s územním rozsahem pro území České republiky.</w:t>
      </w:r>
    </w:p>
    <w:p w14:paraId="11C91579" w14:textId="77777777" w:rsidR="00411DC7" w:rsidRDefault="00411DC7" w:rsidP="00411DC7">
      <w:pPr>
        <w:pStyle w:val="Odstavecseseznamem"/>
        <w:numPr>
          <w:ilvl w:val="0"/>
          <w:numId w:val="10"/>
        </w:numPr>
        <w:ind w:left="284" w:hanging="284"/>
      </w:pPr>
      <w:r>
        <w:t xml:space="preserve">Grafické zpracování titulní strany periodika je autorským dílem obstaravatele. </w:t>
      </w:r>
    </w:p>
    <w:p w14:paraId="6A497D53" w14:textId="77777777" w:rsidR="00411DC7" w:rsidRDefault="00411DC7" w:rsidP="00411DC7">
      <w:pPr>
        <w:pStyle w:val="Odstavecseseznamem"/>
        <w:numPr>
          <w:ilvl w:val="0"/>
          <w:numId w:val="10"/>
        </w:numPr>
        <w:ind w:left="284" w:hanging="284"/>
      </w:pPr>
      <w:r>
        <w:t>Časový rozsah autorskoprávní licence je smluvními stranami sjednán na dobu trvání závazku z příslušné realizační smlouvy nejdéle na dobu trvání této smlouvy.</w:t>
      </w:r>
    </w:p>
    <w:p w14:paraId="2059C61A" w14:textId="77777777" w:rsidR="00411DC7" w:rsidRDefault="00411DC7" w:rsidP="00411DC7">
      <w:pPr>
        <w:pStyle w:val="Odstavecseseznamem"/>
        <w:numPr>
          <w:ilvl w:val="0"/>
          <w:numId w:val="10"/>
        </w:numPr>
        <w:ind w:left="284" w:hanging="284"/>
      </w:pPr>
      <w:r>
        <w:t>Obstaravatel není oprávněn poskytnout třetí osobě podlicenci nebo postoupit práva z poskytnuté licence bez souhlasu vydavatele.</w:t>
      </w:r>
    </w:p>
    <w:p w14:paraId="2F118AF8" w14:textId="77777777" w:rsidR="00411DC7" w:rsidRDefault="00411DC7" w:rsidP="00411DC7">
      <w:pPr>
        <w:pStyle w:val="Odstavecseseznamem"/>
        <w:numPr>
          <w:ilvl w:val="0"/>
          <w:numId w:val="10"/>
        </w:numPr>
        <w:ind w:left="284" w:hanging="284"/>
      </w:pPr>
      <w:r>
        <w:t>Obstaravatel je oprávněn autorská díla změnit a zasahovat do nich pouze v rozsahu nezbytném pro plnění této smlouvy.</w:t>
      </w:r>
    </w:p>
    <w:p w14:paraId="4F0D166C" w14:textId="77777777" w:rsidR="00411DC7" w:rsidRDefault="00411DC7" w:rsidP="00411DC7">
      <w:pPr>
        <w:pStyle w:val="Odstavecseseznamem"/>
        <w:numPr>
          <w:ilvl w:val="0"/>
          <w:numId w:val="1"/>
        </w:numPr>
        <w:ind w:left="426" w:hanging="426"/>
        <w:jc w:val="center"/>
        <w:rPr>
          <w:b/>
        </w:rPr>
      </w:pPr>
      <w:r>
        <w:rPr>
          <w:b/>
        </w:rPr>
        <w:lastRenderedPageBreak/>
        <w:t>Náhrada škody a smluvní pokuty</w:t>
      </w:r>
    </w:p>
    <w:p w14:paraId="44220E44" w14:textId="77777777" w:rsidR="00411DC7" w:rsidRDefault="00411DC7" w:rsidP="00411DC7">
      <w:pPr>
        <w:pStyle w:val="Odstavecseseznamem"/>
        <w:numPr>
          <w:ilvl w:val="0"/>
          <w:numId w:val="11"/>
        </w:numPr>
        <w:ind w:left="284" w:hanging="284"/>
      </w:pPr>
      <w:r>
        <w:t>V případě, že obstaravatel neodešle vydavateli akceptaci objednávky ve lhůtě stanovené v čl. V. odst. 3 této smlouvy, má vydavatel právo na zaplacení smluvní pokuty ve výši 500 Kč za každý započatý den prodlení, nejvýše však 5.000 Kč.</w:t>
      </w:r>
    </w:p>
    <w:p w14:paraId="698A2928" w14:textId="09A51B2E" w:rsidR="00411DC7" w:rsidRDefault="00411DC7" w:rsidP="00411DC7">
      <w:pPr>
        <w:pStyle w:val="Odstavecseseznamem"/>
        <w:numPr>
          <w:ilvl w:val="0"/>
          <w:numId w:val="11"/>
        </w:numPr>
        <w:ind w:left="284" w:hanging="284"/>
      </w:pPr>
      <w:r>
        <w:t>Pro případ prodlení obstaravatele s plněním závazku dle čl. III. odst.3 (harmonogramu plnění) této smlouvy, sjednávají smluvní strany smluvní pokutu ve výši 2.000 Kč za každý jednotlivý případ a za každý den prodlení.</w:t>
      </w:r>
    </w:p>
    <w:p w14:paraId="7459D74B" w14:textId="77777777" w:rsidR="00411DC7" w:rsidRDefault="00411DC7" w:rsidP="00411DC7">
      <w:pPr>
        <w:pStyle w:val="Odstavecseseznamem"/>
        <w:numPr>
          <w:ilvl w:val="0"/>
          <w:numId w:val="11"/>
        </w:numPr>
        <w:ind w:left="284" w:hanging="284"/>
      </w:pPr>
      <w:r>
        <w:t>V případě prodlení obstaravatele s doručením faktury za dílčí plnění předmětu smlouvy vydavateli, má vydavatel právo na zaplacení smluvní pokuty ve výši 1.000 Kč bez DPH za každý jednotlivý případ.</w:t>
      </w:r>
    </w:p>
    <w:p w14:paraId="35A54A70" w14:textId="77777777" w:rsidR="00411DC7" w:rsidRDefault="00411DC7" w:rsidP="00411DC7">
      <w:pPr>
        <w:pStyle w:val="Odstavecseseznamem"/>
        <w:numPr>
          <w:ilvl w:val="0"/>
          <w:numId w:val="11"/>
        </w:numPr>
        <w:ind w:left="284" w:hanging="284"/>
      </w:pPr>
      <w:r>
        <w:t>V případě prodlení vydavatele s úhradou faktury proti sjednané lhůtě splatnosti, je obstaravatel oprávněn po vydavateli požadovat zaplacení úroku z prodlení ve výši 0,05 % z dlužné částky bez DPH za každý i započatý den prodlení.</w:t>
      </w:r>
    </w:p>
    <w:p w14:paraId="21257DA3" w14:textId="77777777" w:rsidR="00411DC7" w:rsidRDefault="00411DC7" w:rsidP="00411DC7">
      <w:pPr>
        <w:pStyle w:val="Odstavecseseznamem"/>
        <w:numPr>
          <w:ilvl w:val="0"/>
          <w:numId w:val="11"/>
        </w:numPr>
        <w:ind w:left="284" w:hanging="284"/>
      </w:pPr>
      <w:r>
        <w:t>V případě, že závazek sjednaný dle realizační smlouvy za podmínek této smlouvy zanikne před řádným splněním předmětu realizační smlouvy i této smlouvy, nezaniká nárok na smluvní pokutu, pokud vznikl dřívějším porušením povinnosti. Zánik závazku pozdním splněním neznamená zánik nároku na smluvní pokutu za prodlení s plněním.</w:t>
      </w:r>
    </w:p>
    <w:p w14:paraId="36518C9D" w14:textId="77777777" w:rsidR="00411DC7" w:rsidRDefault="00411DC7" w:rsidP="00411DC7">
      <w:pPr>
        <w:pStyle w:val="Odstavecseseznamem"/>
        <w:numPr>
          <w:ilvl w:val="0"/>
          <w:numId w:val="11"/>
        </w:numPr>
        <w:ind w:left="284" w:hanging="284"/>
      </w:pPr>
      <w:r>
        <w:t>Smluvní pokuty se nezapočítávají na náhradu případně vzniklé škody. Náhradu škody lze vymáhat samostatně vedle smluvní pokuty v plné výši.</w:t>
      </w:r>
    </w:p>
    <w:p w14:paraId="718C37ED" w14:textId="77777777" w:rsidR="00411DC7" w:rsidRDefault="00411DC7" w:rsidP="00411DC7">
      <w:pPr>
        <w:pStyle w:val="Odstavecseseznamem"/>
        <w:numPr>
          <w:ilvl w:val="0"/>
          <w:numId w:val="11"/>
        </w:numPr>
        <w:ind w:left="284" w:hanging="284"/>
      </w:pPr>
      <w:r>
        <w:t>Smluvní strany se dohodly, že vyúčtovaná smluvní pokuta může být jednostranně započtena vůči ceně za provedené plnění, kterou je vydavatel povinen uhradit.</w:t>
      </w:r>
    </w:p>
    <w:p w14:paraId="2B4A7795" w14:textId="77777777" w:rsidR="00411DC7" w:rsidRDefault="00411DC7" w:rsidP="00411DC7">
      <w:pPr>
        <w:pStyle w:val="Odstavecseseznamem"/>
        <w:numPr>
          <w:ilvl w:val="0"/>
          <w:numId w:val="1"/>
        </w:numPr>
        <w:ind w:left="426" w:hanging="426"/>
        <w:jc w:val="center"/>
        <w:rPr>
          <w:b/>
        </w:rPr>
      </w:pPr>
      <w:r>
        <w:rPr>
          <w:b/>
        </w:rPr>
        <w:t>Platnost a účinnost smlouvy</w:t>
      </w:r>
    </w:p>
    <w:p w14:paraId="62DA6BF7" w14:textId="77777777" w:rsidR="00411DC7" w:rsidRDefault="00411DC7" w:rsidP="00411DC7">
      <w:pPr>
        <w:pStyle w:val="Odstavecseseznamem"/>
        <w:numPr>
          <w:ilvl w:val="0"/>
          <w:numId w:val="12"/>
        </w:numPr>
        <w:ind w:left="284" w:hanging="284"/>
      </w:pPr>
      <w:r>
        <w:t xml:space="preserve">Tato smlouva nabývá platnosti dnem podpisu druhé smluvní strany a účinnosti dnem jejího zveřejnění v registru smluv v souladu se zákonem č. 340/2015 Sb., o registru smluv, ve znění pozdějších předpisů. Smluvní strany se dohodly, že tuto smlouvu zveřejní vydavatel po podpisu smlouvy oběma smluvními stranami. </w:t>
      </w:r>
    </w:p>
    <w:p w14:paraId="706CBE97" w14:textId="77777777" w:rsidR="00411DC7" w:rsidRDefault="00411DC7" w:rsidP="00411DC7">
      <w:pPr>
        <w:pStyle w:val="Odstavecseseznamem"/>
        <w:numPr>
          <w:ilvl w:val="0"/>
          <w:numId w:val="12"/>
        </w:numPr>
        <w:ind w:left="284" w:hanging="284"/>
      </w:pPr>
      <w:r>
        <w:t>Tato smlouva se uzavírá na dobu určitou 48 měsíců. Posledním vydáním periodika dle této smlouvy bude vydání za červen 2027.</w:t>
      </w:r>
    </w:p>
    <w:p w14:paraId="16D89B39" w14:textId="77777777" w:rsidR="00411DC7" w:rsidRDefault="00411DC7" w:rsidP="00411DC7">
      <w:pPr>
        <w:pStyle w:val="Odstavecseseznamem"/>
        <w:numPr>
          <w:ilvl w:val="0"/>
          <w:numId w:val="12"/>
        </w:numPr>
        <w:ind w:left="284" w:hanging="284"/>
      </w:pPr>
      <w:r>
        <w:t>Platnost této smlouvy zaniká také písemnou dohodou smluvních stran nebo písemnou výpovědí kterékoli smluvní strany.</w:t>
      </w:r>
    </w:p>
    <w:p w14:paraId="0EC790A2" w14:textId="77777777" w:rsidR="00411DC7" w:rsidRDefault="00411DC7" w:rsidP="00411DC7">
      <w:pPr>
        <w:pStyle w:val="Odstavecseseznamem"/>
        <w:numPr>
          <w:ilvl w:val="0"/>
          <w:numId w:val="1"/>
        </w:numPr>
        <w:ind w:left="426" w:hanging="426"/>
        <w:jc w:val="center"/>
        <w:rPr>
          <w:b/>
        </w:rPr>
      </w:pPr>
      <w:r>
        <w:rPr>
          <w:b/>
        </w:rPr>
        <w:t>Výpověď a odstoupení od smlouvy</w:t>
      </w:r>
    </w:p>
    <w:p w14:paraId="19044FCD" w14:textId="77777777" w:rsidR="00411DC7" w:rsidRDefault="00411DC7" w:rsidP="00411DC7">
      <w:pPr>
        <w:pStyle w:val="Odstavecseseznamem"/>
        <w:numPr>
          <w:ilvl w:val="0"/>
          <w:numId w:val="13"/>
        </w:numPr>
        <w:ind w:left="284" w:hanging="284"/>
      </w:pPr>
      <w:r>
        <w:t xml:space="preserve">Kterákoli ze smluvních stran je oprávněna tuto smlouvu vypovědět, přičemž výpovědní doba činí tři kalendářní měsíce. Výpovědní doba začíná běžet prvním dnem kalendářního měsíce následujícího po měsíci, ve kterém bylo doručeno druhé smluvní straně písemná výpověď. </w:t>
      </w:r>
    </w:p>
    <w:p w14:paraId="557620BF" w14:textId="77777777" w:rsidR="00411DC7" w:rsidRDefault="00411DC7" w:rsidP="00411DC7">
      <w:pPr>
        <w:pStyle w:val="Odstavecseseznamem"/>
        <w:numPr>
          <w:ilvl w:val="0"/>
          <w:numId w:val="13"/>
        </w:numPr>
        <w:ind w:left="284" w:hanging="284"/>
      </w:pPr>
      <w:r>
        <w:t>Smluvní strany jsou oprávněny odstoupit od smlouvy v případě jejího podstatného porušení druhou smluvní stranou, přičemž podstatným porušením smlouvy se rozumí zejména:</w:t>
      </w:r>
    </w:p>
    <w:p w14:paraId="2FD31ED9" w14:textId="77777777" w:rsidR="00411DC7" w:rsidRDefault="00411DC7" w:rsidP="00411DC7">
      <w:pPr>
        <w:ind w:left="709" w:hanging="425"/>
      </w:pPr>
      <w:r>
        <w:t>a)</w:t>
      </w:r>
      <w:r>
        <w:tab/>
        <w:t>opakované nedodržení harmonogramu plnění dle čl. III odst. 3 této smlouvy; za opakované nedodržení harmonogramu plnění považují smluvní strany nejméně trojí prodlení s plněním harmonogramu,</w:t>
      </w:r>
    </w:p>
    <w:p w14:paraId="51532E0B" w14:textId="77777777" w:rsidR="00411DC7" w:rsidRDefault="00411DC7" w:rsidP="00411DC7">
      <w:pPr>
        <w:ind w:left="709" w:hanging="425"/>
      </w:pPr>
      <w:r>
        <w:t>b)</w:t>
      </w:r>
      <w:r>
        <w:tab/>
        <w:t>nezahájení předmětu plnění na základě realizační smlouvy (s výjimkou případů, kdy zahájení předmětu plnění brání důvody na straně vydavatele),</w:t>
      </w:r>
    </w:p>
    <w:p w14:paraId="7F1A3336" w14:textId="77777777" w:rsidR="00411DC7" w:rsidRDefault="00411DC7" w:rsidP="00411DC7">
      <w:pPr>
        <w:ind w:left="709" w:hanging="425"/>
      </w:pPr>
      <w:r>
        <w:t>c)</w:t>
      </w:r>
      <w:r>
        <w:tab/>
        <w:t>nedodržení pokynů vydavatele, právních předpisů nebo technických norem týkajících se provádění předmětu plnění,</w:t>
      </w:r>
    </w:p>
    <w:p w14:paraId="2B2B88F1" w14:textId="77777777" w:rsidR="00411DC7" w:rsidRDefault="00411DC7" w:rsidP="00411DC7">
      <w:pPr>
        <w:ind w:left="709" w:hanging="425"/>
      </w:pPr>
      <w:r>
        <w:t>d)</w:t>
      </w:r>
      <w:r>
        <w:tab/>
        <w:t>neuhrazení ceny za plnění vydavatelem po druhé výzvě obstaravatele k uhrazení dlužné částky, přičemž druhá výzva nesmí následovat dříve než 30 dnů po doručení první výzvy,</w:t>
      </w:r>
    </w:p>
    <w:p w14:paraId="403155CD" w14:textId="77777777" w:rsidR="00411DC7" w:rsidRDefault="00411DC7" w:rsidP="00411DC7">
      <w:pPr>
        <w:pStyle w:val="Odstavecseseznamem"/>
        <w:numPr>
          <w:ilvl w:val="0"/>
          <w:numId w:val="13"/>
        </w:numPr>
        <w:ind w:left="284" w:hanging="284"/>
      </w:pPr>
      <w:r>
        <w:lastRenderedPageBreak/>
        <w:t>Vydavatel je dále oprávněn od této smlouvy odstoupit v těchto případech:</w:t>
      </w:r>
    </w:p>
    <w:p w14:paraId="3FB5618E" w14:textId="77777777" w:rsidR="00411DC7" w:rsidRDefault="00411DC7" w:rsidP="00411DC7">
      <w:pPr>
        <w:ind w:left="709" w:hanging="425"/>
      </w:pPr>
      <w:r>
        <w:t>a)</w:t>
      </w:r>
      <w:r>
        <w:tab/>
        <w:t>dojde-li k neoprávněnému zastavení předmětu plnění z rozhodnutí obstaravatele nebo obstaravatel postupuje při provádění plnění způsobem, který zjevně neodpovídá dohodnutému rozsahu plnění a sjednanému termínu předání plnění, či jeho části vydavateli,</w:t>
      </w:r>
    </w:p>
    <w:p w14:paraId="2C6C5463" w14:textId="77777777" w:rsidR="00411DC7" w:rsidRDefault="00411DC7" w:rsidP="00411DC7">
      <w:pPr>
        <w:ind w:left="704" w:hanging="420"/>
      </w:pPr>
      <w:r>
        <w:t>b)</w:t>
      </w:r>
      <w:r>
        <w:tab/>
        <w:t>bude-li zjištěno, že obstaravatel je v úpadku nebo s ním bylo zahájeno insolvenční řízení nebo je v likvidaci.</w:t>
      </w:r>
    </w:p>
    <w:p w14:paraId="52EE1E99" w14:textId="77777777" w:rsidR="00411DC7" w:rsidRDefault="00411DC7" w:rsidP="00411DC7">
      <w:pPr>
        <w:pStyle w:val="Odstavecseseznamem"/>
        <w:numPr>
          <w:ilvl w:val="0"/>
          <w:numId w:val="13"/>
        </w:numPr>
        <w:ind w:left="284" w:hanging="284"/>
      </w:pPr>
      <w:r>
        <w:t xml:space="preserve">Odstoupením od smlouvy není dotčeno právo oprávněné smluvní strany na zaplacení smluvní pokuty ani na náhradu škody vzniklé porušením smlouvy. </w:t>
      </w:r>
    </w:p>
    <w:p w14:paraId="1418BC1C" w14:textId="77777777" w:rsidR="00411DC7" w:rsidRDefault="00411DC7" w:rsidP="00411DC7">
      <w:pPr>
        <w:pStyle w:val="Odstavecseseznamem"/>
        <w:numPr>
          <w:ilvl w:val="0"/>
          <w:numId w:val="13"/>
        </w:numPr>
        <w:ind w:left="284" w:hanging="284"/>
      </w:pPr>
      <w:r>
        <w:t>Odstoupení od smlouvy je platné a účinné dnem jeho doručení druhé smluvní straně v souladu s touto smlouvou.</w:t>
      </w:r>
    </w:p>
    <w:p w14:paraId="13F54090" w14:textId="77777777" w:rsidR="00411DC7" w:rsidRDefault="00411DC7" w:rsidP="00411DC7">
      <w:pPr>
        <w:pStyle w:val="Odstavecseseznamem"/>
        <w:numPr>
          <w:ilvl w:val="0"/>
          <w:numId w:val="13"/>
        </w:numPr>
        <w:ind w:left="284" w:hanging="284"/>
      </w:pPr>
      <w:r>
        <w:t>Smluvní strany si ujednaly, že odstoupením od smlouvy v případech dle odst. 2 písm. a), b) a c) a odst. 3 písm. a), b) tohoto článku se smlouva zrušuje od počátku, pokud nemá částečné plnění samo o sobě pro vydavatele hospodářský význam. V ostatních případech odstoupení od smlouvy smluvní strany sjednávají, že se smlouva zrušuje s účinky do budoucna.</w:t>
      </w:r>
    </w:p>
    <w:p w14:paraId="42BA853E" w14:textId="77777777" w:rsidR="00411DC7" w:rsidRDefault="00411DC7" w:rsidP="00411DC7">
      <w:pPr>
        <w:pStyle w:val="Odstavecseseznamem"/>
        <w:numPr>
          <w:ilvl w:val="0"/>
          <w:numId w:val="13"/>
        </w:numPr>
        <w:ind w:left="284" w:hanging="284"/>
      </w:pPr>
      <w:r>
        <w:t>Ustanovení o výpovědi a odstoupení od smlouvy se přiměřeně použijí i pro případ výpovědi závazků vzniklých z realizační smlouvy či odstoupení od realizační smlouvy. Pro případ odstoupení od smlouvy, kdy se smlouva zrušuje od počátku, smluvní strany výslovně ujednaly, že v tomto případě vydavatel uhradí obstaravateli peněžitou částku ve výši odpovídající hodnotě plnění předmětu realizační smlouvy do odstoupení od smlouvy, tj. to, o co se vydavatel obohatil, a to za předpokladu, že plnění předmětu realizační smlouvy do odstoupení bylo obstaravatelem provedeno v náležité kvalitě a za podmínek této a realizační smlouvy.</w:t>
      </w:r>
    </w:p>
    <w:p w14:paraId="08966675" w14:textId="77777777" w:rsidR="00411DC7" w:rsidRDefault="00411DC7" w:rsidP="00411DC7">
      <w:pPr>
        <w:pStyle w:val="Odstavecseseznamem"/>
        <w:numPr>
          <w:ilvl w:val="0"/>
          <w:numId w:val="1"/>
        </w:numPr>
        <w:ind w:left="426" w:hanging="426"/>
        <w:jc w:val="center"/>
        <w:rPr>
          <w:b/>
        </w:rPr>
      </w:pPr>
      <w:r>
        <w:rPr>
          <w:b/>
        </w:rPr>
        <w:t>Ostatní a závěrečná ujednání</w:t>
      </w:r>
    </w:p>
    <w:p w14:paraId="0CE53C32" w14:textId="77777777" w:rsidR="00411DC7" w:rsidRDefault="00411DC7" w:rsidP="00411DC7">
      <w:pPr>
        <w:pStyle w:val="Odstavecseseznamem"/>
        <w:numPr>
          <w:ilvl w:val="0"/>
          <w:numId w:val="14"/>
        </w:numPr>
        <w:ind w:left="284" w:hanging="284"/>
      </w:pPr>
      <w:r>
        <w:t xml:space="preserve">Změnit nebo doplnit smlouvu mohou smluvní strany pouze formou písemných dodatků, které budou vzestupně číslovány, výslovně prohlášeny za dodatek této smlouvy a podepsány oprávněnými zástupci smluvních stran. </w:t>
      </w:r>
    </w:p>
    <w:p w14:paraId="51430BA7" w14:textId="77777777" w:rsidR="00411DC7" w:rsidRDefault="00411DC7" w:rsidP="00411DC7">
      <w:pPr>
        <w:pStyle w:val="Odstavecseseznamem"/>
        <w:numPr>
          <w:ilvl w:val="0"/>
          <w:numId w:val="14"/>
        </w:numPr>
        <w:ind w:left="284" w:hanging="284"/>
      </w:pPr>
      <w:r>
        <w:t xml:space="preserve">Smlouva je vyhotovena ve čtyřech stejnopisech s platností originálu podepsaných oprávněnými zástupci smluvních stran, přičemž vydavatel obdrží tři a obstaravatel jedno vyhotovení. Alespoň jedno z vyhotovení určené pro vydavatele musí být v otevřeném a strojově čitelném formátu. </w:t>
      </w:r>
    </w:p>
    <w:p w14:paraId="1422D612" w14:textId="77777777" w:rsidR="00411DC7" w:rsidRDefault="00411DC7" w:rsidP="00411DC7">
      <w:pPr>
        <w:pStyle w:val="Odstavecseseznamem"/>
        <w:numPr>
          <w:ilvl w:val="0"/>
          <w:numId w:val="14"/>
        </w:numPr>
        <w:ind w:left="284" w:hanging="284"/>
      </w:pPr>
      <w:r>
        <w:t>Obstaravatel nemůže bez souhlasu vydavatele postoupit svá práva a povinnosti plynoucí ze smlouvy třetí osobě. Práva a povinnosti vyplývající z této smlouvy přecházejí na právní nástupce smluvních stran.</w:t>
      </w:r>
    </w:p>
    <w:p w14:paraId="177B2032" w14:textId="77777777" w:rsidR="00411DC7" w:rsidRDefault="00411DC7" w:rsidP="00411DC7">
      <w:pPr>
        <w:pStyle w:val="Odstavecseseznamem"/>
        <w:numPr>
          <w:ilvl w:val="0"/>
          <w:numId w:val="14"/>
        </w:numPr>
        <w:ind w:left="284" w:hanging="284"/>
      </w:pPr>
      <w: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698EE5B8" w14:textId="77777777" w:rsidR="00411DC7" w:rsidRDefault="00411DC7" w:rsidP="00411DC7">
      <w:pPr>
        <w:pStyle w:val="Odstavecseseznamem"/>
        <w:numPr>
          <w:ilvl w:val="0"/>
          <w:numId w:val="14"/>
        </w:numPr>
        <w:ind w:left="284" w:hanging="284"/>
      </w:pPr>
      <w:r>
        <w:t>Smluvní strany prohlašují, že skutečnosti uvedené v této smlouvě nepovažují za obchodní tajemství ve smyslu § 504 občanského zákoníku, a udělují svolení k jejich užití a zveřejnění bez stanovení jakýchkoliv dalších podmínek.</w:t>
      </w:r>
    </w:p>
    <w:p w14:paraId="2A0FAF98" w14:textId="77777777" w:rsidR="00411DC7" w:rsidRDefault="00411DC7" w:rsidP="00411DC7">
      <w:pPr>
        <w:pStyle w:val="Odstavecseseznamem"/>
        <w:numPr>
          <w:ilvl w:val="0"/>
          <w:numId w:val="14"/>
        </w:numPr>
        <w:ind w:left="284" w:hanging="284"/>
      </w:pPr>
      <w:r>
        <w:t>Obstaravatel výslovně souhlasí se zpracováním svých údajů ve smyslu zákona č.106/1999 Sb., o svobodném přístupu k informacím, ve znění pozdějších předpisů. V souladu se zákonem č. 110/2019 Sb., o zpracování osobních údajů, ve znění pozdějších předpisů a Nařízení Evropského parlamentu a rady č. 679/2016 (GDPR), vydavatel bude zpracovávat tyto osobní údaje:</w:t>
      </w:r>
    </w:p>
    <w:p w14:paraId="36D01557" w14:textId="77777777" w:rsidR="00411DC7" w:rsidRDefault="00411DC7" w:rsidP="00411DC7">
      <w:pPr>
        <w:ind w:left="704" w:hanging="420"/>
      </w:pPr>
      <w:r>
        <w:t>-</w:t>
      </w:r>
      <w:r>
        <w:tab/>
        <w:t xml:space="preserve">Jméno a příjmení statutárního orgánu, osob oprávněných jednat ve věcech technických a smluvních, e-maily a telefonní čísla. </w:t>
      </w:r>
    </w:p>
    <w:p w14:paraId="67CF6A24" w14:textId="77777777" w:rsidR="00411DC7" w:rsidRDefault="00411DC7" w:rsidP="00411DC7">
      <w:pPr>
        <w:ind w:left="284"/>
      </w:pPr>
      <w:r>
        <w:lastRenderedPageBreak/>
        <w:t>Tyto osobní údaje je nezbytné zpracovat pro účely plnění z této smlouvy. Tyto osobní údaje budou Správcem (vydavatelem) zpracovávány po dobu 10 let v souladu s povinností uchovávat daňové doklady podle zákona o DPH.</w:t>
      </w:r>
    </w:p>
    <w:p w14:paraId="1B27E87B" w14:textId="77777777" w:rsidR="00411DC7" w:rsidRDefault="00411DC7" w:rsidP="00411DC7">
      <w:pPr>
        <w:pStyle w:val="Odstavecseseznamem"/>
        <w:numPr>
          <w:ilvl w:val="0"/>
          <w:numId w:val="14"/>
        </w:numPr>
        <w:ind w:left="284" w:hanging="284"/>
      </w:pPr>
      <w:r>
        <w:t>Smluvní strany se dohodly, že veškerá komunikace související s plněním předmětu této smlouvy a realizačních smluv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pokud ve smlouvě není stanoveno jinak. Pro případ doručování prostřednictvím pošty si smluvní strany sjednávají, že zásilka je druhé smluvní straně doručena desátým dnem ode dne jejího odeslání první smluvní stranou, pokud se smluvní strany nedohodnou jinak.</w:t>
      </w:r>
    </w:p>
    <w:p w14:paraId="650E84C2" w14:textId="77777777" w:rsidR="00411DC7" w:rsidRDefault="00411DC7" w:rsidP="00411DC7"/>
    <w:p w14:paraId="7907EAA7" w14:textId="1FDC7DB9" w:rsidR="00411DC7" w:rsidRDefault="00411DC7" w:rsidP="00411DC7">
      <w:r>
        <w:t xml:space="preserve">V Rýmařově dne </w:t>
      </w:r>
      <w:r w:rsidR="00966ABE">
        <w:t>3. 7. 2023</w:t>
      </w:r>
      <w:r>
        <w:t xml:space="preserve"> </w:t>
      </w:r>
      <w:r>
        <w:tab/>
      </w:r>
      <w:r>
        <w:tab/>
      </w:r>
      <w:r>
        <w:tab/>
      </w:r>
      <w:r>
        <w:tab/>
      </w:r>
      <w:r w:rsidR="00966ABE">
        <w:tab/>
      </w:r>
      <w:r w:rsidR="00966ABE">
        <w:tab/>
      </w:r>
      <w:r>
        <w:t>V</w:t>
      </w:r>
      <w:r w:rsidR="00260C90">
        <w:t xml:space="preserve"> Olomouci</w:t>
      </w:r>
      <w:r>
        <w:t xml:space="preserve"> dne </w:t>
      </w:r>
      <w:r w:rsidR="00970613">
        <w:t>5. 5</w:t>
      </w:r>
      <w:r w:rsidR="00260C90">
        <w:t>. 2023</w:t>
      </w:r>
    </w:p>
    <w:p w14:paraId="3FC20340" w14:textId="77777777" w:rsidR="00411DC7" w:rsidRDefault="00411DC7" w:rsidP="00411DC7"/>
    <w:p w14:paraId="11038E63" w14:textId="77777777" w:rsidR="00411DC7" w:rsidRDefault="00411DC7" w:rsidP="00411DC7"/>
    <w:p w14:paraId="507A212A" w14:textId="77777777" w:rsidR="00411DC7" w:rsidRDefault="00411DC7" w:rsidP="00411DC7"/>
    <w:p w14:paraId="785720BF" w14:textId="796A652C" w:rsidR="00411DC7" w:rsidRDefault="00411DC7" w:rsidP="00411DC7">
      <w:r>
        <w:t>Ing. Luděk Šimko</w:t>
      </w:r>
      <w:r w:rsidR="00260C90">
        <w:tab/>
      </w:r>
      <w:r w:rsidR="00260C90">
        <w:tab/>
      </w:r>
      <w:r w:rsidR="00260C90">
        <w:tab/>
      </w:r>
      <w:r w:rsidR="00260C90">
        <w:tab/>
      </w:r>
      <w:r w:rsidR="00260C90">
        <w:tab/>
      </w:r>
      <w:r w:rsidR="00260C90">
        <w:tab/>
      </w:r>
      <w:r w:rsidR="00260C90">
        <w:tab/>
        <w:t>Tomáš Vebr, jednatel</w:t>
      </w:r>
    </w:p>
    <w:p w14:paraId="41902D15" w14:textId="77777777" w:rsidR="00411DC7" w:rsidRDefault="00411DC7" w:rsidP="00411DC7">
      <w:r>
        <w:t>starosta</w:t>
      </w:r>
      <w:r>
        <w:tab/>
      </w:r>
      <w:r>
        <w:tab/>
      </w:r>
      <w:r>
        <w:tab/>
      </w:r>
      <w:r>
        <w:tab/>
      </w:r>
      <w:r>
        <w:tab/>
      </w:r>
      <w:r>
        <w:tab/>
      </w:r>
      <w:r>
        <w:tab/>
      </w:r>
      <w:r>
        <w:tab/>
        <w:t>obstaravatel</w:t>
      </w:r>
    </w:p>
    <w:p w14:paraId="65A94D5D" w14:textId="77777777" w:rsidR="008C11D2" w:rsidRDefault="008C11D2"/>
    <w:sectPr w:rsidR="008C11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3D341" w14:textId="77777777" w:rsidR="0002739A" w:rsidRDefault="0002739A" w:rsidP="007E579B">
      <w:pPr>
        <w:spacing w:after="0"/>
      </w:pPr>
      <w:r>
        <w:separator/>
      </w:r>
    </w:p>
  </w:endnote>
  <w:endnote w:type="continuationSeparator" w:id="0">
    <w:p w14:paraId="4AE62AB3" w14:textId="77777777" w:rsidR="0002739A" w:rsidRDefault="0002739A" w:rsidP="007E57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314581"/>
      <w:docPartObj>
        <w:docPartGallery w:val="Page Numbers (Bottom of Page)"/>
        <w:docPartUnique/>
      </w:docPartObj>
    </w:sdtPr>
    <w:sdtEndPr>
      <w:rPr>
        <w:sz w:val="16"/>
        <w:szCs w:val="16"/>
      </w:rPr>
    </w:sdtEndPr>
    <w:sdtContent>
      <w:p w14:paraId="1DCC72D1" w14:textId="6A2379C0" w:rsidR="007E579B" w:rsidRPr="007E579B" w:rsidRDefault="007E579B">
        <w:pPr>
          <w:pStyle w:val="Zpat"/>
          <w:jc w:val="right"/>
          <w:rPr>
            <w:sz w:val="16"/>
            <w:szCs w:val="16"/>
          </w:rPr>
        </w:pPr>
        <w:r w:rsidRPr="007E579B">
          <w:rPr>
            <w:sz w:val="16"/>
            <w:szCs w:val="16"/>
          </w:rPr>
          <w:fldChar w:fldCharType="begin"/>
        </w:r>
        <w:r w:rsidRPr="007E579B">
          <w:rPr>
            <w:sz w:val="16"/>
            <w:szCs w:val="16"/>
          </w:rPr>
          <w:instrText>PAGE   \* MERGEFORMAT</w:instrText>
        </w:r>
        <w:r w:rsidRPr="007E579B">
          <w:rPr>
            <w:sz w:val="16"/>
            <w:szCs w:val="16"/>
          </w:rPr>
          <w:fldChar w:fldCharType="separate"/>
        </w:r>
        <w:r w:rsidR="00CA208E">
          <w:rPr>
            <w:noProof/>
            <w:sz w:val="16"/>
            <w:szCs w:val="16"/>
          </w:rPr>
          <w:t>8</w:t>
        </w:r>
        <w:r w:rsidRPr="007E579B">
          <w:rPr>
            <w:sz w:val="16"/>
            <w:szCs w:val="16"/>
          </w:rPr>
          <w:fldChar w:fldCharType="end"/>
        </w:r>
      </w:p>
    </w:sdtContent>
  </w:sdt>
  <w:p w14:paraId="255384E5" w14:textId="2C0DEADE" w:rsidR="007E579B" w:rsidRPr="007E579B" w:rsidRDefault="007E579B">
    <w:pPr>
      <w:pStyle w:val="Zpat"/>
      <w:rPr>
        <w:i/>
        <w:iCs/>
        <w:sz w:val="16"/>
        <w:szCs w:val="16"/>
      </w:rPr>
    </w:pPr>
    <w:r w:rsidRPr="007E579B">
      <w:rPr>
        <w:i/>
        <w:iCs/>
        <w:sz w:val="16"/>
        <w:szCs w:val="16"/>
      </w:rPr>
      <w:t>Rámcová smlouva o zajištění tiskařských služeb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7227" w14:textId="77777777" w:rsidR="0002739A" w:rsidRDefault="0002739A" w:rsidP="007E579B">
      <w:pPr>
        <w:spacing w:after="0"/>
      </w:pPr>
      <w:r>
        <w:separator/>
      </w:r>
    </w:p>
  </w:footnote>
  <w:footnote w:type="continuationSeparator" w:id="0">
    <w:p w14:paraId="20FB75DB" w14:textId="77777777" w:rsidR="0002739A" w:rsidRDefault="0002739A" w:rsidP="007E57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C495" w14:textId="5CE7AA55" w:rsidR="007E579B" w:rsidRDefault="007E579B">
    <w:pPr>
      <w:pStyle w:val="Zhlav"/>
    </w:pPr>
    <w:r w:rsidRPr="00DB048A">
      <w:rPr>
        <w:noProof/>
        <w:sz w:val="24"/>
        <w:szCs w:val="24"/>
        <w:lang w:eastAsia="cs-CZ"/>
      </w:rPr>
      <w:drawing>
        <wp:anchor distT="0" distB="0" distL="114300" distR="114300" simplePos="0" relativeHeight="251659264" behindDoc="1" locked="0" layoutInCell="1" allowOverlap="1" wp14:anchorId="3E7E7005" wp14:editId="5430D97C">
          <wp:simplePos x="0" y="0"/>
          <wp:positionH relativeFrom="margin">
            <wp:posOffset>5038725</wp:posOffset>
          </wp:positionH>
          <wp:positionV relativeFrom="page">
            <wp:posOffset>287020</wp:posOffset>
          </wp:positionV>
          <wp:extent cx="1390650" cy="381835"/>
          <wp:effectExtent l="0" t="0" r="0" b="0"/>
          <wp:wrapNone/>
          <wp:docPr id="2" name="Obrázek 2" descr="C:\Users\jfk.RYMAROV1\AppData\Local\Microsoft\Windows\INetCacheContent.Word\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fk.RYMAROV1\AppData\Local\Microsoft\Windows\INetCacheContent.Word\logoty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38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E0D"/>
    <w:multiLevelType w:val="hybridMultilevel"/>
    <w:tmpl w:val="D1C05C26"/>
    <w:lvl w:ilvl="0" w:tplc="A774A394">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EBD13CA"/>
    <w:multiLevelType w:val="hybridMultilevel"/>
    <w:tmpl w:val="A13E5424"/>
    <w:lvl w:ilvl="0" w:tplc="6A246452">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77055DC"/>
    <w:multiLevelType w:val="hybridMultilevel"/>
    <w:tmpl w:val="1F243106"/>
    <w:lvl w:ilvl="0" w:tplc="A426CA94">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28C0849"/>
    <w:multiLevelType w:val="hybridMultilevel"/>
    <w:tmpl w:val="2CDA1D44"/>
    <w:lvl w:ilvl="0" w:tplc="04050001">
      <w:start w:val="1"/>
      <w:numFmt w:val="bullet"/>
      <w:lvlText w:val=""/>
      <w:lvlJc w:val="left"/>
      <w:pPr>
        <w:ind w:left="1785" w:hanging="360"/>
      </w:pPr>
      <w:rPr>
        <w:rFonts w:ascii="Symbol" w:hAnsi="Symbol" w:hint="default"/>
      </w:rPr>
    </w:lvl>
    <w:lvl w:ilvl="1" w:tplc="04050003">
      <w:start w:val="1"/>
      <w:numFmt w:val="bullet"/>
      <w:lvlText w:val="o"/>
      <w:lvlJc w:val="left"/>
      <w:pPr>
        <w:ind w:left="2505" w:hanging="360"/>
      </w:pPr>
      <w:rPr>
        <w:rFonts w:ascii="Courier New" w:hAnsi="Courier New" w:cs="Courier New" w:hint="default"/>
      </w:rPr>
    </w:lvl>
    <w:lvl w:ilvl="2" w:tplc="04050005">
      <w:start w:val="1"/>
      <w:numFmt w:val="bullet"/>
      <w:lvlText w:val=""/>
      <w:lvlJc w:val="left"/>
      <w:pPr>
        <w:ind w:left="3225" w:hanging="360"/>
      </w:pPr>
      <w:rPr>
        <w:rFonts w:ascii="Wingdings" w:hAnsi="Wingdings" w:hint="default"/>
      </w:rPr>
    </w:lvl>
    <w:lvl w:ilvl="3" w:tplc="04050001">
      <w:start w:val="1"/>
      <w:numFmt w:val="bullet"/>
      <w:lvlText w:val=""/>
      <w:lvlJc w:val="left"/>
      <w:pPr>
        <w:ind w:left="3945" w:hanging="360"/>
      </w:pPr>
      <w:rPr>
        <w:rFonts w:ascii="Symbol" w:hAnsi="Symbol" w:hint="default"/>
      </w:rPr>
    </w:lvl>
    <w:lvl w:ilvl="4" w:tplc="04050003">
      <w:start w:val="1"/>
      <w:numFmt w:val="bullet"/>
      <w:lvlText w:val="o"/>
      <w:lvlJc w:val="left"/>
      <w:pPr>
        <w:ind w:left="4665" w:hanging="360"/>
      </w:pPr>
      <w:rPr>
        <w:rFonts w:ascii="Courier New" w:hAnsi="Courier New" w:cs="Courier New" w:hint="default"/>
      </w:rPr>
    </w:lvl>
    <w:lvl w:ilvl="5" w:tplc="04050005">
      <w:start w:val="1"/>
      <w:numFmt w:val="bullet"/>
      <w:lvlText w:val=""/>
      <w:lvlJc w:val="left"/>
      <w:pPr>
        <w:ind w:left="5385" w:hanging="360"/>
      </w:pPr>
      <w:rPr>
        <w:rFonts w:ascii="Wingdings" w:hAnsi="Wingdings" w:hint="default"/>
      </w:rPr>
    </w:lvl>
    <w:lvl w:ilvl="6" w:tplc="04050001">
      <w:start w:val="1"/>
      <w:numFmt w:val="bullet"/>
      <w:lvlText w:val=""/>
      <w:lvlJc w:val="left"/>
      <w:pPr>
        <w:ind w:left="6105" w:hanging="360"/>
      </w:pPr>
      <w:rPr>
        <w:rFonts w:ascii="Symbol" w:hAnsi="Symbol" w:hint="default"/>
      </w:rPr>
    </w:lvl>
    <w:lvl w:ilvl="7" w:tplc="04050003">
      <w:start w:val="1"/>
      <w:numFmt w:val="bullet"/>
      <w:lvlText w:val="o"/>
      <w:lvlJc w:val="left"/>
      <w:pPr>
        <w:ind w:left="6825" w:hanging="360"/>
      </w:pPr>
      <w:rPr>
        <w:rFonts w:ascii="Courier New" w:hAnsi="Courier New" w:cs="Courier New" w:hint="default"/>
      </w:rPr>
    </w:lvl>
    <w:lvl w:ilvl="8" w:tplc="04050005">
      <w:start w:val="1"/>
      <w:numFmt w:val="bullet"/>
      <w:lvlText w:val=""/>
      <w:lvlJc w:val="left"/>
      <w:pPr>
        <w:ind w:left="7545" w:hanging="360"/>
      </w:pPr>
      <w:rPr>
        <w:rFonts w:ascii="Wingdings" w:hAnsi="Wingdings" w:hint="default"/>
      </w:rPr>
    </w:lvl>
  </w:abstractNum>
  <w:abstractNum w:abstractNumId="4" w15:restartNumberingAfterBreak="0">
    <w:nsid w:val="249A7131"/>
    <w:multiLevelType w:val="hybridMultilevel"/>
    <w:tmpl w:val="71B0E0A4"/>
    <w:lvl w:ilvl="0" w:tplc="4E601F7C">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A9D7C3C"/>
    <w:multiLevelType w:val="hybridMultilevel"/>
    <w:tmpl w:val="D72668C2"/>
    <w:lvl w:ilvl="0" w:tplc="7714DBC2">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E57777D"/>
    <w:multiLevelType w:val="hybridMultilevel"/>
    <w:tmpl w:val="9C422AB8"/>
    <w:lvl w:ilvl="0" w:tplc="7F8A5C5A">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1751671"/>
    <w:multiLevelType w:val="hybridMultilevel"/>
    <w:tmpl w:val="5130F8C6"/>
    <w:lvl w:ilvl="0" w:tplc="5114D0EC">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C2E5EA4"/>
    <w:multiLevelType w:val="hybridMultilevel"/>
    <w:tmpl w:val="E13A13CA"/>
    <w:lvl w:ilvl="0" w:tplc="E1F88046">
      <w:start w:val="1"/>
      <w:numFmt w:val="decimal"/>
      <w:lvlText w:val="%1."/>
      <w:lvlJc w:val="left"/>
      <w:pPr>
        <w:ind w:left="36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3E1428B"/>
    <w:multiLevelType w:val="hybridMultilevel"/>
    <w:tmpl w:val="251CF6D8"/>
    <w:lvl w:ilvl="0" w:tplc="6540A990">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7C102ED"/>
    <w:multiLevelType w:val="hybridMultilevel"/>
    <w:tmpl w:val="0922B8A0"/>
    <w:lvl w:ilvl="0" w:tplc="69042668">
      <w:start w:val="1"/>
      <w:numFmt w:val="decimal"/>
      <w:lvlText w:val="%1."/>
      <w:lvlJc w:val="left"/>
      <w:pPr>
        <w:ind w:left="720" w:hanging="360"/>
      </w:pPr>
      <w:rPr>
        <w:rFonts w:asciiTheme="minorHAnsi" w:eastAsiaTheme="minorHAnsi" w:hAnsiTheme="minorHAnsi" w:cstheme="minorBidi"/>
      </w:rPr>
    </w:lvl>
    <w:lvl w:ilvl="1" w:tplc="29C01618">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A110E73"/>
    <w:multiLevelType w:val="hybridMultilevel"/>
    <w:tmpl w:val="355EE01C"/>
    <w:lvl w:ilvl="0" w:tplc="13A8821A">
      <w:start w:val="1"/>
      <w:numFmt w:val="upperRoman"/>
      <w:lvlText w:val="%1."/>
      <w:lvlJc w:val="left"/>
      <w:pPr>
        <w:ind w:left="1080" w:hanging="720"/>
      </w:pPr>
    </w:lvl>
    <w:lvl w:ilvl="1" w:tplc="19CC0362">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0C65830"/>
    <w:multiLevelType w:val="hybridMultilevel"/>
    <w:tmpl w:val="F83825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0717187"/>
    <w:multiLevelType w:val="hybridMultilevel"/>
    <w:tmpl w:val="3D2AFA12"/>
    <w:lvl w:ilvl="0" w:tplc="2D0CB2E0">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9360610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31696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2573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71247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4639891">
    <w:abstractNumId w:val="3"/>
  </w:num>
  <w:num w:numId="6" w16cid:durableId="2408708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9825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62058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43402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1511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3862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06990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9389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35616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C7"/>
    <w:rsid w:val="0002739A"/>
    <w:rsid w:val="00033005"/>
    <w:rsid w:val="00260C90"/>
    <w:rsid w:val="002F744C"/>
    <w:rsid w:val="00313CDA"/>
    <w:rsid w:val="00411DC7"/>
    <w:rsid w:val="004B3359"/>
    <w:rsid w:val="0059463E"/>
    <w:rsid w:val="005C6599"/>
    <w:rsid w:val="007412F5"/>
    <w:rsid w:val="007E579B"/>
    <w:rsid w:val="00830B1E"/>
    <w:rsid w:val="008C11D2"/>
    <w:rsid w:val="00966ABE"/>
    <w:rsid w:val="00970613"/>
    <w:rsid w:val="00B8354E"/>
    <w:rsid w:val="00CA2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43BB"/>
  <w15:docId w15:val="{842266E1-D9A5-4DDD-A56F-358408AC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1DC7"/>
    <w:pPr>
      <w:spacing w:after="120" w:line="240" w:lineRule="auto"/>
      <w:jc w:val="both"/>
    </w:pPr>
  </w:style>
  <w:style w:type="paragraph" w:styleId="Nadpis1">
    <w:name w:val="heading 1"/>
    <w:basedOn w:val="Normln"/>
    <w:next w:val="Normln"/>
    <w:link w:val="Nadpis1Char"/>
    <w:uiPriority w:val="9"/>
    <w:qFormat/>
    <w:rsid w:val="00411DC7"/>
    <w:pPr>
      <w:keepNext/>
      <w:keepLines/>
      <w:spacing w:before="240" w:after="240"/>
      <w:outlineLvl w:val="0"/>
    </w:pPr>
    <w:rPr>
      <w:rFonts w:eastAsiaTheme="majorEastAsia" w:cstheme="majorBidi"/>
      <w:b/>
      <w:color w:val="000000" w:themeColor="text1"/>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11DC7"/>
    <w:rPr>
      <w:rFonts w:eastAsiaTheme="majorEastAsia" w:cstheme="majorBidi"/>
      <w:b/>
      <w:color w:val="000000" w:themeColor="text1"/>
      <w:sz w:val="28"/>
      <w:szCs w:val="32"/>
    </w:rPr>
  </w:style>
  <w:style w:type="paragraph" w:styleId="Odstavecseseznamem">
    <w:name w:val="List Paragraph"/>
    <w:basedOn w:val="Normln"/>
    <w:uiPriority w:val="34"/>
    <w:qFormat/>
    <w:rsid w:val="00411DC7"/>
    <w:pPr>
      <w:ind w:left="720"/>
    </w:pPr>
  </w:style>
  <w:style w:type="paragraph" w:styleId="Zhlav">
    <w:name w:val="header"/>
    <w:basedOn w:val="Normln"/>
    <w:link w:val="ZhlavChar"/>
    <w:uiPriority w:val="99"/>
    <w:unhideWhenUsed/>
    <w:rsid w:val="007E579B"/>
    <w:pPr>
      <w:tabs>
        <w:tab w:val="center" w:pos="4536"/>
        <w:tab w:val="right" w:pos="9072"/>
      </w:tabs>
      <w:spacing w:after="0"/>
    </w:pPr>
  </w:style>
  <w:style w:type="character" w:customStyle="1" w:styleId="ZhlavChar">
    <w:name w:val="Záhlaví Char"/>
    <w:basedOn w:val="Standardnpsmoodstavce"/>
    <w:link w:val="Zhlav"/>
    <w:uiPriority w:val="99"/>
    <w:rsid w:val="007E579B"/>
  </w:style>
  <w:style w:type="paragraph" w:styleId="Zpat">
    <w:name w:val="footer"/>
    <w:basedOn w:val="Normln"/>
    <w:link w:val="ZpatChar"/>
    <w:uiPriority w:val="99"/>
    <w:unhideWhenUsed/>
    <w:rsid w:val="007E579B"/>
    <w:pPr>
      <w:tabs>
        <w:tab w:val="center" w:pos="4536"/>
        <w:tab w:val="right" w:pos="9072"/>
      </w:tabs>
      <w:spacing w:after="0"/>
    </w:pPr>
  </w:style>
  <w:style w:type="character" w:customStyle="1" w:styleId="ZpatChar">
    <w:name w:val="Zápatí Char"/>
    <w:basedOn w:val="Standardnpsmoodstavce"/>
    <w:link w:val="Zpat"/>
    <w:uiPriority w:val="99"/>
    <w:rsid w:val="007E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4EEF-A9E7-4F0C-824F-068A68D6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3102</Words>
  <Characters>18307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Kopáčková</dc:creator>
  <cp:lastModifiedBy>Světlana Laštůvková</cp:lastModifiedBy>
  <cp:revision>3</cp:revision>
  <cp:lastPrinted>2023-05-05T06:43:00Z</cp:lastPrinted>
  <dcterms:created xsi:type="dcterms:W3CDTF">2023-07-03T06:36:00Z</dcterms:created>
  <dcterms:modified xsi:type="dcterms:W3CDTF">2023-07-03T07:21:00Z</dcterms:modified>
</cp:coreProperties>
</file>