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8" w:rsidRDefault="001B5DA8">
      <w:pPr>
        <w:pStyle w:val="Zkladntext"/>
        <w:rPr>
          <w:rFonts w:ascii="Times New Roman"/>
        </w:rPr>
      </w:pPr>
      <w:bookmarkStart w:id="0" w:name="_GoBack"/>
      <w:bookmarkEnd w:id="0"/>
    </w:p>
    <w:p w:rsidR="001B5DA8" w:rsidRDefault="001807EF">
      <w:pPr>
        <w:pStyle w:val="Nzev"/>
        <w:spacing w:line="216" w:lineRule="auto"/>
      </w:pPr>
      <w:r>
        <w:t>Stanovení finančních oprav, které se použijí pro výdaje</w:t>
      </w:r>
      <w:r>
        <w:rPr>
          <w:spacing w:val="1"/>
        </w:rPr>
        <w:t xml:space="preserve"> </w:t>
      </w:r>
      <w:r>
        <w:t>spolufinancované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prostředků</w:t>
      </w:r>
      <w:r>
        <w:rPr>
          <w:spacing w:val="-6"/>
        </w:rPr>
        <w:t xml:space="preserve"> </w:t>
      </w:r>
      <w:r>
        <w:t>SFŽP</w:t>
      </w:r>
      <w:r>
        <w:rPr>
          <w:spacing w:val="-7"/>
        </w:rPr>
        <w:t xml:space="preserve"> </w:t>
      </w:r>
      <w:r>
        <w:t>ČR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porušení</w:t>
      </w:r>
      <w:r>
        <w:rPr>
          <w:spacing w:val="-85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zadávání</w:t>
      </w:r>
      <w:r>
        <w:rPr>
          <w:spacing w:val="-2"/>
        </w:rPr>
        <w:t xml:space="preserve"> </w:t>
      </w:r>
      <w:r>
        <w:t>zakázek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1B5DA8" w:rsidRDefault="001807EF">
      <w:pPr>
        <w:tabs>
          <w:tab w:val="right" w:pos="5700"/>
        </w:tabs>
        <w:spacing w:before="851"/>
        <w:ind w:left="180"/>
        <w:rPr>
          <w:sz w:val="18"/>
        </w:rPr>
      </w:pPr>
      <w:r>
        <w:rPr>
          <w:sz w:val="18"/>
        </w:rPr>
        <w:t>Evidenční</w:t>
      </w:r>
      <w:r>
        <w:rPr>
          <w:spacing w:val="-2"/>
          <w:sz w:val="18"/>
        </w:rPr>
        <w:t xml:space="preserve"> </w:t>
      </w:r>
      <w:r>
        <w:rPr>
          <w:sz w:val="18"/>
        </w:rPr>
        <w:t>číslo: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2017010013</w:t>
      </w:r>
    </w:p>
    <w:p w:rsidR="001B5DA8" w:rsidRDefault="001807EF">
      <w:pPr>
        <w:tabs>
          <w:tab w:val="left" w:pos="4729"/>
        </w:tabs>
        <w:spacing w:before="37"/>
        <w:ind w:left="180"/>
        <w:rPr>
          <w:sz w:val="18"/>
        </w:rPr>
      </w:pPr>
      <w:r>
        <w:rPr>
          <w:sz w:val="18"/>
        </w:rPr>
        <w:t>Příjemce</w:t>
      </w:r>
      <w:r>
        <w:rPr>
          <w:spacing w:val="-6"/>
          <w:sz w:val="18"/>
        </w:rPr>
        <w:t xml:space="preserve"> </w:t>
      </w:r>
      <w:r>
        <w:rPr>
          <w:sz w:val="18"/>
        </w:rPr>
        <w:t>podpory:</w:t>
      </w:r>
      <w:r>
        <w:rPr>
          <w:sz w:val="18"/>
        </w:rPr>
        <w:tab/>
        <w:t>Statutární</w:t>
      </w:r>
      <w:r>
        <w:rPr>
          <w:spacing w:val="-6"/>
          <w:sz w:val="18"/>
        </w:rPr>
        <w:t xml:space="preserve"> </w:t>
      </w:r>
      <w:r>
        <w:rPr>
          <w:sz w:val="18"/>
        </w:rPr>
        <w:t>město</w:t>
      </w:r>
      <w:r>
        <w:rPr>
          <w:spacing w:val="-7"/>
          <w:sz w:val="18"/>
        </w:rPr>
        <w:t xml:space="preserve"> </w:t>
      </w:r>
      <w:r>
        <w:rPr>
          <w:sz w:val="18"/>
        </w:rPr>
        <w:t>Kladno</w:t>
      </w:r>
    </w:p>
    <w:p w:rsidR="001B5DA8" w:rsidRDefault="001B5DA8">
      <w:pPr>
        <w:pStyle w:val="Zkladntext"/>
        <w:rPr>
          <w:sz w:val="24"/>
        </w:rPr>
      </w:pPr>
    </w:p>
    <w:p w:rsidR="001B5DA8" w:rsidRDefault="001B5DA8">
      <w:pPr>
        <w:pStyle w:val="Zkladntext"/>
        <w:spacing w:before="2"/>
        <w:rPr>
          <w:sz w:val="30"/>
        </w:rPr>
      </w:pP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before="0" w:line="216" w:lineRule="auto"/>
        <w:ind w:right="15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1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pochybení,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spočívá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pacing w:val="10"/>
          <w:sz w:val="20"/>
        </w:rPr>
        <w:t>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stanovených v čl. IV. odst. 1 písm. s) Smlouvy při zadávání zakázek/veřejných zakázek 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7"/>
          <w:sz w:val="20"/>
        </w:rPr>
        <w:t xml:space="preserve"> </w:t>
      </w:r>
      <w:r>
        <w:rPr>
          <w:sz w:val="20"/>
        </w:rPr>
        <w:t>jen</w:t>
      </w:r>
      <w:r>
        <w:rPr>
          <w:spacing w:val="17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18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8"/>
          <w:sz w:val="20"/>
        </w:rPr>
        <w:t xml:space="preserve"> </w:t>
      </w:r>
      <w:r>
        <w:rPr>
          <w:sz w:val="20"/>
        </w:rPr>
        <w:t>postupu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zákona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134/2016</w:t>
      </w:r>
      <w:r>
        <w:rPr>
          <w:spacing w:val="17"/>
          <w:sz w:val="20"/>
        </w:rPr>
        <w:t xml:space="preserve"> </w:t>
      </w:r>
      <w:r>
        <w:rPr>
          <w:sz w:val="20"/>
        </w:rPr>
        <w:t>Sb.,</w:t>
      </w:r>
      <w:r>
        <w:rPr>
          <w:spacing w:val="-52"/>
          <w:sz w:val="20"/>
        </w:rPr>
        <w:t xml:space="preserve"> </w:t>
      </w:r>
      <w:r>
        <w:rPr>
          <w:sz w:val="20"/>
        </w:rPr>
        <w:t>o zadávání veřejných zakázek, ve znění účinném v dob</w:t>
      </w:r>
      <w:r>
        <w:rPr>
          <w:sz w:val="20"/>
        </w:rPr>
        <w:t>ě zahájení zadávacího řízení, 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137/2006 Sb., o veřejných zakázkách,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 v OPŽP 2014</w:t>
      </w:r>
      <w:r>
        <w:rPr>
          <w:sz w:val="20"/>
        </w:rPr>
        <w:t xml:space="preserve"> – 2020, ve znění účinném v době zahájení výběrového /</w:t>
      </w:r>
      <w:r>
        <w:rPr>
          <w:spacing w:val="-52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1"/>
          <w:sz w:val="20"/>
        </w:rPr>
        <w:t xml:space="preserve"> </w:t>
      </w:r>
      <w:r>
        <w:rPr>
          <w:sz w:val="20"/>
        </w:rPr>
        <w:t>řízení</w:t>
      </w:r>
      <w:r>
        <w:rPr>
          <w:spacing w:val="12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  <w:r>
        <w:rPr>
          <w:spacing w:val="12"/>
          <w:sz w:val="20"/>
        </w:rPr>
        <w:t xml:space="preserve"> </w:t>
      </w:r>
      <w:r>
        <w:rPr>
          <w:sz w:val="20"/>
        </w:rPr>
        <w:t>„Pokyny</w:t>
      </w:r>
      <w:r>
        <w:rPr>
          <w:spacing w:val="12"/>
          <w:sz w:val="20"/>
        </w:rPr>
        <w:t xml:space="preserve"> </w:t>
      </w:r>
      <w:r>
        <w:rPr>
          <w:sz w:val="20"/>
        </w:rPr>
        <w:t>OPŽP“),</w:t>
      </w:r>
      <w:r>
        <w:rPr>
          <w:spacing w:val="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3"/>
          <w:sz w:val="20"/>
        </w:rPr>
        <w:t xml:space="preserve"> </w:t>
      </w:r>
      <w:r>
        <w:rPr>
          <w:sz w:val="20"/>
        </w:rPr>
        <w:t>2014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2020,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znění</w:t>
      </w:r>
      <w:r>
        <w:rPr>
          <w:spacing w:val="3"/>
          <w:sz w:val="20"/>
        </w:rPr>
        <w:t xml:space="preserve"> </w:t>
      </w:r>
      <w:r>
        <w:rPr>
          <w:sz w:val="20"/>
        </w:rPr>
        <w:t>účinném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3"/>
          <w:sz w:val="20"/>
        </w:rPr>
        <w:t xml:space="preserve"> </w:t>
      </w:r>
      <w:r>
        <w:rPr>
          <w:sz w:val="20"/>
        </w:rPr>
        <w:t>zahájení</w:t>
      </w:r>
      <w:r>
        <w:rPr>
          <w:spacing w:val="3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3"/>
          <w:sz w:val="20"/>
        </w:rPr>
        <w:t xml:space="preserve"> </w:t>
      </w:r>
      <w:r>
        <w:rPr>
          <w:sz w:val="20"/>
        </w:rPr>
        <w:t>řízení</w:t>
      </w:r>
      <w:r>
        <w:rPr>
          <w:spacing w:val="3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</w:p>
    <w:p w:rsidR="001B5DA8" w:rsidRDefault="001807EF">
      <w:pPr>
        <w:pStyle w:val="Zkladntext"/>
        <w:spacing w:line="251" w:lineRule="exact"/>
        <w:ind w:left="635"/>
      </w:pPr>
      <w:r>
        <w:t>„Zadávání</w:t>
      </w:r>
      <w:r>
        <w:rPr>
          <w:spacing w:val="3"/>
        </w:rPr>
        <w:t xml:space="preserve"> </w:t>
      </w:r>
      <w:r>
        <w:t>VZ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OPŽP“).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before="116" w:line="216" w:lineRule="auto"/>
        <w:ind w:right="177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něj</w:t>
      </w:r>
      <w:r>
        <w:rPr>
          <w:spacing w:val="5"/>
          <w:sz w:val="20"/>
        </w:rPr>
        <w:t xml:space="preserve"> </w:t>
      </w:r>
      <w:r>
        <w:rPr>
          <w:sz w:val="20"/>
        </w:rPr>
        <w:t>žádná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5"/>
          <w:sz w:val="20"/>
        </w:rPr>
        <w:t xml:space="preserve"> </w:t>
      </w:r>
      <w:r>
        <w:rPr>
          <w:sz w:val="20"/>
        </w:rPr>
        <w:t>oprava.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line="216" w:lineRule="auto"/>
        <w:jc w:val="both"/>
        <w:rPr>
          <w:sz w:val="20"/>
        </w:rPr>
      </w:pPr>
      <w:r>
        <w:rPr>
          <w:sz w:val="20"/>
        </w:rPr>
        <w:t>Finanční oprava bude vždy stanovena paušální sazbou dle níže uvedených typů porušení a sazeb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oprav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line="216" w:lineRule="auto"/>
        <w:jc w:val="both"/>
        <w:rPr>
          <w:sz w:val="20"/>
        </w:rPr>
      </w:pPr>
      <w:r>
        <w:rPr>
          <w:sz w:val="20"/>
        </w:rPr>
        <w:t>Výše finanční</w:t>
      </w:r>
      <w:r>
        <w:rPr>
          <w:sz w:val="20"/>
        </w:rPr>
        <w:t xml:space="preserve"> opravy se vypočte z částky, která byla nebo má být poskytnuta z prostředků 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7"/>
          <w:sz w:val="20"/>
        </w:rPr>
        <w:t xml:space="preserve"> </w:t>
      </w:r>
      <w:r>
        <w:rPr>
          <w:sz w:val="20"/>
        </w:rPr>
        <w:t>(tj.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částky</w:t>
      </w:r>
      <w:r>
        <w:rPr>
          <w:spacing w:val="7"/>
          <w:sz w:val="20"/>
        </w:rPr>
        <w:t xml:space="preserve"> </w:t>
      </w:r>
      <w:r>
        <w:rPr>
          <w:sz w:val="20"/>
        </w:rPr>
        <w:t>dotace)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veřejnou</w:t>
      </w:r>
      <w:r>
        <w:rPr>
          <w:spacing w:val="8"/>
          <w:sz w:val="20"/>
        </w:rPr>
        <w:t xml:space="preserve"> </w:t>
      </w:r>
      <w:r>
        <w:rPr>
          <w:sz w:val="20"/>
        </w:rPr>
        <w:t>zakázkou,</w:t>
      </w:r>
      <w:r>
        <w:rPr>
          <w:spacing w:val="8"/>
          <w:sz w:val="20"/>
        </w:rPr>
        <w:t xml:space="preserve"> </w:t>
      </w:r>
      <w:r>
        <w:rPr>
          <w:sz w:val="20"/>
        </w:rPr>
        <w:t>u</w:t>
      </w:r>
      <w:r>
        <w:rPr>
          <w:spacing w:val="7"/>
          <w:sz w:val="20"/>
        </w:rPr>
        <w:t xml:space="preserve"> </w:t>
      </w:r>
      <w:r>
        <w:rPr>
          <w:sz w:val="20"/>
        </w:rPr>
        <w:t>které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7"/>
          <w:sz w:val="20"/>
        </w:rPr>
        <w:t xml:space="preserve"> </w:t>
      </w:r>
      <w:r>
        <w:rPr>
          <w:sz w:val="20"/>
        </w:rPr>
        <w:t>vyskytlo.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line="216" w:lineRule="auto"/>
        <w:ind w:right="167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oprav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3"/>
          <w:sz w:val="20"/>
        </w:rPr>
        <w:t xml:space="preserve"> </w:t>
      </w:r>
      <w:r>
        <w:rPr>
          <w:sz w:val="20"/>
        </w:rPr>
        <w:t>za</w:t>
      </w:r>
      <w:r>
        <w:rPr>
          <w:spacing w:val="74"/>
          <w:sz w:val="20"/>
        </w:rPr>
        <w:t xml:space="preserve"> </w:t>
      </w:r>
      <w:r>
        <w:rPr>
          <w:sz w:val="20"/>
        </w:rPr>
        <w:t>jednotlivá</w:t>
      </w:r>
      <w:r>
        <w:rPr>
          <w:spacing w:val="74"/>
          <w:sz w:val="20"/>
        </w:rPr>
        <w:t xml:space="preserve"> </w:t>
      </w:r>
      <w:r>
        <w:rPr>
          <w:sz w:val="20"/>
        </w:rPr>
        <w:t>porušení</w:t>
      </w:r>
      <w:r>
        <w:rPr>
          <w:spacing w:val="74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4"/>
          <w:sz w:val="20"/>
        </w:rPr>
        <w:t xml:space="preserve"> </w:t>
      </w:r>
      <w:r>
        <w:rPr>
          <w:sz w:val="20"/>
        </w:rPr>
        <w:t>výsledná</w:t>
      </w:r>
      <w:r>
        <w:rPr>
          <w:spacing w:val="74"/>
          <w:sz w:val="20"/>
        </w:rPr>
        <w:t xml:space="preserve"> </w:t>
      </w:r>
      <w:r>
        <w:rPr>
          <w:sz w:val="20"/>
        </w:rPr>
        <w:t>finanční</w:t>
      </w:r>
      <w:r>
        <w:rPr>
          <w:spacing w:val="74"/>
          <w:sz w:val="20"/>
        </w:rPr>
        <w:t xml:space="preserve"> </w:t>
      </w:r>
      <w:r>
        <w:rPr>
          <w:sz w:val="20"/>
        </w:rPr>
        <w:t>oprava</w:t>
      </w:r>
      <w:r>
        <w:rPr>
          <w:spacing w:val="74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stanovena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7"/>
          <w:sz w:val="20"/>
        </w:rPr>
        <w:t xml:space="preserve"> </w:t>
      </w:r>
      <w:r>
        <w:rPr>
          <w:sz w:val="20"/>
        </w:rPr>
        <w:t>ohledem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porušení.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before="122" w:line="216" w:lineRule="auto"/>
        <w:ind w:right="165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je</w:t>
      </w:r>
      <w:r>
        <w:rPr>
          <w:spacing w:val="34"/>
          <w:sz w:val="20"/>
        </w:rPr>
        <w:t xml:space="preserve"> </w:t>
      </w:r>
      <w:r>
        <w:rPr>
          <w:sz w:val="20"/>
        </w:rPr>
        <w:t>posuzována</w:t>
      </w:r>
      <w:r>
        <w:rPr>
          <w:spacing w:val="34"/>
          <w:sz w:val="20"/>
        </w:rPr>
        <w:t xml:space="preserve"> </w:t>
      </w:r>
      <w:r>
        <w:rPr>
          <w:sz w:val="20"/>
        </w:rPr>
        <w:t>zejména</w:t>
      </w:r>
      <w:r>
        <w:rPr>
          <w:spacing w:val="34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hlediska</w:t>
      </w:r>
      <w:r>
        <w:rPr>
          <w:spacing w:val="34"/>
          <w:sz w:val="20"/>
        </w:rPr>
        <w:t xml:space="preserve"> </w:t>
      </w:r>
      <w:r>
        <w:rPr>
          <w:sz w:val="20"/>
        </w:rPr>
        <w:t>jeho</w:t>
      </w:r>
      <w:r>
        <w:rPr>
          <w:spacing w:val="3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možného</w:t>
      </w:r>
      <w:r>
        <w:rPr>
          <w:spacing w:val="3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 výsledek výběrového / 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veřejných   prostředků.   Porušení   je   nutno   pov</w:t>
      </w:r>
      <w:r>
        <w:rPr>
          <w:sz w:val="20"/>
        </w:rPr>
        <w:t>ažovat   za   závažné   především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34"/>
          <w:sz w:val="20"/>
        </w:rPr>
        <w:t xml:space="preserve"> </w:t>
      </w:r>
      <w:r>
        <w:rPr>
          <w:sz w:val="20"/>
        </w:rPr>
        <w:t>kdy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jeho</w:t>
      </w:r>
      <w:r>
        <w:rPr>
          <w:spacing w:val="89"/>
          <w:sz w:val="20"/>
        </w:rPr>
        <w:t xml:space="preserve"> </w:t>
      </w:r>
      <w:r>
        <w:rPr>
          <w:sz w:val="20"/>
        </w:rPr>
        <w:t>důsledku</w:t>
      </w:r>
      <w:r>
        <w:rPr>
          <w:spacing w:val="88"/>
          <w:sz w:val="20"/>
        </w:rPr>
        <w:t xml:space="preserve"> </w:t>
      </w:r>
      <w:r>
        <w:rPr>
          <w:sz w:val="20"/>
        </w:rPr>
        <w:t>došlo</w:t>
      </w:r>
      <w:r>
        <w:rPr>
          <w:spacing w:val="88"/>
          <w:sz w:val="20"/>
        </w:rPr>
        <w:t xml:space="preserve"> </w:t>
      </w:r>
      <w:r>
        <w:rPr>
          <w:sz w:val="20"/>
        </w:rPr>
        <w:t>k</w:t>
      </w:r>
      <w:r>
        <w:rPr>
          <w:spacing w:val="53"/>
          <w:sz w:val="20"/>
        </w:rPr>
        <w:t xml:space="preserve"> </w:t>
      </w:r>
      <w:r>
        <w:rPr>
          <w:sz w:val="20"/>
        </w:rPr>
        <w:t>odrazení</w:t>
      </w:r>
      <w:r>
        <w:rPr>
          <w:spacing w:val="88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8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8"/>
          <w:sz w:val="20"/>
        </w:rPr>
        <w:t xml:space="preserve"> </w:t>
      </w:r>
      <w:r>
        <w:rPr>
          <w:sz w:val="20"/>
        </w:rPr>
        <w:t>od</w:t>
      </w:r>
      <w:r>
        <w:rPr>
          <w:spacing w:val="88"/>
          <w:sz w:val="20"/>
        </w:rPr>
        <w:t xml:space="preserve"> </w:t>
      </w:r>
      <w:r>
        <w:rPr>
          <w:sz w:val="20"/>
        </w:rPr>
        <w:t>účasti</w:t>
      </w:r>
      <w:r>
        <w:rPr>
          <w:spacing w:val="1"/>
          <w:sz w:val="20"/>
        </w:rPr>
        <w:t xml:space="preserve"> </w:t>
      </w:r>
      <w:r>
        <w:rPr>
          <w:sz w:val="20"/>
        </w:rPr>
        <w:t>ve výběrovém / zadávacím řízení nebo k zadání veřejné zakázky jinému dodavateli, než 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4"/>
          <w:sz w:val="20"/>
        </w:rPr>
        <w:t xml:space="preserve"> </w:t>
      </w:r>
      <w:r>
        <w:rPr>
          <w:sz w:val="20"/>
        </w:rPr>
        <w:t>být</w:t>
      </w:r>
      <w:r>
        <w:rPr>
          <w:spacing w:val="4"/>
          <w:sz w:val="20"/>
        </w:rPr>
        <w:t xml:space="preserve"> </w:t>
      </w:r>
      <w:r>
        <w:rPr>
          <w:sz w:val="20"/>
        </w:rPr>
        <w:t>zadána.</w:t>
      </w:r>
    </w:p>
    <w:p w:rsidR="001B5DA8" w:rsidRDefault="001807EF">
      <w:pPr>
        <w:pStyle w:val="Odstavecseseznamem"/>
        <w:numPr>
          <w:ilvl w:val="0"/>
          <w:numId w:val="1"/>
        </w:numPr>
        <w:tabs>
          <w:tab w:val="left" w:pos="635"/>
        </w:tabs>
        <w:spacing w:before="124" w:line="216" w:lineRule="auto"/>
        <w:ind w:right="172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tabulce</w:t>
      </w:r>
      <w:r>
        <w:rPr>
          <w:spacing w:val="32"/>
          <w:sz w:val="20"/>
        </w:rPr>
        <w:t xml:space="preserve"> </w:t>
      </w:r>
      <w:r>
        <w:rPr>
          <w:sz w:val="20"/>
        </w:rPr>
        <w:t>níže,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stanovena</w:t>
      </w:r>
      <w:r>
        <w:rPr>
          <w:spacing w:val="32"/>
          <w:sz w:val="20"/>
        </w:rPr>
        <w:t xml:space="preserve"> </w:t>
      </w:r>
      <w:r>
        <w:rPr>
          <w:sz w:val="20"/>
        </w:rPr>
        <w:t>finanční</w:t>
      </w:r>
      <w:r>
        <w:rPr>
          <w:spacing w:val="33"/>
          <w:sz w:val="20"/>
        </w:rPr>
        <w:t xml:space="preserve"> </w:t>
      </w:r>
      <w:r>
        <w:rPr>
          <w:sz w:val="20"/>
        </w:rPr>
        <w:t>oprava</w:t>
      </w:r>
      <w:r>
        <w:rPr>
          <w:spacing w:val="32"/>
          <w:sz w:val="20"/>
        </w:rPr>
        <w:t xml:space="preserve"> </w:t>
      </w:r>
      <w:r>
        <w:rPr>
          <w:sz w:val="20"/>
        </w:rPr>
        <w:t>analogicky</w:t>
      </w:r>
      <w:r>
        <w:rPr>
          <w:spacing w:val="32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zásady</w:t>
      </w:r>
      <w:r>
        <w:rPr>
          <w:spacing w:val="32"/>
          <w:sz w:val="20"/>
        </w:rPr>
        <w:t xml:space="preserve"> </w:t>
      </w:r>
      <w:r>
        <w:rPr>
          <w:sz w:val="20"/>
        </w:rPr>
        <w:t>přiměřenosti.</w:t>
      </w:r>
    </w:p>
    <w:p w:rsidR="001B5DA8" w:rsidRDefault="001B5DA8">
      <w:pPr>
        <w:pStyle w:val="Zkladntext"/>
        <w:spacing w:before="4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326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porušení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porušení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finanční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opravy</w:t>
            </w:r>
          </w:p>
        </w:tc>
      </w:tr>
    </w:tbl>
    <w:p w:rsidR="001B5DA8" w:rsidRDefault="001B5DA8">
      <w:pPr>
        <w:rPr>
          <w:sz w:val="18"/>
        </w:rPr>
        <w:sectPr w:rsidR="001B5DA8">
          <w:headerReference w:type="default" r:id="rId7"/>
          <w:footerReference w:type="default" r:id="rId8"/>
          <w:type w:val="continuous"/>
          <w:pgSz w:w="11900" w:h="16840"/>
          <w:pgMar w:top="1960" w:right="1280" w:bottom="2040" w:left="1280" w:header="817" w:footer="1849" w:gutter="0"/>
          <w:pgNumType w:start="1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3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 zahájení řízení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B5DA8" w:rsidRDefault="001807EF">
            <w:pPr>
              <w:pStyle w:val="TableParagraph"/>
              <w:spacing w:before="0" w:line="233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9" w:line="216" w:lineRule="auto"/>
              <w:ind w:right="21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 řízení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73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5DA8" w:rsidRDefault="001807EF">
            <w:pPr>
              <w:pStyle w:val="TableParagraph"/>
              <w:spacing w:before="2" w:line="216" w:lineRule="auto"/>
              <w:ind w:right="456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 OPŽP, příp.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6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umožnila potenciálním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5DA8">
        <w:trPr>
          <w:trHeight w:val="83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266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31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 došlo ke snížení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předpokládané hodnoty pod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B5DA8" w:rsidRDefault="001807EF">
            <w:pPr>
              <w:pStyle w:val="TableParagraph"/>
              <w:spacing w:before="3" w:line="216" w:lineRule="auto"/>
              <w:ind w:right="574"/>
              <w:rPr>
                <w:sz w:val="20"/>
              </w:rPr>
            </w:pPr>
            <w:r>
              <w:rPr>
                <w:sz w:val="20"/>
              </w:rPr>
              <w:t>v zákoně nebo v 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OPŽP, příp. v dokumentu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 VZ v OPŽP, čímž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nebylo zajištěno řádné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17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B5DA8">
        <w:trPr>
          <w:trHeight w:val="16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umožnila potenciálním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5DA8">
        <w:trPr>
          <w:trHeight w:val="155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97"/>
              <w:rPr>
                <w:sz w:val="20"/>
              </w:rPr>
            </w:pPr>
            <w:r>
              <w:rPr>
                <w:sz w:val="20"/>
              </w:rPr>
              <w:t>Zadavatel nerozdělil nadlimitní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 a toto rozhodnutí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písemné zprávě zadavatele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neodůvodnil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dostatečné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07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 nabídek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5DA8" w:rsidRDefault="001807EF">
            <w:pPr>
              <w:pStyle w:val="TableParagraph"/>
              <w:spacing w:before="0" w:line="23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9" w:line="216" w:lineRule="auto"/>
              <w:ind w:right="54"/>
              <w:rPr>
                <w:sz w:val="20"/>
              </w:rPr>
            </w:pPr>
            <w:r>
              <w:rPr>
                <w:sz w:val="20"/>
              </w:rPr>
              <w:t>neprodloužení této lhůty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vyždaovala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60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1B5DA8" w:rsidRDefault="001807EF">
            <w:pPr>
              <w:pStyle w:val="TableParagraph"/>
              <w:spacing w:before="3" w:line="216" w:lineRule="auto"/>
              <w:ind w:right="5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OPŽP, příp. v dokumentu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  <w:p w:rsidR="001B5DA8" w:rsidRDefault="001807EF">
            <w:pPr>
              <w:pStyle w:val="TableParagraph"/>
              <w:spacing w:before="2" w:line="216" w:lineRule="auto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změny 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přiměřeně tuto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1B5DA8">
        <w:trPr>
          <w:trHeight w:val="10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</w:tc>
      </w:tr>
      <w:tr w:rsidR="001B5DA8">
        <w:trPr>
          <w:trHeight w:val="275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1B5DA8" w:rsidRDefault="001807EF">
            <w:pPr>
              <w:pStyle w:val="TableParagraph"/>
              <w:spacing w:before="0" w:line="23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9" w:line="216" w:lineRule="auto"/>
              <w:ind w:right="325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 jejichž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vyžadovala</w:t>
            </w:r>
          </w:p>
        </w:tc>
      </w:tr>
      <w:tr w:rsidR="001B5DA8">
        <w:trPr>
          <w:trHeight w:val="8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B5DA8" w:rsidRDefault="001B5DA8">
      <w:pPr>
        <w:spacing w:line="216" w:lineRule="auto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131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474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B5DA8" w:rsidRDefault="001807EF">
            <w:pPr>
              <w:pStyle w:val="TableParagraph"/>
              <w:spacing w:before="0" w:line="233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9" w:line="216" w:lineRule="auto"/>
              <w:ind w:right="45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31"/>
              <w:rPr>
                <w:sz w:val="20"/>
              </w:rPr>
            </w:pPr>
            <w:r>
              <w:rPr>
                <w:sz w:val="20"/>
              </w:rPr>
              <w:t>Jestliže zadávací dokumentace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si ji mohou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5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50 % stanovené lhůty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5DA8">
        <w:trPr>
          <w:trHeight w:val="131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5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80 % stanovené lhůty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5DA8">
        <w:trPr>
          <w:trHeight w:val="22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dokumentace rovna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B5DA8" w:rsidRDefault="001807EF">
            <w:pPr>
              <w:pStyle w:val="TableParagraph"/>
              <w:spacing w:before="2" w:line="216" w:lineRule="auto"/>
              <w:ind w:right="527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neumožnil bezplatný,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B5DA8">
        <w:trPr>
          <w:trHeight w:val="59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6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5DA8" w:rsidRDefault="001807EF">
            <w:pPr>
              <w:pStyle w:val="TableParagraph"/>
              <w:spacing w:before="0" w:line="23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9" w:line="21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60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prodloužil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 předběžných nabídek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žádostí o účast,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B5DA8" w:rsidRDefault="001807EF">
            <w:pPr>
              <w:pStyle w:val="TableParagraph"/>
              <w:spacing w:before="0" w:line="236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1B5DA8" w:rsidRDefault="001807EF">
            <w:pPr>
              <w:pStyle w:val="TableParagraph"/>
              <w:spacing w:before="9" w:line="216" w:lineRule="auto"/>
              <w:ind w:right="115"/>
              <w:rPr>
                <w:sz w:val="20"/>
              </w:rPr>
            </w:pPr>
            <w:r>
              <w:rPr>
                <w:sz w:val="20"/>
              </w:rPr>
              <w:t>v OPŽP, resp. způsobem, jakým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 zahájeno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výběrové/zadávací </w:t>
            </w:r>
            <w:r>
              <w:rPr>
                <w:sz w:val="20"/>
              </w:rPr>
              <w:t>řízení,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28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B5DA8">
        <w:trPr>
          <w:trHeight w:val="38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079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B5DA8" w:rsidRDefault="001807EF">
            <w:pPr>
              <w:pStyle w:val="TableParagraph"/>
              <w:spacing w:before="0" w:line="233" w:lineRule="exact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5DA8" w:rsidRDefault="001807EF">
            <w:pPr>
              <w:pStyle w:val="TableParagraph"/>
              <w:spacing w:before="9" w:line="216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>k prodloužení lhůty pro 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1B5DA8" w:rsidRDefault="001B5DA8">
      <w:pPr>
        <w:spacing w:line="216" w:lineRule="auto"/>
        <w:jc w:val="both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3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529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B5DA8" w:rsidRDefault="001807EF">
            <w:pPr>
              <w:pStyle w:val="TableParagraph"/>
              <w:spacing w:before="0" w:line="246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456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5DA8" w:rsidRDefault="001807EF">
            <w:pPr>
              <w:pStyle w:val="TableParagraph"/>
              <w:spacing w:before="2" w:line="216" w:lineRule="auto"/>
              <w:ind w:right="8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 aniž by byly splněny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zákonné 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 řízení s uveřejněním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soutěžním dialogu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podstatně změnil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299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72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 vč. zdůvodnění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tohoto druhu řízení v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dokumentaci, nebyl omezen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počet potenciálních dodavatelů,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 mohli 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 současně 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 rovný přístup ke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B5DA8">
        <w:trPr>
          <w:trHeight w:val="131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before="47" w:line="208" w:lineRule="auto"/>
              <w:ind w:right="314"/>
              <w:rPr>
                <w:sz w:val="16"/>
              </w:rPr>
            </w:pPr>
            <w:r>
              <w:rPr>
                <w:sz w:val="20"/>
              </w:rPr>
              <w:t>Nesoulad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6"/>
              </w:rPr>
              <w:t>1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34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postupů pro elektronické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 centralizované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B5DA8" w:rsidRDefault="001807EF">
            <w:pPr>
              <w:pStyle w:val="TableParagraph"/>
              <w:spacing w:before="5" w:line="216" w:lineRule="auto"/>
              <w:ind w:right="103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34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B5DA8">
        <w:trPr>
          <w:trHeight w:val="119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B5D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B5DA8">
        <w:trPr>
          <w:trHeight w:val="83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409"/>
              <w:rPr>
                <w:sz w:val="20"/>
              </w:rPr>
            </w:pPr>
            <w:r>
              <w:rPr>
                <w:sz w:val="20"/>
              </w:rPr>
              <w:t>Neuvedení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B5DA8" w:rsidRDefault="001807EF">
            <w:pPr>
              <w:pStyle w:val="TableParagraph"/>
              <w:spacing w:before="3" w:line="216" w:lineRule="auto"/>
              <w:ind w:right="8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B5DA8" w:rsidRDefault="001807EF">
            <w:pPr>
              <w:pStyle w:val="TableParagraph"/>
              <w:spacing w:before="2" w:line="216" w:lineRule="auto"/>
              <w:ind w:right="123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B5DA8" w:rsidRDefault="001807EF">
            <w:pPr>
              <w:pStyle w:val="TableParagraph"/>
              <w:spacing w:before="1" w:line="216" w:lineRule="auto"/>
              <w:ind w:right="212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45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jasného způsobu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 případně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B5DA8" w:rsidRDefault="001807EF">
            <w:pPr>
              <w:pStyle w:val="TableParagraph"/>
              <w:spacing w:before="6" w:line="216" w:lineRule="auto"/>
              <w:ind w:right="358"/>
              <w:rPr>
                <w:sz w:val="20"/>
              </w:rPr>
            </w:pPr>
            <w:r>
              <w:rPr>
                <w:sz w:val="20"/>
              </w:rPr>
              <w:t>nebo 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5DA8" w:rsidRDefault="001807EF">
            <w:pPr>
              <w:pStyle w:val="TableParagraph"/>
              <w:spacing w:before="8" w:line="216" w:lineRule="auto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</w:p>
        </w:tc>
      </w:tr>
      <w:tr w:rsidR="001B5DA8">
        <w:trPr>
          <w:trHeight w:val="371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5DA8" w:rsidRDefault="001807EF">
            <w:pPr>
              <w:pStyle w:val="TableParagraph"/>
              <w:spacing w:before="3"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 uvedeny dostatečně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 nebo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 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 a/nebo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</w:tbl>
    <w:p w:rsidR="001B5DA8" w:rsidRDefault="001B5DA8">
      <w:pPr>
        <w:spacing w:line="216" w:lineRule="auto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107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2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Stanovení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 pro vyloučení,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z w:val="20"/>
              </w:rPr>
              <w:t>chnických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B5DA8" w:rsidRDefault="001807EF">
            <w:pPr>
              <w:pStyle w:val="TableParagraph"/>
              <w:spacing w:before="5" w:line="216" w:lineRule="auto"/>
              <w:ind w:right="12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Pokyny OPŽP, příp.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1B5DA8" w:rsidRDefault="001807EF">
            <w:pPr>
              <w:pStyle w:val="TableParagraph"/>
              <w:spacing w:before="2" w:line="216" w:lineRule="auto"/>
              <w:ind w:right="156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70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</w:p>
          <w:p w:rsidR="001B5DA8" w:rsidRDefault="001807EF">
            <w:pPr>
              <w:pStyle w:val="TableParagraph"/>
              <w:spacing w:before="6" w:line="216" w:lineRule="auto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zkušenost</w:t>
            </w:r>
            <w:r>
              <w:rPr>
                <w:sz w:val="20"/>
              </w:rPr>
              <w:t>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76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5DA8" w:rsidRDefault="001807EF">
            <w:pPr>
              <w:pStyle w:val="TableParagraph"/>
              <w:spacing w:before="0" w:line="246" w:lineRule="exact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B5DA8">
        <w:trPr>
          <w:trHeight w:val="239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43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B5DA8">
        <w:trPr>
          <w:trHeight w:val="251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132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pro vyloučení,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technických specifikací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OPŽP, příp.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OPŽP v ostatních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B5DA8" w:rsidRDefault="001807EF">
            <w:pPr>
              <w:pStyle w:val="TableParagraph"/>
              <w:spacing w:before="0" w:line="252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70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(např. požadavky 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 nevyjadřovaly vztah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8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zjevně neodpovídají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předmětu veřejné zakázky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případech, kdy toto omezení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umožnilo účast 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B5DA8">
        <w:trPr>
          <w:trHeight w:val="46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07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zakázky, ale nejsou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přiměřené, nebo v případech,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kdy kvalifikační kritéria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užita jako hodnotící kritéria,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technických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prostřednictvím přímého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nepřímého odkazu na určité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 výrobky, patenty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vynále</w:t>
            </w:r>
            <w:r>
              <w:rPr>
                <w:sz w:val="20"/>
              </w:rPr>
              <w:t>zy, užitné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průmyslové vzory, ochranné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známky nebo označení původu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 výjimkou případů, kdy 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této specifikace se týká 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 potenciální dopad na národní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prostředky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1B5DA8">
        <w:trPr>
          <w:trHeight w:val="131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B5DA8" w:rsidRDefault="001B5DA8">
      <w:pPr>
        <w:spacing w:line="216" w:lineRule="auto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203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123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34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DA8" w:rsidRDefault="001807EF">
            <w:pPr>
              <w:pStyle w:val="TableParagraph"/>
              <w:spacing w:before="2" w:line="216" w:lineRule="auto"/>
              <w:ind w:right="182"/>
              <w:rPr>
                <w:sz w:val="20"/>
              </w:rPr>
            </w:pPr>
            <w:r>
              <w:rPr>
                <w:sz w:val="20"/>
              </w:rPr>
              <w:t>v podrobnostech nezbytných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odradit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79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56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71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 veřejné zakázky 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procentuálně, a to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omezení s ohledem na klíčové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395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100"/>
              <w:rPr>
                <w:sz w:val="20"/>
              </w:rPr>
            </w:pPr>
            <w:r>
              <w:rPr>
                <w:sz w:val="20"/>
              </w:rPr>
              <w:t>Nedodržení či nesprávná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B5DA8" w:rsidRDefault="001807EF">
            <w:pPr>
              <w:pStyle w:val="TableParagraph"/>
              <w:spacing w:before="8" w:line="216" w:lineRule="auto"/>
              <w:ind w:right="123"/>
              <w:rPr>
                <w:sz w:val="20"/>
              </w:rPr>
            </w:pPr>
            <w:r>
              <w:rPr>
                <w:sz w:val="20"/>
              </w:rPr>
              <w:t>a hodnocení nabídek 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požadavky na kvalifikaci,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obchodní podmínky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 své</w:t>
            </w:r>
            <w:r>
              <w:rPr>
                <w:sz w:val="20"/>
              </w:rPr>
              <w:t>m důsledku tak změnil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 přijetí či odmítnutí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3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B5DA8" w:rsidRDefault="001807EF">
            <w:pPr>
              <w:pStyle w:val="TableParagraph"/>
              <w:spacing w:before="8" w:line="216" w:lineRule="auto"/>
              <w:ind w:right="4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B5DA8" w:rsidRDefault="001807EF">
            <w:pPr>
              <w:pStyle w:val="TableParagraph"/>
              <w:spacing w:before="2" w:line="216" w:lineRule="auto"/>
              <w:ind w:right="150"/>
              <w:rPr>
                <w:sz w:val="20"/>
              </w:rPr>
            </w:pPr>
            <w:r>
              <w:rPr>
                <w:sz w:val="20"/>
              </w:rPr>
              <w:t>nebo hodnocení nabídek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 která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dodržena či bylo užito dalších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4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5DA8" w:rsidRDefault="001807EF">
            <w:pPr>
              <w:pStyle w:val="TableParagraph"/>
              <w:spacing w:before="8"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B5DA8" w:rsidRDefault="001B5DA8">
      <w:pPr>
        <w:spacing w:line="216" w:lineRule="auto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15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9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29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nevysvětlují, jakým způsobem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nedostatečnou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8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2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  <w:gridSpan w:val="2"/>
          </w:tcPr>
          <w:p w:rsidR="001B5DA8" w:rsidRDefault="001B5DA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1B5DA8">
        <w:trPr>
          <w:trHeight w:val="275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14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3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úpravu nabídky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 s dokumentem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 v OPŽP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</w:t>
            </w:r>
            <w:r>
              <w:rPr>
                <w:sz w:val="20"/>
              </w:rPr>
              <w:t>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 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79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195"/>
              <w:rPr>
                <w:sz w:val="20"/>
              </w:rPr>
            </w:pPr>
            <w:r>
              <w:rPr>
                <w:sz w:val="20"/>
              </w:rPr>
              <w:t>Neoprávněné předchozí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 či obdobná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69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rovného zacházení či vede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79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666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B5DA8" w:rsidRDefault="001807EF">
            <w:pPr>
              <w:pStyle w:val="TableParagraph"/>
              <w:spacing w:before="2" w:line="216" w:lineRule="auto"/>
              <w:ind w:right="49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6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5DA8" w:rsidRDefault="001807EF">
            <w:pPr>
              <w:pStyle w:val="TableParagraph"/>
              <w:spacing w:before="2" w:line="216" w:lineRule="auto"/>
              <w:ind w:right="492"/>
              <w:rPr>
                <w:sz w:val="20"/>
              </w:rPr>
            </w:pPr>
            <w:r>
              <w:rPr>
                <w:sz w:val="20"/>
              </w:rPr>
              <w:t>k podstatným změnám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původních zadávacích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B5DA8" w:rsidRDefault="001B5DA8">
      <w:pPr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323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70"/>
              <w:rPr>
                <w:sz w:val="20"/>
              </w:rPr>
            </w:pPr>
            <w:r>
              <w:rPr>
                <w:sz w:val="20"/>
              </w:rPr>
              <w:t>Neoprávněné vyloučení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30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B5DA8" w:rsidRDefault="001807EF">
            <w:pPr>
              <w:pStyle w:val="TableParagraph"/>
              <w:spacing w:before="2" w:line="216" w:lineRule="auto"/>
              <w:ind w:right="89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5DA8" w:rsidRDefault="001807EF">
            <w:pPr>
              <w:pStyle w:val="TableParagraph"/>
              <w:spacing w:before="1" w:line="216" w:lineRule="auto"/>
              <w:ind w:right="182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případě, kdy zadavatel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</w:t>
            </w:r>
            <w:r>
              <w:rPr>
                <w:sz w:val="20"/>
              </w:rPr>
              <w:t>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účastníků posoudil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070"/>
        </w:trPr>
        <w:tc>
          <w:tcPr>
            <w:tcW w:w="455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39" w:type="dxa"/>
          </w:tcPr>
          <w:p w:rsidR="001B5DA8" w:rsidRDefault="001807EF">
            <w:pPr>
              <w:pStyle w:val="TableParagraph"/>
              <w:spacing w:line="216" w:lineRule="auto"/>
              <w:ind w:right="258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zadávacího/výběrového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47" w:line="208" w:lineRule="auto"/>
              <w:ind w:right="51"/>
              <w:rPr>
                <w:sz w:val="16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dojde ke střetu zájmů,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přičemž 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6"/>
              </w:rPr>
              <w:t>2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79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319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71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 spolupráce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230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 řídícího či ko</w:t>
            </w:r>
            <w:r>
              <w:rPr>
                <w:sz w:val="20"/>
              </w:rPr>
              <w:t>ntrolního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 nebo zadavatele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B5DA8">
        <w:trPr>
          <w:trHeight w:val="83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B5DA8">
        <w:trPr>
          <w:trHeight w:val="22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5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1B5DA8" w:rsidRDefault="001807EF">
            <w:pPr>
              <w:pStyle w:val="TableParagraph"/>
              <w:spacing w:before="3" w:line="216" w:lineRule="auto"/>
              <w:ind w:right="260"/>
              <w:rPr>
                <w:sz w:val="20"/>
              </w:rPr>
            </w:pPr>
            <w:r>
              <w:rPr>
                <w:sz w:val="20"/>
              </w:rPr>
              <w:t>s dodavateli podílejícími se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</w:tbl>
    <w:p w:rsidR="001B5DA8" w:rsidRDefault="001B5DA8">
      <w:pPr>
        <w:spacing w:line="216" w:lineRule="auto"/>
        <w:rPr>
          <w:sz w:val="20"/>
        </w:rPr>
        <w:sectPr w:rsidR="001B5DA8">
          <w:pgSz w:w="11900" w:h="16840"/>
          <w:pgMar w:top="1960" w:right="1280" w:bottom="2040" w:left="1280" w:header="817" w:footer="1849" w:gutter="0"/>
          <w:cols w:space="708"/>
        </w:sectPr>
      </w:pPr>
    </w:p>
    <w:p w:rsidR="001B5DA8" w:rsidRDefault="001B5DA8">
      <w:pPr>
        <w:pStyle w:val="Zkladntext"/>
      </w:pPr>
    </w:p>
    <w:p w:rsidR="001B5DA8" w:rsidRDefault="001B5DA8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39"/>
        <w:gridCol w:w="3003"/>
        <w:gridCol w:w="3003"/>
      </w:tblGrid>
      <w:tr w:rsidR="001B5DA8">
        <w:trPr>
          <w:trHeight w:val="15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23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rozporu se 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B5DA8" w:rsidRDefault="001807EF">
            <w:pPr>
              <w:pStyle w:val="TableParagraph"/>
              <w:spacing w:before="5" w:line="216" w:lineRule="auto"/>
              <w:ind w:right="46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41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DA8" w:rsidRDefault="001807EF">
            <w:pPr>
              <w:pStyle w:val="TableParagraph"/>
              <w:spacing w:before="0" w:line="23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5DA8" w:rsidRDefault="001807EF">
            <w:pPr>
              <w:pStyle w:val="TableParagraph"/>
              <w:spacing w:before="9" w:line="216" w:lineRule="auto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B5DA8">
        <w:trPr>
          <w:trHeight w:val="227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41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5DA8" w:rsidRDefault="001807EF">
            <w:pPr>
              <w:pStyle w:val="TableParagraph"/>
              <w:spacing w:before="0" w:line="23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5DA8" w:rsidRDefault="001807EF">
            <w:pPr>
              <w:pStyle w:val="TableParagraph"/>
              <w:spacing w:before="9" w:line="216" w:lineRule="auto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B5DA8">
        <w:trPr>
          <w:trHeight w:val="350"/>
        </w:trPr>
        <w:tc>
          <w:tcPr>
            <w:tcW w:w="455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39" w:type="dxa"/>
            <w:vMerge w:val="restart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003" w:type="dxa"/>
            <w:vMerge w:val="restart"/>
          </w:tcPr>
          <w:p w:rsidR="001B5DA8" w:rsidRDefault="001807EF">
            <w:pPr>
              <w:pStyle w:val="TableParagraph"/>
              <w:spacing w:line="216" w:lineRule="auto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 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znemožnilo ověření souladu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jeho postupu s čl. IV. odst.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písm. s) Smlouvy včetně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5DA8">
        <w:trPr>
          <w:trHeight w:val="1910"/>
        </w:trPr>
        <w:tc>
          <w:tcPr>
            <w:tcW w:w="455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:rsidR="001B5DA8" w:rsidRDefault="001B5DA8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 w:rsidR="001B5DA8" w:rsidRDefault="001807EF">
            <w:pPr>
              <w:pStyle w:val="TableParagraph"/>
              <w:spacing w:line="216" w:lineRule="auto"/>
              <w:ind w:right="39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B5DA8" w:rsidRDefault="001B5DA8">
      <w:pPr>
        <w:pStyle w:val="Zkladntext"/>
        <w:spacing w:before="3"/>
        <w:rPr>
          <w:sz w:val="16"/>
        </w:rPr>
      </w:pPr>
    </w:p>
    <w:p w:rsidR="001B5DA8" w:rsidRDefault="001807EF">
      <w:pPr>
        <w:spacing w:before="98"/>
        <w:ind w:left="180"/>
        <w:rPr>
          <w:sz w:val="14"/>
        </w:rPr>
      </w:pPr>
      <w:r>
        <w:rPr>
          <w:position w:val="5"/>
          <w:sz w:val="11"/>
        </w:rPr>
        <w:t>1</w:t>
      </w:r>
      <w:r>
        <w:rPr>
          <w:spacing w:val="3"/>
          <w:position w:val="5"/>
          <w:sz w:val="11"/>
        </w:rPr>
        <w:t xml:space="preserve"> </w:t>
      </w:r>
      <w:r>
        <w:rPr>
          <w:sz w:val="14"/>
        </w:rPr>
        <w:t>Kromě</w:t>
      </w:r>
      <w:r>
        <w:rPr>
          <w:spacing w:val="-5"/>
          <w:sz w:val="14"/>
        </w:rPr>
        <w:t xml:space="preserve"> </w:t>
      </w:r>
      <w:r>
        <w:rPr>
          <w:sz w:val="14"/>
        </w:rPr>
        <w:t>případů,</w:t>
      </w:r>
      <w:r>
        <w:rPr>
          <w:spacing w:val="-5"/>
          <w:sz w:val="14"/>
        </w:rPr>
        <w:t xml:space="preserve"> </w:t>
      </w:r>
      <w:r>
        <w:rPr>
          <w:sz w:val="14"/>
        </w:rPr>
        <w:t>kdy</w:t>
      </w:r>
      <w:r>
        <w:rPr>
          <w:spacing w:val="-6"/>
          <w:sz w:val="14"/>
        </w:rPr>
        <w:t xml:space="preserve"> </w:t>
      </w:r>
      <w:r>
        <w:rPr>
          <w:sz w:val="14"/>
        </w:rPr>
        <w:t>nesrovnalost</w:t>
      </w:r>
      <w:r>
        <w:rPr>
          <w:spacing w:val="-5"/>
          <w:sz w:val="14"/>
        </w:rPr>
        <w:t xml:space="preserve"> </w:t>
      </w:r>
      <w:r>
        <w:rPr>
          <w:sz w:val="14"/>
        </w:rPr>
        <w:t>spadá</w:t>
      </w:r>
      <w:r>
        <w:rPr>
          <w:spacing w:val="-5"/>
          <w:sz w:val="14"/>
        </w:rPr>
        <w:t xml:space="preserve"> </w:t>
      </w:r>
      <w:r>
        <w:rPr>
          <w:sz w:val="14"/>
        </w:rPr>
        <w:t>pod</w:t>
      </w:r>
      <w:r>
        <w:rPr>
          <w:spacing w:val="-6"/>
          <w:sz w:val="14"/>
        </w:rPr>
        <w:t xml:space="preserve"> </w:t>
      </w:r>
      <w:r>
        <w:rPr>
          <w:sz w:val="14"/>
        </w:rPr>
        <w:t>jiný</w:t>
      </w:r>
      <w:r>
        <w:rPr>
          <w:spacing w:val="-5"/>
          <w:sz w:val="14"/>
        </w:rPr>
        <w:t xml:space="preserve"> </w:t>
      </w:r>
      <w:r>
        <w:rPr>
          <w:sz w:val="14"/>
        </w:rPr>
        <w:t>typ</w:t>
      </w:r>
      <w:r>
        <w:rPr>
          <w:spacing w:val="-5"/>
          <w:sz w:val="14"/>
        </w:rPr>
        <w:t xml:space="preserve"> </w:t>
      </w:r>
      <w:r>
        <w:rPr>
          <w:sz w:val="14"/>
        </w:rPr>
        <w:t>porušení.</w:t>
      </w:r>
    </w:p>
    <w:p w:rsidR="001B5DA8" w:rsidRDefault="001807EF">
      <w:pPr>
        <w:spacing w:before="24"/>
        <w:ind w:left="180"/>
        <w:rPr>
          <w:sz w:val="14"/>
        </w:rPr>
      </w:pPr>
      <w:r>
        <w:rPr>
          <w:position w:val="5"/>
          <w:sz w:val="11"/>
        </w:rPr>
        <w:t>2</w:t>
      </w:r>
      <w:r>
        <w:rPr>
          <w:spacing w:val="3"/>
          <w:position w:val="5"/>
          <w:sz w:val="11"/>
        </w:rPr>
        <w:t xml:space="preserve"> </w:t>
      </w:r>
      <w:r>
        <w:rPr>
          <w:sz w:val="14"/>
        </w:rPr>
        <w:t>Střet</w:t>
      </w:r>
      <w:r>
        <w:rPr>
          <w:spacing w:val="-6"/>
          <w:sz w:val="14"/>
        </w:rPr>
        <w:t xml:space="preserve"> </w:t>
      </w:r>
      <w:r>
        <w:rPr>
          <w:sz w:val="14"/>
        </w:rPr>
        <w:t>zájmů</w:t>
      </w:r>
      <w:r>
        <w:rPr>
          <w:spacing w:val="-6"/>
          <w:sz w:val="14"/>
        </w:rPr>
        <w:t xml:space="preserve"> </w:t>
      </w:r>
      <w:r>
        <w:rPr>
          <w:sz w:val="14"/>
        </w:rPr>
        <w:t>může</w:t>
      </w:r>
      <w:r>
        <w:rPr>
          <w:spacing w:val="-6"/>
          <w:sz w:val="14"/>
        </w:rPr>
        <w:t xml:space="preserve"> </w:t>
      </w:r>
      <w:r>
        <w:rPr>
          <w:sz w:val="14"/>
        </w:rPr>
        <w:t>nastat</w:t>
      </w:r>
      <w:r>
        <w:rPr>
          <w:spacing w:val="-5"/>
          <w:sz w:val="14"/>
        </w:rPr>
        <w:t xml:space="preserve"> </w:t>
      </w:r>
      <w:r>
        <w:rPr>
          <w:sz w:val="14"/>
        </w:rPr>
        <w:t>již</w:t>
      </w:r>
      <w:r>
        <w:rPr>
          <w:spacing w:val="-6"/>
          <w:sz w:val="14"/>
        </w:rPr>
        <w:t xml:space="preserve"> </w:t>
      </w:r>
      <w:r>
        <w:rPr>
          <w:sz w:val="14"/>
        </w:rPr>
        <w:t>ve</w:t>
      </w:r>
      <w:r>
        <w:rPr>
          <w:spacing w:val="-6"/>
          <w:sz w:val="14"/>
        </w:rPr>
        <w:t xml:space="preserve"> </w:t>
      </w:r>
      <w:r>
        <w:rPr>
          <w:sz w:val="14"/>
        </w:rPr>
        <w:t>fázi</w:t>
      </w:r>
      <w:r>
        <w:rPr>
          <w:spacing w:val="-5"/>
          <w:sz w:val="14"/>
        </w:rPr>
        <w:t xml:space="preserve"> </w:t>
      </w:r>
      <w:r>
        <w:rPr>
          <w:sz w:val="14"/>
        </w:rPr>
        <w:t>přípravy</w:t>
      </w:r>
      <w:r>
        <w:rPr>
          <w:spacing w:val="-6"/>
          <w:sz w:val="14"/>
        </w:rPr>
        <w:t xml:space="preserve"> </w:t>
      </w:r>
      <w:r>
        <w:rPr>
          <w:sz w:val="14"/>
        </w:rPr>
        <w:t>projektu,</w:t>
      </w:r>
      <w:r>
        <w:rPr>
          <w:spacing w:val="-6"/>
          <w:sz w:val="14"/>
        </w:rPr>
        <w:t xml:space="preserve"> </w:t>
      </w:r>
      <w:r>
        <w:rPr>
          <w:sz w:val="14"/>
        </w:rPr>
        <w:t>pokud</w:t>
      </w:r>
      <w:r>
        <w:rPr>
          <w:spacing w:val="-6"/>
          <w:sz w:val="14"/>
        </w:rPr>
        <w:t xml:space="preserve"> </w:t>
      </w:r>
      <w:r>
        <w:rPr>
          <w:sz w:val="14"/>
        </w:rPr>
        <w:t>měla</w:t>
      </w:r>
      <w:r>
        <w:rPr>
          <w:spacing w:val="-5"/>
          <w:sz w:val="14"/>
        </w:rPr>
        <w:t xml:space="preserve"> </w:t>
      </w:r>
      <w:r>
        <w:rPr>
          <w:sz w:val="14"/>
        </w:rPr>
        <w:t>příprava</w:t>
      </w:r>
      <w:r>
        <w:rPr>
          <w:spacing w:val="-6"/>
          <w:sz w:val="14"/>
        </w:rPr>
        <w:t xml:space="preserve"> </w:t>
      </w:r>
      <w:r>
        <w:rPr>
          <w:sz w:val="14"/>
        </w:rPr>
        <w:t>projektu</w:t>
      </w:r>
      <w:r>
        <w:rPr>
          <w:spacing w:val="-6"/>
          <w:sz w:val="14"/>
        </w:rPr>
        <w:t xml:space="preserve"> </w:t>
      </w:r>
      <w:r>
        <w:rPr>
          <w:sz w:val="14"/>
        </w:rPr>
        <w:t>vliv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z w:val="14"/>
        </w:rPr>
        <w:t>zadávací</w:t>
      </w:r>
      <w:r>
        <w:rPr>
          <w:spacing w:val="-6"/>
          <w:sz w:val="14"/>
        </w:rPr>
        <w:t xml:space="preserve"> </w:t>
      </w:r>
      <w:r>
        <w:rPr>
          <w:sz w:val="14"/>
        </w:rPr>
        <w:t>dokumentaci/zadávací</w:t>
      </w:r>
      <w:r>
        <w:rPr>
          <w:spacing w:val="-6"/>
          <w:sz w:val="14"/>
        </w:rPr>
        <w:t xml:space="preserve"> </w:t>
      </w:r>
      <w:r>
        <w:rPr>
          <w:sz w:val="14"/>
        </w:rPr>
        <w:t>řízení.</w:t>
      </w:r>
    </w:p>
    <w:sectPr w:rsidR="001B5DA8">
      <w:pgSz w:w="11900" w:h="16840"/>
      <w:pgMar w:top="1960" w:right="1280" w:bottom="2040" w:left="1280" w:header="817" w:footer="1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EF" w:rsidRDefault="001807EF">
      <w:r>
        <w:separator/>
      </w:r>
    </w:p>
  </w:endnote>
  <w:endnote w:type="continuationSeparator" w:id="0">
    <w:p w:rsidR="001807EF" w:rsidRDefault="001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A8" w:rsidRDefault="00DA47B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6016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9379585</wp:posOffset>
              </wp:positionV>
              <wp:extent cx="5799455" cy="4044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94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DA8" w:rsidRDefault="001807EF">
                          <w:pPr>
                            <w:spacing w:before="20" w:line="20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Státní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fond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životního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ČR,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sídlo: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Kaplanova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1931/1,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148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6666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Praha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11</w:t>
                          </w:r>
                        </w:p>
                        <w:p w:rsidR="001B5DA8" w:rsidRDefault="001807EF">
                          <w:pPr>
                            <w:spacing w:before="7" w:line="21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Korespondenční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a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kontaktní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adresa: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Olbrachtova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2006/9,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140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Praha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4,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T: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267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994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300,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F: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272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936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585,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IČ: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00020729</w:t>
                          </w:r>
                          <w:r>
                            <w:rPr>
                              <w:color w:val="666666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666666"/>
                                <w:sz w:val="16"/>
                              </w:rPr>
                              <w:t>www.sfzp.cz,</w:t>
                            </w:r>
                            <w:r>
                              <w:rPr>
                                <w:color w:val="666666"/>
                                <w:spacing w:val="-2"/>
                                <w:sz w:val="16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color w:val="666666"/>
                                <w:sz w:val="16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in;margin-top:738.55pt;width:456.65pt;height:31.8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" filled="f" stroked="f">
              <v:textbox inset="0,0,0,0">
                <w:txbxContent>
                  <w:p w:rsidR="001B5DA8" w:rsidRDefault="001807EF">
                    <w:pPr>
                      <w:spacing w:before="20" w:line="20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Státní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fond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životního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prostředí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ČR,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sídlo: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Kaplanova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1931/1,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148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00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Praha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11</w:t>
                    </w:r>
                  </w:p>
                  <w:p w:rsidR="001B5DA8" w:rsidRDefault="001807EF">
                    <w:pPr>
                      <w:spacing w:before="7" w:line="21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Korespondenční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a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kontaktní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adresa: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Olbrachtova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2006/9,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140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00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Praha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4,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T: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+420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267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994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300,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F: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+420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272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936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585,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IČ: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00020729</w:t>
                    </w:r>
                    <w:r>
                      <w:rPr>
                        <w:color w:val="666666"/>
                        <w:spacing w:val="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666666"/>
                          <w:sz w:val="16"/>
                        </w:rPr>
                        <w:t>www.sfzp.cz,</w:t>
                      </w:r>
                      <w:r>
                        <w:rPr>
                          <w:color w:val="666666"/>
                          <w:spacing w:val="-2"/>
                          <w:sz w:val="16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color w:val="666666"/>
                          <w:sz w:val="16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60672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9821545</wp:posOffset>
              </wp:positionV>
              <wp:extent cx="144145" cy="16065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DA8" w:rsidRDefault="001807EF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6666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47BE">
                            <w:rPr>
                              <w:noProof/>
                              <w:color w:val="666666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539.7pt;margin-top:773.35pt;width:11.35pt;height:12.6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" filled="f" stroked="f">
              <v:textbox inset="0,0,0,0">
                <w:txbxContent>
                  <w:p w:rsidR="001B5DA8" w:rsidRDefault="001807EF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66666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47BE">
                      <w:rPr>
                        <w:noProof/>
                        <w:color w:val="666666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EF" w:rsidRDefault="001807EF">
      <w:r>
        <w:separator/>
      </w:r>
    </w:p>
  </w:footnote>
  <w:footnote w:type="continuationSeparator" w:id="0">
    <w:p w:rsidR="001807EF" w:rsidRDefault="0018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A8" w:rsidRDefault="001807E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730753</wp:posOffset>
          </wp:positionH>
          <wp:positionV relativeFrom="page">
            <wp:posOffset>518922</wp:posOffset>
          </wp:positionV>
          <wp:extent cx="2505058" cy="7256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58" cy="725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0DD3"/>
    <w:multiLevelType w:val="hybridMultilevel"/>
    <w:tmpl w:val="33606422"/>
    <w:lvl w:ilvl="0" w:tplc="D408E318">
      <w:start w:val="1"/>
      <w:numFmt w:val="upperRoman"/>
      <w:lvlText w:val="%1."/>
      <w:lvlJc w:val="left"/>
      <w:pPr>
        <w:ind w:left="635" w:hanging="45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BBF89510">
      <w:numFmt w:val="bullet"/>
      <w:lvlText w:val="•"/>
      <w:lvlJc w:val="left"/>
      <w:pPr>
        <w:ind w:left="1510" w:hanging="455"/>
      </w:pPr>
      <w:rPr>
        <w:rFonts w:hint="default"/>
        <w:lang w:val="cs-CZ" w:eastAsia="en-US" w:bidi="ar-SA"/>
      </w:rPr>
    </w:lvl>
    <w:lvl w:ilvl="2" w:tplc="21BC9A5E">
      <w:numFmt w:val="bullet"/>
      <w:lvlText w:val="•"/>
      <w:lvlJc w:val="left"/>
      <w:pPr>
        <w:ind w:left="2380" w:hanging="455"/>
      </w:pPr>
      <w:rPr>
        <w:rFonts w:hint="default"/>
        <w:lang w:val="cs-CZ" w:eastAsia="en-US" w:bidi="ar-SA"/>
      </w:rPr>
    </w:lvl>
    <w:lvl w:ilvl="3" w:tplc="867E0CD8">
      <w:numFmt w:val="bullet"/>
      <w:lvlText w:val="•"/>
      <w:lvlJc w:val="left"/>
      <w:pPr>
        <w:ind w:left="3250" w:hanging="455"/>
      </w:pPr>
      <w:rPr>
        <w:rFonts w:hint="default"/>
        <w:lang w:val="cs-CZ" w:eastAsia="en-US" w:bidi="ar-SA"/>
      </w:rPr>
    </w:lvl>
    <w:lvl w:ilvl="4" w:tplc="F9360DAC">
      <w:numFmt w:val="bullet"/>
      <w:lvlText w:val="•"/>
      <w:lvlJc w:val="left"/>
      <w:pPr>
        <w:ind w:left="4120" w:hanging="455"/>
      </w:pPr>
      <w:rPr>
        <w:rFonts w:hint="default"/>
        <w:lang w:val="cs-CZ" w:eastAsia="en-US" w:bidi="ar-SA"/>
      </w:rPr>
    </w:lvl>
    <w:lvl w:ilvl="5" w:tplc="BD529B32">
      <w:numFmt w:val="bullet"/>
      <w:lvlText w:val="•"/>
      <w:lvlJc w:val="left"/>
      <w:pPr>
        <w:ind w:left="4990" w:hanging="455"/>
      </w:pPr>
      <w:rPr>
        <w:rFonts w:hint="default"/>
        <w:lang w:val="cs-CZ" w:eastAsia="en-US" w:bidi="ar-SA"/>
      </w:rPr>
    </w:lvl>
    <w:lvl w:ilvl="6" w:tplc="5448DAC6">
      <w:numFmt w:val="bullet"/>
      <w:lvlText w:val="•"/>
      <w:lvlJc w:val="left"/>
      <w:pPr>
        <w:ind w:left="5860" w:hanging="455"/>
      </w:pPr>
      <w:rPr>
        <w:rFonts w:hint="default"/>
        <w:lang w:val="cs-CZ" w:eastAsia="en-US" w:bidi="ar-SA"/>
      </w:rPr>
    </w:lvl>
    <w:lvl w:ilvl="7" w:tplc="8E6679E0">
      <w:numFmt w:val="bullet"/>
      <w:lvlText w:val="•"/>
      <w:lvlJc w:val="left"/>
      <w:pPr>
        <w:ind w:left="6730" w:hanging="455"/>
      </w:pPr>
      <w:rPr>
        <w:rFonts w:hint="default"/>
        <w:lang w:val="cs-CZ" w:eastAsia="en-US" w:bidi="ar-SA"/>
      </w:rPr>
    </w:lvl>
    <w:lvl w:ilvl="8" w:tplc="22B84BB2">
      <w:numFmt w:val="bullet"/>
      <w:lvlText w:val="•"/>
      <w:lvlJc w:val="left"/>
      <w:pPr>
        <w:ind w:left="7600" w:hanging="455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A8"/>
    <w:rsid w:val="001807EF"/>
    <w:rsid w:val="001B5DA8"/>
    <w:rsid w:val="00D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E0B0B-5518-422B-A372-135F50F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83"/>
      <w:ind w:left="180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35" w:right="176" w:hanging="45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zp.cz/" TargetMode="External"/><Relationship Id="rId2" Type="http://schemas.openxmlformats.org/officeDocument/2006/relationships/hyperlink" Target="mailto:dotazy@sfzp.cz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2453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2023-06-30T10:48:00Z</dcterms:created>
  <dcterms:modified xsi:type="dcterms:W3CDTF">2023-06-30T10:48:00Z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2023-06-30T00:00:00Z</vt:filetime>
  </property>
</Properties>
</file>