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22" w:rsidRDefault="00D37922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D37922" w:rsidRDefault="00992722">
      <w:pPr>
        <w:pStyle w:val="Nzev"/>
        <w:spacing w:line="216" w:lineRule="auto"/>
      </w:pPr>
      <w:r>
        <w:t>Stanovení finančních oprav za porušení povinností</w:t>
      </w:r>
      <w:r>
        <w:rPr>
          <w:spacing w:val="1"/>
        </w:rPr>
        <w:t xml:space="preserve"> </w:t>
      </w:r>
      <w:r>
        <w:t>stanovených ve Smlouvě, sankcionovaných v souladu s</w:t>
      </w:r>
      <w:r>
        <w:rPr>
          <w:spacing w:val="1"/>
        </w:rPr>
        <w:t xml:space="preserve"> </w:t>
      </w:r>
      <w:r>
        <w:t>článkem</w:t>
      </w:r>
      <w:r>
        <w:rPr>
          <w:spacing w:val="-6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nižším</w:t>
      </w:r>
      <w:r>
        <w:rPr>
          <w:spacing w:val="-5"/>
        </w:rPr>
        <w:t xml:space="preserve"> </w:t>
      </w:r>
      <w:r>
        <w:t>odvodem,</w:t>
      </w:r>
      <w:r>
        <w:rPr>
          <w:spacing w:val="-6"/>
        </w:rPr>
        <w:t xml:space="preserve"> </w:t>
      </w:r>
      <w:r>
        <w:t>než</w:t>
      </w:r>
      <w:r>
        <w:rPr>
          <w:spacing w:val="-5"/>
        </w:rPr>
        <w:t xml:space="preserve"> </w:t>
      </w:r>
      <w:r>
        <w:t>činí</w:t>
      </w:r>
      <w:r>
        <w:rPr>
          <w:spacing w:val="-6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porušení</w:t>
      </w:r>
      <w:r>
        <w:rPr>
          <w:spacing w:val="-85"/>
        </w:rPr>
        <w:t xml:space="preserve"> </w:t>
      </w:r>
      <w:r>
        <w:t>rozpočtové</w:t>
      </w:r>
      <w:r>
        <w:rPr>
          <w:spacing w:val="-2"/>
        </w:rPr>
        <w:t xml:space="preserve"> </w:t>
      </w:r>
      <w:r>
        <w:t>kázně</w:t>
      </w:r>
    </w:p>
    <w:p w:rsidR="00D37922" w:rsidRDefault="00992722">
      <w:pPr>
        <w:tabs>
          <w:tab w:val="right" w:pos="5700"/>
        </w:tabs>
        <w:spacing w:before="852"/>
        <w:ind w:left="180"/>
        <w:rPr>
          <w:sz w:val="18"/>
        </w:rPr>
      </w:pPr>
      <w:r>
        <w:rPr>
          <w:sz w:val="18"/>
        </w:rPr>
        <w:t>Evidenční</w:t>
      </w:r>
      <w:r>
        <w:rPr>
          <w:spacing w:val="-2"/>
          <w:sz w:val="18"/>
        </w:rPr>
        <w:t xml:space="preserve"> </w:t>
      </w:r>
      <w:r>
        <w:rPr>
          <w:sz w:val="18"/>
        </w:rPr>
        <w:t>číslo: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2017010013</w:t>
      </w:r>
    </w:p>
    <w:p w:rsidR="00D37922" w:rsidRDefault="00992722">
      <w:pPr>
        <w:tabs>
          <w:tab w:val="left" w:pos="4729"/>
        </w:tabs>
        <w:spacing w:before="37"/>
        <w:ind w:left="180"/>
        <w:rPr>
          <w:sz w:val="18"/>
        </w:rPr>
      </w:pPr>
      <w:r>
        <w:rPr>
          <w:sz w:val="18"/>
        </w:rPr>
        <w:t>Příjemce</w:t>
      </w:r>
      <w:r>
        <w:rPr>
          <w:spacing w:val="-6"/>
          <w:sz w:val="18"/>
        </w:rPr>
        <w:t xml:space="preserve"> </w:t>
      </w:r>
      <w:r>
        <w:rPr>
          <w:sz w:val="18"/>
        </w:rPr>
        <w:t>podpory:</w:t>
      </w:r>
      <w:r>
        <w:rPr>
          <w:sz w:val="18"/>
        </w:rPr>
        <w:tab/>
        <w:t>Statutární</w:t>
      </w:r>
      <w:r>
        <w:rPr>
          <w:spacing w:val="-6"/>
          <w:sz w:val="18"/>
        </w:rPr>
        <w:t xml:space="preserve"> </w:t>
      </w:r>
      <w:r>
        <w:rPr>
          <w:sz w:val="18"/>
        </w:rPr>
        <w:t>město</w:t>
      </w:r>
      <w:r>
        <w:rPr>
          <w:spacing w:val="-7"/>
          <w:sz w:val="18"/>
        </w:rPr>
        <w:t xml:space="preserve"> </w:t>
      </w:r>
      <w:r>
        <w:rPr>
          <w:sz w:val="18"/>
        </w:rPr>
        <w:t>Kladno</w:t>
      </w:r>
    </w:p>
    <w:p w:rsidR="00D37922" w:rsidRDefault="00D37922">
      <w:pPr>
        <w:pStyle w:val="Zkladntext"/>
        <w:rPr>
          <w:sz w:val="20"/>
        </w:rPr>
      </w:pPr>
    </w:p>
    <w:p w:rsidR="00D37922" w:rsidRDefault="00D37922">
      <w:pPr>
        <w:pStyle w:val="Zkladntext"/>
        <w:rPr>
          <w:sz w:val="20"/>
        </w:rPr>
      </w:pPr>
    </w:p>
    <w:p w:rsidR="00D37922" w:rsidRDefault="00D37922">
      <w:pPr>
        <w:pStyle w:val="Zkladntext"/>
        <w:spacing w:before="4" w:after="1"/>
        <w:rPr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820"/>
        <w:gridCol w:w="3003"/>
        <w:gridCol w:w="3822"/>
      </w:tblGrid>
      <w:tr w:rsidR="00D37922">
        <w:trPr>
          <w:trHeight w:val="325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Č.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Podmínka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Smlouvy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porušení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before="16"/>
              <w:rPr>
                <w:b/>
                <w:sz w:val="18"/>
              </w:rPr>
            </w:pPr>
            <w:r>
              <w:rPr>
                <w:b/>
                <w:sz w:val="18"/>
              </w:rPr>
              <w:t>Sazba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finanční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opravy</w:t>
            </w:r>
          </w:p>
        </w:tc>
      </w:tr>
      <w:tr w:rsidR="00D37922">
        <w:trPr>
          <w:trHeight w:val="2029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line="216" w:lineRule="auto"/>
              <w:ind w:right="300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termínu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ukončení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ind w:right="87"/>
              <w:rPr>
                <w:sz w:val="20"/>
              </w:rPr>
            </w:pPr>
            <w:r>
              <w:rPr>
                <w:sz w:val="20"/>
              </w:rPr>
              <w:t>Do 30 kalendářních dnů bez finanční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opravy, v případě prodlení trvajícího 31-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celkové částky podpory, prodlení 91-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180 kalendářních dnů finanční oprava 3%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celkové částky podpory, prodlení delší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</w:p>
        </w:tc>
      </w:tr>
      <w:tr w:rsidR="00D37922">
        <w:trPr>
          <w:trHeight w:val="323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</w:p>
          <w:p w:rsidR="00D37922" w:rsidRDefault="00992722">
            <w:pPr>
              <w:pStyle w:val="TableParagraph"/>
              <w:spacing w:before="0" w:line="253" w:lineRule="exact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line="216" w:lineRule="auto"/>
              <w:ind w:right="214" w:firstLine="0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termínu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předání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podkladů k závěrečnému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akce.</w:t>
            </w:r>
          </w:p>
          <w:p w:rsidR="00D37922" w:rsidRDefault="00992722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2" w:line="216" w:lineRule="auto"/>
              <w:ind w:right="185" w:firstLine="0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opravě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platbu.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216" w:lineRule="auto"/>
              <w:ind w:right="87" w:firstLine="0"/>
              <w:rPr>
                <w:sz w:val="20"/>
              </w:rPr>
            </w:pPr>
            <w:r>
              <w:rPr>
                <w:sz w:val="20"/>
              </w:rPr>
              <w:t>Do 30 kalendářních dnů bez finanční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opravy, v případě prodlení trvajícího 31-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 celkové částky podpory, prodlení 91-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z w:val="20"/>
              </w:rPr>
              <w:t xml:space="preserve"> kalendářních dnů finanční oprava 3%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celkové částky podpory, prodlení delší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</w:p>
          <w:p w:rsidR="00D37922" w:rsidRDefault="00992722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5" w:line="216" w:lineRule="auto"/>
              <w:ind w:right="85" w:firstLine="0"/>
              <w:rPr>
                <w:sz w:val="20"/>
              </w:rPr>
            </w:pPr>
            <w:r>
              <w:rPr>
                <w:sz w:val="20"/>
              </w:rPr>
              <w:t>lhůta k nápravě 30 dnů od vrácení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doplnění/opravě,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opravy; poté finanční oprava ve výši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0,25% z celkové částky podpory 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každých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započatých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kalendářních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dnů</w:t>
            </w:r>
          </w:p>
        </w:tc>
      </w:tr>
      <w:tr w:rsidR="00D37922">
        <w:trPr>
          <w:trHeight w:val="59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line="216" w:lineRule="auto"/>
              <w:ind w:right="86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Nezajištění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řádného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stavebního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dozoru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</w:p>
        </w:tc>
      </w:tr>
      <w:tr w:rsidR="00D37922">
        <w:trPr>
          <w:trHeight w:val="59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</w:p>
          <w:p w:rsidR="00D37922" w:rsidRDefault="00992722">
            <w:pPr>
              <w:pStyle w:val="TableParagraph"/>
              <w:spacing w:before="0" w:line="253" w:lineRule="exact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k)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line="216" w:lineRule="auto"/>
              <w:ind w:right="253"/>
              <w:rPr>
                <w:sz w:val="20"/>
              </w:rPr>
            </w:pPr>
            <w:r>
              <w:rPr>
                <w:sz w:val="20"/>
              </w:rPr>
              <w:t>Nevedení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účetnictví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0,1-25%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podpory.</w:t>
            </w:r>
          </w:p>
        </w:tc>
      </w:tr>
      <w:tr w:rsidR="00D37922">
        <w:trPr>
          <w:trHeight w:val="59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</w:p>
          <w:p w:rsidR="00D37922" w:rsidRDefault="00992722">
            <w:pPr>
              <w:pStyle w:val="TableParagraph"/>
              <w:spacing w:before="0" w:line="253" w:lineRule="exact"/>
              <w:rPr>
                <w:sz w:val="20"/>
              </w:rPr>
            </w:pPr>
            <w:r>
              <w:rPr>
                <w:sz w:val="20"/>
              </w:rPr>
              <w:t>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o)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line="216" w:lineRule="auto"/>
              <w:ind w:right="85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spojených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kontrolou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ind w:right="74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</w:p>
        </w:tc>
      </w:tr>
      <w:tr w:rsidR="00D37922">
        <w:trPr>
          <w:trHeight w:val="83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</w:p>
          <w:p w:rsidR="00D37922" w:rsidRDefault="00992722">
            <w:pPr>
              <w:pStyle w:val="TableParagraph"/>
              <w:spacing w:before="0" w:line="253" w:lineRule="exact"/>
              <w:rPr>
                <w:sz w:val="20"/>
              </w:rPr>
            </w:pPr>
            <w:r>
              <w:rPr>
                <w:sz w:val="20"/>
              </w:rPr>
              <w:t>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n)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spojených s uchováváním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dokumentů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0,1-25%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</w:p>
        </w:tc>
      </w:tr>
    </w:tbl>
    <w:p w:rsidR="00D37922" w:rsidRDefault="00D37922">
      <w:pPr>
        <w:spacing w:line="216" w:lineRule="auto"/>
        <w:rPr>
          <w:sz w:val="20"/>
        </w:rPr>
        <w:sectPr w:rsidR="00D37922">
          <w:headerReference w:type="default" r:id="rId7"/>
          <w:footerReference w:type="default" r:id="rId8"/>
          <w:type w:val="continuous"/>
          <w:pgSz w:w="11900" w:h="16840"/>
          <w:pgMar w:top="1960" w:right="1280" w:bottom="2040" w:left="1280" w:header="817" w:footer="1849" w:gutter="0"/>
          <w:pgNumType w:start="1"/>
          <w:cols w:space="708"/>
        </w:sectPr>
      </w:pPr>
    </w:p>
    <w:p w:rsidR="00D37922" w:rsidRDefault="00D37922">
      <w:pPr>
        <w:pStyle w:val="Zkladntext"/>
        <w:rPr>
          <w:sz w:val="20"/>
        </w:rPr>
      </w:pPr>
    </w:p>
    <w:p w:rsidR="00D37922" w:rsidRDefault="00D37922">
      <w:pPr>
        <w:pStyle w:val="Zkladntext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820"/>
        <w:gridCol w:w="3003"/>
        <w:gridCol w:w="3822"/>
      </w:tblGrid>
      <w:tr w:rsidR="00D37922">
        <w:trPr>
          <w:trHeight w:val="107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line="216" w:lineRule="auto"/>
              <w:ind w:right="86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p)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předkládat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Fondu průběžné a závěrečné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monitorovací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zprávy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Do 30 dnů bez finanční opravy, dále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finanční oprava 0,1% z celkové částky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podpory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každou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zprávu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edodanou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termínu</w:t>
            </w:r>
          </w:p>
        </w:tc>
      </w:tr>
      <w:tr w:rsidR="00D37922">
        <w:trPr>
          <w:trHeight w:val="107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before="19" w:line="253" w:lineRule="exact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</w:p>
          <w:p w:rsidR="00D37922" w:rsidRDefault="00992722">
            <w:pPr>
              <w:pStyle w:val="TableParagraph"/>
              <w:spacing w:before="0" w:line="253" w:lineRule="exact"/>
              <w:rPr>
                <w:sz w:val="20"/>
              </w:rPr>
            </w:pPr>
            <w:r>
              <w:rPr>
                <w:sz w:val="20"/>
              </w:rPr>
              <w:t>q)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r)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ind w:right="138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0,1-25%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podpory s výjimkou informace o rozsahu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(vícepráce),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postiženo</w:t>
            </w:r>
          </w:p>
          <w:p w:rsidR="00D37922" w:rsidRDefault="00992722">
            <w:pPr>
              <w:pStyle w:val="TableParagraph"/>
              <w:spacing w:before="0" w:line="246" w:lineRule="exact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VIII.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</w:tr>
      <w:tr w:rsidR="00D37922">
        <w:trPr>
          <w:trHeight w:val="155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line="216" w:lineRule="auto"/>
              <w:ind w:right="86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v)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line="216" w:lineRule="auto"/>
              <w:ind w:right="85"/>
              <w:rPr>
                <w:sz w:val="20"/>
              </w:rPr>
            </w:pPr>
            <w:r>
              <w:rPr>
                <w:sz w:val="20"/>
              </w:rPr>
              <w:t>Nesplnění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souvisejících s propagací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ind w:right="74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0,1-1,2%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celkové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částky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podpory ke dni udělení sankce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Metodického pokynu pro publicitu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komunikaci Evropských strukturálních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investičních fondů v programovém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období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</w:tr>
      <w:tr w:rsidR="00D37922">
        <w:trPr>
          <w:trHeight w:val="830"/>
        </w:trPr>
        <w:tc>
          <w:tcPr>
            <w:tcW w:w="455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820" w:type="dxa"/>
          </w:tcPr>
          <w:p w:rsidR="00D37922" w:rsidRDefault="00992722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Čl.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</w:tc>
        <w:tc>
          <w:tcPr>
            <w:tcW w:w="3003" w:type="dxa"/>
          </w:tcPr>
          <w:p w:rsidR="00D37922" w:rsidRDefault="00992722">
            <w:pPr>
              <w:pStyle w:val="TableParagraph"/>
              <w:spacing w:line="216" w:lineRule="auto"/>
              <w:ind w:right="358"/>
              <w:jc w:val="both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povinnosti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zachovat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bankovní účet, trvalý příkaz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souhlas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inkasem</w:t>
            </w:r>
          </w:p>
        </w:tc>
        <w:tc>
          <w:tcPr>
            <w:tcW w:w="3822" w:type="dxa"/>
          </w:tcPr>
          <w:p w:rsidR="00D37922" w:rsidRDefault="00992722">
            <w:pPr>
              <w:pStyle w:val="TableParagraph"/>
              <w:spacing w:line="216" w:lineRule="auto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oprava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000,-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</w:tc>
      </w:tr>
    </w:tbl>
    <w:p w:rsidR="00992722" w:rsidRDefault="00992722"/>
    <w:sectPr w:rsidR="00992722">
      <w:pgSz w:w="11900" w:h="16840"/>
      <w:pgMar w:top="1960" w:right="1280" w:bottom="2040" w:left="1280" w:header="817" w:footer="1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722" w:rsidRDefault="00992722">
      <w:r>
        <w:separator/>
      </w:r>
    </w:p>
  </w:endnote>
  <w:endnote w:type="continuationSeparator" w:id="0">
    <w:p w:rsidR="00992722" w:rsidRDefault="0099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22" w:rsidRDefault="00143828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864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9379585</wp:posOffset>
              </wp:positionV>
              <wp:extent cx="5799455" cy="40449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945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22" w:rsidRDefault="00992722">
                          <w:pPr>
                            <w:pStyle w:val="Zkladntext"/>
                            <w:spacing w:before="20" w:line="202" w:lineRule="exact"/>
                            <w:ind w:left="20"/>
                          </w:pPr>
                          <w:r>
                            <w:rPr>
                              <w:color w:val="666666"/>
                            </w:rPr>
                            <w:t>Státní</w:t>
                          </w:r>
                          <w:r>
                            <w:rPr>
                              <w:color w:val="6666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fond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životního</w:t>
                          </w:r>
                          <w:r>
                            <w:rPr>
                              <w:color w:val="6666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prostředí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ČR,</w:t>
                          </w:r>
                          <w:r>
                            <w:rPr>
                              <w:color w:val="6666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sídlo: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Kaplanova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1931/1,</w:t>
                          </w:r>
                          <w:r>
                            <w:rPr>
                              <w:color w:val="6666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148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00</w:t>
                          </w:r>
                          <w:r>
                            <w:rPr>
                              <w:color w:val="666666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Praha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11</w:t>
                          </w:r>
                        </w:p>
                        <w:p w:rsidR="00D37922" w:rsidRDefault="00992722">
                          <w:pPr>
                            <w:pStyle w:val="Zkladntext"/>
                            <w:spacing w:before="7" w:line="216" w:lineRule="auto"/>
                            <w:ind w:left="20"/>
                          </w:pPr>
                          <w:r>
                            <w:rPr>
                              <w:color w:val="666666"/>
                            </w:rPr>
                            <w:t>Korespondenční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a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kontaktní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adresa: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Olbrachtova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2006/9,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140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00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Praha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4,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T: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+420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267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994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300,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F: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+420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272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936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585,</w:t>
                          </w:r>
                          <w:r>
                            <w:rPr>
                              <w:color w:val="666666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IČ:</w:t>
                          </w:r>
                          <w:r>
                            <w:rPr>
                              <w:color w:val="666666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</w:rPr>
                            <w:t>00020729</w:t>
                          </w:r>
                          <w:r>
                            <w:rPr>
                              <w:color w:val="666666"/>
                              <w:spacing w:val="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666666"/>
                              </w:rPr>
                              <w:t>www.sfzp.cz,</w:t>
                            </w:r>
                            <w:r>
                              <w:rPr>
                                <w:color w:val="666666"/>
                                <w:spacing w:val="-2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color w:val="666666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in;margin-top:738.55pt;width:456.65pt;height:31.8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" filled="f" stroked="f">
              <v:textbox inset="0,0,0,0">
                <w:txbxContent>
                  <w:p w:rsidR="00D37922" w:rsidRDefault="00992722">
                    <w:pPr>
                      <w:pStyle w:val="Zkladntext"/>
                      <w:spacing w:before="20" w:line="202" w:lineRule="exact"/>
                      <w:ind w:left="20"/>
                    </w:pPr>
                    <w:r>
                      <w:rPr>
                        <w:color w:val="666666"/>
                      </w:rPr>
                      <w:t>Státní</w:t>
                    </w:r>
                    <w:r>
                      <w:rPr>
                        <w:color w:val="666666"/>
                        <w:spacing w:val="-6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fond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životního</w:t>
                    </w:r>
                    <w:r>
                      <w:rPr>
                        <w:color w:val="666666"/>
                        <w:spacing w:val="-6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prostředí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ČR,</w:t>
                    </w:r>
                    <w:r>
                      <w:rPr>
                        <w:color w:val="666666"/>
                        <w:spacing w:val="-6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sídlo: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Kaplanova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1931/1,</w:t>
                    </w:r>
                    <w:r>
                      <w:rPr>
                        <w:color w:val="666666"/>
                        <w:spacing w:val="-6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148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00</w:t>
                    </w:r>
                    <w:r>
                      <w:rPr>
                        <w:color w:val="666666"/>
                        <w:spacing w:val="-6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Praha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11</w:t>
                    </w:r>
                  </w:p>
                  <w:p w:rsidR="00D37922" w:rsidRDefault="00992722">
                    <w:pPr>
                      <w:pStyle w:val="Zkladntext"/>
                      <w:spacing w:before="7" w:line="216" w:lineRule="auto"/>
                      <w:ind w:left="20"/>
                    </w:pPr>
                    <w:r>
                      <w:rPr>
                        <w:color w:val="666666"/>
                      </w:rPr>
                      <w:t>Korespondenční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a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kontaktní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adresa: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Olbrachtova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2006/9,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140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00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Praha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4,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T: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+420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267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994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300,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F: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+420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272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936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585,</w:t>
                    </w:r>
                    <w:r>
                      <w:rPr>
                        <w:color w:val="666666"/>
                        <w:spacing w:val="-5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IČ:</w:t>
                    </w:r>
                    <w:r>
                      <w:rPr>
                        <w:color w:val="666666"/>
                        <w:spacing w:val="-4"/>
                      </w:rPr>
                      <w:t xml:space="preserve"> </w:t>
                    </w:r>
                    <w:r>
                      <w:rPr>
                        <w:color w:val="666666"/>
                      </w:rPr>
                      <w:t>00020729</w:t>
                    </w:r>
                    <w:r>
                      <w:rPr>
                        <w:color w:val="666666"/>
                        <w:spacing w:val="1"/>
                      </w:rPr>
                      <w:t xml:space="preserve"> </w:t>
                    </w:r>
                    <w:hyperlink r:id="rId3">
                      <w:r>
                        <w:rPr>
                          <w:color w:val="666666"/>
                        </w:rPr>
                        <w:t>www.sfzp.cz,</w:t>
                      </w:r>
                      <w:r>
                        <w:rPr>
                          <w:color w:val="666666"/>
                          <w:spacing w:val="-2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color w:val="666666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86976" behindDoc="1" locked="0" layoutInCell="1" allowOverlap="1">
              <wp:simplePos x="0" y="0"/>
              <wp:positionH relativeFrom="page">
                <wp:posOffset>6854190</wp:posOffset>
              </wp:positionH>
              <wp:positionV relativeFrom="page">
                <wp:posOffset>9821545</wp:posOffset>
              </wp:positionV>
              <wp:extent cx="144145" cy="16065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922" w:rsidRDefault="00992722">
                          <w:pPr>
                            <w:pStyle w:val="Zkladn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66666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3828">
                            <w:rPr>
                              <w:noProof/>
                              <w:color w:val="66666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539.7pt;margin-top:773.35pt;width:11.35pt;height:12.6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" filled="f" stroked="f">
              <v:textbox inset="0,0,0,0">
                <w:txbxContent>
                  <w:p w:rsidR="00D37922" w:rsidRDefault="00992722">
                    <w:pPr>
                      <w:pStyle w:val="Zkladn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66666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3828">
                      <w:rPr>
                        <w:noProof/>
                        <w:color w:val="66666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722" w:rsidRDefault="00992722">
      <w:r>
        <w:separator/>
      </w:r>
    </w:p>
  </w:footnote>
  <w:footnote w:type="continuationSeparator" w:id="0">
    <w:p w:rsidR="00992722" w:rsidRDefault="0099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922" w:rsidRDefault="00992722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85952" behindDoc="1" locked="0" layoutInCell="1" allowOverlap="1">
          <wp:simplePos x="0" y="0"/>
          <wp:positionH relativeFrom="page">
            <wp:posOffset>730753</wp:posOffset>
          </wp:positionH>
          <wp:positionV relativeFrom="page">
            <wp:posOffset>518922</wp:posOffset>
          </wp:positionV>
          <wp:extent cx="2505058" cy="72567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5058" cy="725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45CE"/>
    <w:multiLevelType w:val="hybridMultilevel"/>
    <w:tmpl w:val="4140B7BE"/>
    <w:lvl w:ilvl="0" w:tplc="A38E0E92">
      <w:start w:val="1"/>
      <w:numFmt w:val="lowerLetter"/>
      <w:lvlText w:val="%1)"/>
      <w:lvlJc w:val="left"/>
      <w:pPr>
        <w:ind w:left="60" w:hanging="21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32902768">
      <w:numFmt w:val="bullet"/>
      <w:lvlText w:val="•"/>
      <w:lvlJc w:val="left"/>
      <w:pPr>
        <w:ind w:left="353" w:hanging="217"/>
      </w:pPr>
      <w:rPr>
        <w:rFonts w:hint="default"/>
        <w:lang w:val="cs-CZ" w:eastAsia="en-US" w:bidi="ar-SA"/>
      </w:rPr>
    </w:lvl>
    <w:lvl w:ilvl="2" w:tplc="439892E6">
      <w:numFmt w:val="bullet"/>
      <w:lvlText w:val="•"/>
      <w:lvlJc w:val="left"/>
      <w:pPr>
        <w:ind w:left="646" w:hanging="217"/>
      </w:pPr>
      <w:rPr>
        <w:rFonts w:hint="default"/>
        <w:lang w:val="cs-CZ" w:eastAsia="en-US" w:bidi="ar-SA"/>
      </w:rPr>
    </w:lvl>
    <w:lvl w:ilvl="3" w:tplc="F3A6C06C">
      <w:numFmt w:val="bullet"/>
      <w:lvlText w:val="•"/>
      <w:lvlJc w:val="left"/>
      <w:pPr>
        <w:ind w:left="939" w:hanging="217"/>
      </w:pPr>
      <w:rPr>
        <w:rFonts w:hint="default"/>
        <w:lang w:val="cs-CZ" w:eastAsia="en-US" w:bidi="ar-SA"/>
      </w:rPr>
    </w:lvl>
    <w:lvl w:ilvl="4" w:tplc="8C505E54">
      <w:numFmt w:val="bullet"/>
      <w:lvlText w:val="•"/>
      <w:lvlJc w:val="left"/>
      <w:pPr>
        <w:ind w:left="1233" w:hanging="217"/>
      </w:pPr>
      <w:rPr>
        <w:rFonts w:hint="default"/>
        <w:lang w:val="cs-CZ" w:eastAsia="en-US" w:bidi="ar-SA"/>
      </w:rPr>
    </w:lvl>
    <w:lvl w:ilvl="5" w:tplc="3E64E086">
      <w:numFmt w:val="bullet"/>
      <w:lvlText w:val="•"/>
      <w:lvlJc w:val="left"/>
      <w:pPr>
        <w:ind w:left="1526" w:hanging="217"/>
      </w:pPr>
      <w:rPr>
        <w:rFonts w:hint="default"/>
        <w:lang w:val="cs-CZ" w:eastAsia="en-US" w:bidi="ar-SA"/>
      </w:rPr>
    </w:lvl>
    <w:lvl w:ilvl="6" w:tplc="2054BC0E">
      <w:numFmt w:val="bullet"/>
      <w:lvlText w:val="•"/>
      <w:lvlJc w:val="left"/>
      <w:pPr>
        <w:ind w:left="1819" w:hanging="217"/>
      </w:pPr>
      <w:rPr>
        <w:rFonts w:hint="default"/>
        <w:lang w:val="cs-CZ" w:eastAsia="en-US" w:bidi="ar-SA"/>
      </w:rPr>
    </w:lvl>
    <w:lvl w:ilvl="7" w:tplc="0E4E2AAE">
      <w:numFmt w:val="bullet"/>
      <w:lvlText w:val="•"/>
      <w:lvlJc w:val="left"/>
      <w:pPr>
        <w:ind w:left="2113" w:hanging="217"/>
      </w:pPr>
      <w:rPr>
        <w:rFonts w:hint="default"/>
        <w:lang w:val="cs-CZ" w:eastAsia="en-US" w:bidi="ar-SA"/>
      </w:rPr>
    </w:lvl>
    <w:lvl w:ilvl="8" w:tplc="E408BF7A">
      <w:numFmt w:val="bullet"/>
      <w:lvlText w:val="•"/>
      <w:lvlJc w:val="left"/>
      <w:pPr>
        <w:ind w:left="2406" w:hanging="217"/>
      </w:pPr>
      <w:rPr>
        <w:rFonts w:hint="default"/>
        <w:lang w:val="cs-CZ" w:eastAsia="en-US" w:bidi="ar-SA"/>
      </w:rPr>
    </w:lvl>
  </w:abstractNum>
  <w:abstractNum w:abstractNumId="1" w15:restartNumberingAfterBreak="0">
    <w:nsid w:val="7E2C3D7C"/>
    <w:multiLevelType w:val="hybridMultilevel"/>
    <w:tmpl w:val="057A9272"/>
    <w:lvl w:ilvl="0" w:tplc="B5062BF4">
      <w:start w:val="1"/>
      <w:numFmt w:val="lowerLetter"/>
      <w:lvlText w:val="%1)"/>
      <w:lvlJc w:val="left"/>
      <w:pPr>
        <w:ind w:left="60" w:hanging="21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96DAAAE0">
      <w:numFmt w:val="bullet"/>
      <w:lvlText w:val="•"/>
      <w:lvlJc w:val="left"/>
      <w:pPr>
        <w:ind w:left="435" w:hanging="217"/>
      </w:pPr>
      <w:rPr>
        <w:rFonts w:hint="default"/>
        <w:lang w:val="cs-CZ" w:eastAsia="en-US" w:bidi="ar-SA"/>
      </w:rPr>
    </w:lvl>
    <w:lvl w:ilvl="2" w:tplc="E4146CCA">
      <w:numFmt w:val="bullet"/>
      <w:lvlText w:val="•"/>
      <w:lvlJc w:val="left"/>
      <w:pPr>
        <w:ind w:left="810" w:hanging="217"/>
      </w:pPr>
      <w:rPr>
        <w:rFonts w:hint="default"/>
        <w:lang w:val="cs-CZ" w:eastAsia="en-US" w:bidi="ar-SA"/>
      </w:rPr>
    </w:lvl>
    <w:lvl w:ilvl="3" w:tplc="E8162A40">
      <w:numFmt w:val="bullet"/>
      <w:lvlText w:val="•"/>
      <w:lvlJc w:val="left"/>
      <w:pPr>
        <w:ind w:left="1185" w:hanging="217"/>
      </w:pPr>
      <w:rPr>
        <w:rFonts w:hint="default"/>
        <w:lang w:val="cs-CZ" w:eastAsia="en-US" w:bidi="ar-SA"/>
      </w:rPr>
    </w:lvl>
    <w:lvl w:ilvl="4" w:tplc="250EE2A6">
      <w:numFmt w:val="bullet"/>
      <w:lvlText w:val="•"/>
      <w:lvlJc w:val="left"/>
      <w:pPr>
        <w:ind w:left="1560" w:hanging="217"/>
      </w:pPr>
      <w:rPr>
        <w:rFonts w:hint="default"/>
        <w:lang w:val="cs-CZ" w:eastAsia="en-US" w:bidi="ar-SA"/>
      </w:rPr>
    </w:lvl>
    <w:lvl w:ilvl="5" w:tplc="7EDAFC46">
      <w:numFmt w:val="bullet"/>
      <w:lvlText w:val="•"/>
      <w:lvlJc w:val="left"/>
      <w:pPr>
        <w:ind w:left="1936" w:hanging="217"/>
      </w:pPr>
      <w:rPr>
        <w:rFonts w:hint="default"/>
        <w:lang w:val="cs-CZ" w:eastAsia="en-US" w:bidi="ar-SA"/>
      </w:rPr>
    </w:lvl>
    <w:lvl w:ilvl="6" w:tplc="C4709088">
      <w:numFmt w:val="bullet"/>
      <w:lvlText w:val="•"/>
      <w:lvlJc w:val="left"/>
      <w:pPr>
        <w:ind w:left="2311" w:hanging="217"/>
      </w:pPr>
      <w:rPr>
        <w:rFonts w:hint="default"/>
        <w:lang w:val="cs-CZ" w:eastAsia="en-US" w:bidi="ar-SA"/>
      </w:rPr>
    </w:lvl>
    <w:lvl w:ilvl="7" w:tplc="20CA705C">
      <w:numFmt w:val="bullet"/>
      <w:lvlText w:val="•"/>
      <w:lvlJc w:val="left"/>
      <w:pPr>
        <w:ind w:left="2686" w:hanging="217"/>
      </w:pPr>
      <w:rPr>
        <w:rFonts w:hint="default"/>
        <w:lang w:val="cs-CZ" w:eastAsia="en-US" w:bidi="ar-SA"/>
      </w:rPr>
    </w:lvl>
    <w:lvl w:ilvl="8" w:tplc="159EC5F0">
      <w:numFmt w:val="bullet"/>
      <w:lvlText w:val="•"/>
      <w:lvlJc w:val="left"/>
      <w:pPr>
        <w:ind w:left="3061" w:hanging="217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22"/>
    <w:rsid w:val="00143828"/>
    <w:rsid w:val="00992722"/>
    <w:rsid w:val="00D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96A23B-20CD-4D27-843B-41C893D7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before="283"/>
      <w:ind w:left="180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0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fzp.cz/" TargetMode="External"/><Relationship Id="rId2" Type="http://schemas.openxmlformats.org/officeDocument/2006/relationships/hyperlink" Target="mailto:dotazy@sfzp.cz" TargetMode="External"/><Relationship Id="rId1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2023-06-30T10:49:00Z</dcterms:created>
  <dcterms:modified xsi:type="dcterms:W3CDTF">2023-06-30T10:49:00Z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2023-06-30T00:00:00Z</vt:filetime>
  </property>
</Properties>
</file>