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w:t>
      </w:r>
      <w:r w:rsidRPr="00AB1030">
        <w:rPr>
          <w:rFonts w:cs="Arial"/>
          <w:b/>
          <w:sz w:val="28"/>
          <w:szCs w:val="28"/>
        </w:rPr>
        <w:t xml:space="preserve">II   </w:t>
      </w:r>
      <w:r w:rsidR="00AB1030">
        <w:rPr>
          <w:rFonts w:cs="Arial"/>
          <w:b/>
          <w:sz w:val="28"/>
          <w:szCs w:val="28"/>
        </w:rPr>
        <w:br/>
      </w:r>
      <w:r w:rsidRPr="00AB1030">
        <w:rPr>
          <w:rFonts w:cs="Arial"/>
          <w:b/>
          <w:sz w:val="28"/>
          <w:szCs w:val="28"/>
        </w:rPr>
        <w:t xml:space="preserve">č. </w:t>
      </w:r>
      <w:r w:rsidR="00AF54CC">
        <w:rPr>
          <w:rFonts w:cs="Arial"/>
          <w:b/>
          <w:sz w:val="28"/>
          <w:szCs w:val="28"/>
        </w:rPr>
        <w:t>OLA-MN-111</w:t>
      </w:r>
      <w:r w:rsidR="00AB1030" w:rsidRPr="00AB1030">
        <w:rPr>
          <w:rFonts w:cs="Arial"/>
          <w:b/>
          <w:sz w:val="28"/>
          <w:szCs w:val="28"/>
        </w:rPr>
        <w:t>/2017</w:t>
      </w:r>
      <w:r w:rsidRPr="00AB1030">
        <w:rPr>
          <w:rFonts w:cs="Arial"/>
          <w:b/>
          <w:sz w:val="28"/>
          <w:szCs w:val="28"/>
        </w:rPr>
        <w:t xml:space="preserve"> /</w:t>
      </w:r>
      <w:r>
        <w:rPr>
          <w:rFonts w:cs="Arial"/>
          <w:b/>
          <w:sz w:val="28"/>
          <w:szCs w:val="28"/>
        </w:rPr>
        <w:t xml:space="preserve">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AB1030" w:rsidRPr="00323BCE" w:rsidRDefault="00AB1030" w:rsidP="00AB1030">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AB1030" w:rsidRDefault="00AB1030" w:rsidP="00AB1030">
      <w:pPr>
        <w:tabs>
          <w:tab w:val="left" w:pos="2977"/>
        </w:tabs>
        <w:ind w:left="2977" w:hanging="2977"/>
      </w:pPr>
      <w:r w:rsidRPr="004521C7">
        <w:rPr>
          <w:rFonts w:cs="Arial"/>
          <w:szCs w:val="20"/>
        </w:rPr>
        <w:t>zastupující osoba:</w:t>
      </w:r>
      <w:r w:rsidRPr="004521C7">
        <w:rPr>
          <w:rFonts w:cs="Arial"/>
          <w:szCs w:val="20"/>
        </w:rPr>
        <w:tab/>
      </w:r>
      <w:r w:rsidRPr="00AD6D3A">
        <w:t xml:space="preserve">Ing. </w:t>
      </w:r>
      <w:r>
        <w:rPr>
          <w:szCs w:val="20"/>
        </w:rPr>
        <w:t>Bořivoj Novotný</w:t>
      </w:r>
      <w:r w:rsidRPr="004521C7">
        <w:rPr>
          <w:rFonts w:cs="Arial"/>
          <w:szCs w:val="20"/>
        </w:rPr>
        <w:t xml:space="preserve">, </w:t>
      </w:r>
      <w:r w:rsidRPr="00AD6D3A">
        <w:t>ředitel Odboru</w:t>
      </w:r>
      <w:r>
        <w:rPr>
          <w:szCs w:val="20"/>
        </w:rPr>
        <w:t xml:space="preserve"> zaměstnanosti Krajské pobočky v Olomouci</w:t>
      </w:r>
    </w:p>
    <w:p w:rsidR="00AB1030" w:rsidRPr="004521C7" w:rsidRDefault="00AB1030" w:rsidP="00AB1030">
      <w:pPr>
        <w:tabs>
          <w:tab w:val="left" w:pos="2977"/>
        </w:tabs>
        <w:ind w:left="2977" w:hanging="2977"/>
        <w:rPr>
          <w:rFonts w:cs="Arial"/>
          <w:szCs w:val="20"/>
        </w:rPr>
      </w:pPr>
      <w:r w:rsidRPr="004521C7">
        <w:rPr>
          <w:rFonts w:cs="Arial"/>
          <w:szCs w:val="20"/>
        </w:rPr>
        <w:t>sídlo:</w:t>
      </w:r>
      <w:r w:rsidRPr="004521C7">
        <w:rPr>
          <w:rFonts w:cs="Arial"/>
          <w:szCs w:val="20"/>
        </w:rPr>
        <w:tab/>
      </w:r>
      <w:r w:rsidRPr="00AD6D3A">
        <w:t>Dobrovského 1278</w:t>
      </w:r>
      <w:r>
        <w:rPr>
          <w:szCs w:val="20"/>
        </w:rPr>
        <w:t>/25, 170 00 Praha 7</w:t>
      </w:r>
    </w:p>
    <w:p w:rsidR="00AB1030" w:rsidRDefault="00AB1030" w:rsidP="00AB1030">
      <w:pPr>
        <w:tabs>
          <w:tab w:val="left" w:pos="2977"/>
        </w:tabs>
        <w:ind w:left="2977" w:hanging="2977"/>
      </w:pPr>
      <w:r>
        <w:rPr>
          <w:rFonts w:cs="Arial"/>
          <w:szCs w:val="20"/>
        </w:rPr>
        <w:t>IČO</w:t>
      </w:r>
      <w:r w:rsidRPr="004521C7">
        <w:rPr>
          <w:rFonts w:cs="Arial"/>
          <w:szCs w:val="20"/>
        </w:rPr>
        <w:t>:</w:t>
      </w:r>
      <w:r w:rsidRPr="004521C7">
        <w:rPr>
          <w:rFonts w:cs="Arial"/>
          <w:szCs w:val="20"/>
        </w:rPr>
        <w:tab/>
      </w:r>
      <w:r w:rsidRPr="00AD6D3A">
        <w:t>72496991</w:t>
      </w:r>
    </w:p>
    <w:p w:rsidR="00AB1030" w:rsidRPr="00237097" w:rsidRDefault="00AB1030" w:rsidP="00AB1030">
      <w:pPr>
        <w:tabs>
          <w:tab w:val="left" w:pos="2977"/>
        </w:tabs>
        <w:ind w:left="2977" w:hanging="2977"/>
        <w:rPr>
          <w:rFonts w:cs="Arial"/>
          <w:szCs w:val="20"/>
        </w:rPr>
      </w:pPr>
      <w:r>
        <w:rPr>
          <w:rFonts w:cs="Arial"/>
          <w:szCs w:val="20"/>
        </w:rPr>
        <w:t>adresa pro doručování:</w:t>
      </w:r>
      <w:r>
        <w:rPr>
          <w:rFonts w:cs="Arial"/>
          <w:szCs w:val="20"/>
        </w:rPr>
        <w:tab/>
      </w:r>
      <w:r w:rsidRPr="00AD6D3A">
        <w:t>Úřad práce</w:t>
      </w:r>
      <w:r>
        <w:rPr>
          <w:szCs w:val="20"/>
        </w:rPr>
        <w:t xml:space="preserve"> ČR – Krajská pobočka Olomouc, </w:t>
      </w:r>
      <w:proofErr w:type="spellStart"/>
      <w:r>
        <w:rPr>
          <w:szCs w:val="20"/>
        </w:rPr>
        <w:t>Vejdovského</w:t>
      </w:r>
      <w:proofErr w:type="spellEnd"/>
      <w:r>
        <w:rPr>
          <w:szCs w:val="20"/>
        </w:rPr>
        <w:t xml:space="preserve"> </w:t>
      </w:r>
      <w:r>
        <w:rPr>
          <w:szCs w:val="20"/>
        </w:rPr>
        <w:br/>
        <w:t>č.p. 988/4, Hodolany, 779 00 Olomouc 9</w:t>
      </w:r>
      <w:r>
        <w:rPr>
          <w:rFonts w:cs="Arial"/>
          <w:szCs w:val="20"/>
        </w:rPr>
        <w:t xml:space="preserve"> </w:t>
      </w:r>
    </w:p>
    <w:p w:rsidR="00AB1030" w:rsidRPr="004521C7" w:rsidRDefault="00AB1030" w:rsidP="00AB103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0617B">
        <w:t>xxxxxxxxxxxxxx</w:t>
      </w:r>
      <w:proofErr w:type="spellEnd"/>
    </w:p>
    <w:p w:rsidR="00AB1030" w:rsidRPr="00237097" w:rsidRDefault="00AB1030" w:rsidP="00AB1030">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AB1030" w:rsidRDefault="00AB1030" w:rsidP="00AB1030">
      <w:pPr>
        <w:tabs>
          <w:tab w:val="left" w:pos="2520"/>
        </w:tabs>
        <w:ind w:left="2520" w:hanging="2520"/>
        <w:rPr>
          <w:rFonts w:cs="Arial"/>
          <w:szCs w:val="20"/>
        </w:rPr>
      </w:pPr>
    </w:p>
    <w:p w:rsidR="00AB1030" w:rsidRDefault="00AB1030" w:rsidP="00AB1030">
      <w:pPr>
        <w:tabs>
          <w:tab w:val="left" w:pos="2520"/>
        </w:tabs>
        <w:ind w:left="2520" w:hanging="2520"/>
        <w:rPr>
          <w:rFonts w:cs="Arial"/>
          <w:szCs w:val="20"/>
        </w:rPr>
      </w:pPr>
    </w:p>
    <w:p w:rsidR="00AB1030" w:rsidRDefault="00AB1030" w:rsidP="00AB1030">
      <w:pPr>
        <w:tabs>
          <w:tab w:val="left" w:pos="2520"/>
        </w:tabs>
        <w:ind w:left="2520" w:hanging="2520"/>
        <w:rPr>
          <w:rFonts w:cs="Arial"/>
          <w:szCs w:val="20"/>
        </w:rPr>
      </w:pPr>
      <w:r>
        <w:rPr>
          <w:rFonts w:cs="Arial"/>
          <w:szCs w:val="20"/>
        </w:rPr>
        <w:t>a</w:t>
      </w:r>
    </w:p>
    <w:p w:rsidR="00AB1030" w:rsidRDefault="00AB1030" w:rsidP="00AB1030">
      <w:pPr>
        <w:tabs>
          <w:tab w:val="left" w:pos="2520"/>
        </w:tabs>
        <w:ind w:left="2520" w:hanging="2520"/>
        <w:rPr>
          <w:rFonts w:cs="Arial"/>
          <w:szCs w:val="20"/>
        </w:rPr>
      </w:pPr>
    </w:p>
    <w:p w:rsidR="00AB1030" w:rsidRPr="004521C7" w:rsidRDefault="00AB1030" w:rsidP="00AB1030">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bookmarkStart w:id="0" w:name="_GoBack"/>
      <w:r w:rsidRPr="00E038C1">
        <w:t>UNEX Slévárna</w:t>
      </w:r>
      <w:r>
        <w:rPr>
          <w:szCs w:val="20"/>
        </w:rPr>
        <w:t>, s.r.o.</w:t>
      </w:r>
      <w:bookmarkEnd w:id="0"/>
    </w:p>
    <w:p w:rsidR="00AB1030" w:rsidRPr="004521C7" w:rsidRDefault="00AB1030" w:rsidP="00AB103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Rudolf Citrjak, jednatel – zastoupený na základě plné moci </w:t>
      </w:r>
      <w:r>
        <w:rPr>
          <w:rFonts w:cs="Arial"/>
          <w:noProof/>
          <w:szCs w:val="20"/>
        </w:rPr>
        <w:br/>
        <w:t>Ing. Hanou Bartošovou</w:t>
      </w:r>
    </w:p>
    <w:p w:rsidR="00AB1030" w:rsidRPr="004521C7" w:rsidRDefault="00AB1030" w:rsidP="00AB103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E038C1">
        <w:t>Brníčko č</w:t>
      </w:r>
      <w:r>
        <w:rPr>
          <w:szCs w:val="20"/>
        </w:rPr>
        <w:t>.p. 1032, 783 91 Uničov 1</w:t>
      </w:r>
    </w:p>
    <w:p w:rsidR="00AB1030" w:rsidRDefault="00AB1030" w:rsidP="00AB1030">
      <w:pPr>
        <w:tabs>
          <w:tab w:val="left" w:pos="2977"/>
        </w:tabs>
        <w:ind w:left="2977" w:hanging="2977"/>
      </w:pPr>
      <w:r>
        <w:rPr>
          <w:rFonts w:cs="Arial"/>
          <w:szCs w:val="20"/>
        </w:rPr>
        <w:t>IČO</w:t>
      </w:r>
      <w:r w:rsidRPr="004521C7">
        <w:rPr>
          <w:rFonts w:cs="Arial"/>
          <w:szCs w:val="20"/>
        </w:rPr>
        <w:t>:</w:t>
      </w:r>
      <w:r w:rsidRPr="004521C7">
        <w:rPr>
          <w:rFonts w:cs="Arial"/>
          <w:szCs w:val="20"/>
        </w:rPr>
        <w:tab/>
      </w:r>
      <w:r w:rsidRPr="00E038C1">
        <w:t>26823861</w:t>
      </w:r>
    </w:p>
    <w:p w:rsidR="00AB1030" w:rsidRPr="004521C7" w:rsidRDefault="00AB1030" w:rsidP="00AB1030">
      <w:pPr>
        <w:tabs>
          <w:tab w:val="left" w:pos="2977"/>
        </w:tabs>
        <w:ind w:left="2977" w:hanging="2977"/>
        <w:rPr>
          <w:rFonts w:cs="Arial"/>
          <w:szCs w:val="20"/>
        </w:rPr>
      </w:pPr>
      <w:r w:rsidRPr="00E038C1">
        <w:rPr>
          <w:rFonts w:cs="Arial"/>
          <w:noProof/>
          <w:szCs w:val="20"/>
        </w:rPr>
        <w:t>adresa provozovny:</w:t>
      </w:r>
      <w:r w:rsidRPr="004521C7">
        <w:rPr>
          <w:rFonts w:cs="Arial"/>
          <w:szCs w:val="20"/>
        </w:rPr>
        <w:tab/>
      </w:r>
      <w:r w:rsidRPr="00E038C1">
        <w:t>Brníčko č</w:t>
      </w:r>
      <w:r>
        <w:rPr>
          <w:szCs w:val="20"/>
        </w:rPr>
        <w:t>.p. 1032, 783 91 Uničov 1</w:t>
      </w:r>
    </w:p>
    <w:p w:rsidR="00AB1030" w:rsidRPr="004521C7" w:rsidRDefault="00AB1030" w:rsidP="00AB103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0617B">
        <w:t>xxxxxxxxxxxxxx</w:t>
      </w:r>
      <w:proofErr w:type="spellEnd"/>
    </w:p>
    <w:p w:rsidR="00AB1030" w:rsidRDefault="00AB1030" w:rsidP="00AB1030">
      <w:pPr>
        <w:tabs>
          <w:tab w:val="left" w:pos="2520"/>
        </w:tabs>
        <w:ind w:left="2520" w:hanging="2520"/>
        <w:rPr>
          <w:rFonts w:cs="Arial"/>
          <w:szCs w:val="20"/>
        </w:rPr>
      </w:pPr>
      <w:r>
        <w:rPr>
          <w:rFonts w:cs="Arial"/>
          <w:szCs w:val="20"/>
        </w:rPr>
        <w:tab/>
      </w:r>
    </w:p>
    <w:p w:rsidR="00AB1030" w:rsidRDefault="00AB1030" w:rsidP="00AB1030">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w:t>
      </w:r>
      <w:r>
        <w:lastRenderedPageBreak/>
        <w:t>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Default="004C205C">
      <w:pPr>
        <w:pStyle w:val="BoddohodyIII"/>
        <w:numPr>
          <w:ilvl w:val="0"/>
          <w:numId w:val="0"/>
        </w:numPr>
        <w:ind w:left="720" w:hanging="720"/>
        <w:rPr>
          <w:i/>
        </w:rPr>
      </w:pPr>
      <w:r>
        <w:br/>
      </w:r>
      <w:r w:rsidR="00AB1030">
        <w:rPr>
          <w:i/>
        </w:rPr>
        <w:t>Slévárenský</w:t>
      </w:r>
      <w:r w:rsidR="00AF54CC">
        <w:rPr>
          <w:i/>
        </w:rPr>
        <w:t xml:space="preserve"> dělník II – železné kovy – sk.1</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AB1030">
        <w:t>30</w:t>
      </w:r>
      <w:r w:rsidR="00E10546">
        <w:tab/>
      </w:r>
      <w:r>
        <w:t>vyučovacích</w:t>
      </w:r>
      <w:r>
        <w:tab/>
      </w:r>
      <w:r>
        <w:rPr>
          <w:b/>
        </w:rPr>
        <w:t>hodin</w:t>
      </w:r>
      <w:r>
        <w:br/>
        <w:t>z toho:</w:t>
      </w:r>
      <w:r>
        <w:tab/>
      </w:r>
      <w:r>
        <w:tab/>
        <w:t>- teoretická příprava:</w:t>
      </w:r>
      <w:r w:rsidR="00E10546">
        <w:tab/>
      </w:r>
      <w:r w:rsidR="00E10546">
        <w:tab/>
      </w:r>
      <w:r w:rsidR="00E10546">
        <w:tab/>
      </w:r>
      <w:r w:rsidR="00E10546">
        <w:tab/>
      </w:r>
      <w:r w:rsidR="00AB1030">
        <w:t>29</w:t>
      </w:r>
      <w:r w:rsidR="00E10546">
        <w:tab/>
        <w:t>vyučovacích</w:t>
      </w:r>
      <w:r>
        <w:tab/>
        <w:t>hodin</w:t>
      </w:r>
      <w:r>
        <w:br/>
      </w:r>
      <w:r>
        <w:tab/>
      </w:r>
      <w:r>
        <w:tab/>
        <w:t>- praktická příprava:</w:t>
      </w:r>
      <w:r>
        <w:tab/>
      </w:r>
      <w:r>
        <w:tab/>
      </w:r>
      <w:r>
        <w:tab/>
      </w:r>
      <w:r>
        <w:tab/>
      </w:r>
      <w:r w:rsidR="00AB1030">
        <w:t xml:space="preserve">  0</w:t>
      </w:r>
      <w:r>
        <w:tab/>
      </w:r>
      <w:r w:rsidR="00E10546">
        <w:t>vyučovacích</w:t>
      </w:r>
      <w:r>
        <w:tab/>
        <w:t>hodin</w:t>
      </w:r>
      <w:r>
        <w:br/>
      </w:r>
      <w:r>
        <w:tab/>
      </w:r>
      <w:r>
        <w:tab/>
        <w:t xml:space="preserve">- ověření získaných znalostí a dovedností: </w:t>
      </w:r>
      <w:r>
        <w:tab/>
      </w:r>
      <w:r w:rsidR="00AB1030">
        <w:t xml:space="preserve">  1</w:t>
      </w:r>
      <w:r>
        <w:tab/>
      </w:r>
      <w:r w:rsidR="00AB1030">
        <w:t>vyučovací</w:t>
      </w:r>
      <w:r>
        <w:tab/>
        <w:t>hodin</w:t>
      </w:r>
      <w:r w:rsidR="00AB1030">
        <w:t>a</w:t>
      </w:r>
    </w:p>
    <w:p w:rsidR="004C5A69" w:rsidRDefault="004C205C">
      <w:pPr>
        <w:pStyle w:val="BoddohodyIII"/>
        <w:numPr>
          <w:ilvl w:val="0"/>
          <w:numId w:val="32"/>
        </w:numPr>
        <w:ind w:hanging="720"/>
      </w:pPr>
      <w:r>
        <w:t>Dodavatel vzdělávací aktivity:</w:t>
      </w:r>
      <w:r w:rsidR="00AB1030">
        <w:t xml:space="preserve">  </w:t>
      </w:r>
      <w:proofErr w:type="spellStart"/>
      <w:r w:rsidR="0040617B">
        <w:t>xxxxxxxxxxxxxx</w:t>
      </w:r>
      <w:proofErr w:type="spellEnd"/>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06345E">
        <w:rPr>
          <w:rFonts w:cs="Arial"/>
        </w:rPr>
        <w:t xml:space="preserve">    2.6.2017</w:t>
      </w:r>
      <w:r>
        <w:rPr>
          <w:rFonts w:cs="Arial"/>
          <w:b/>
        </w:rPr>
        <w:tab/>
      </w:r>
      <w:r>
        <w:rPr>
          <w:rFonts w:cs="Arial"/>
          <w:b/>
        </w:rPr>
        <w:tab/>
      </w:r>
      <w:r>
        <w:rPr>
          <w:rFonts w:cs="Arial"/>
        </w:rPr>
        <w:br/>
        <w:t>Datum ukončení:</w:t>
      </w:r>
      <w:r>
        <w:rPr>
          <w:rFonts w:cs="Arial"/>
        </w:rPr>
        <w:tab/>
      </w:r>
      <w:r w:rsidR="0006345E">
        <w:rPr>
          <w:rFonts w:cs="Arial"/>
        </w:rPr>
        <w:t>16.10.2017</w:t>
      </w:r>
    </w:p>
    <w:p w:rsidR="004C5A69" w:rsidRDefault="004C205C">
      <w:pPr>
        <w:pStyle w:val="BoddohodyIII"/>
        <w:numPr>
          <w:ilvl w:val="0"/>
          <w:numId w:val="32"/>
        </w:numPr>
        <w:ind w:hanging="720"/>
        <w:rPr>
          <w:rFonts w:cs="Arial"/>
        </w:rPr>
      </w:pPr>
      <w:r>
        <w:rPr>
          <w:rFonts w:cs="Arial"/>
        </w:rPr>
        <w:t>Způsob ověření získaných znalostí a dovedností:</w:t>
      </w:r>
      <w:r w:rsidR="0006345E">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AF54CC">
        <w:rPr>
          <w:rFonts w:cs="Arial"/>
          <w:szCs w:val="20"/>
        </w:rPr>
        <w:t>14</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06345E">
        <w:rPr>
          <w:rFonts w:cs="Arial"/>
        </w:rPr>
        <w:t xml:space="preserve">         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06345E" w:rsidRDefault="0006345E" w:rsidP="0006345E">
      <w:pPr>
        <w:pStyle w:val="BoddohodyIII"/>
        <w:numPr>
          <w:ilvl w:val="0"/>
          <w:numId w:val="32"/>
        </w:numPr>
        <w:ind w:hanging="720"/>
        <w:rPr>
          <w:rFonts w:cs="Arial"/>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06345E" w:rsidRDefault="0006345E">
      <w:pPr>
        <w:pStyle w:val="Nadpislnku"/>
        <w:rPr>
          <w:rFonts w:cs="Arial"/>
          <w:szCs w:val="20"/>
        </w:rPr>
      </w:pPr>
    </w:p>
    <w:p w:rsidR="0006345E" w:rsidRDefault="0006345E">
      <w:pPr>
        <w:pStyle w:val="Nadpislnku"/>
        <w:rPr>
          <w:rFonts w:cs="Arial"/>
          <w:szCs w:val="20"/>
        </w:rPr>
      </w:pP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lastRenderedPageBreak/>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lastRenderedPageBreak/>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AF54CC">
        <w:rPr>
          <w:b/>
        </w:rPr>
        <w:t>104 230</w:t>
      </w:r>
      <w:r>
        <w:t xml:space="preserve"> </w:t>
      </w:r>
      <w:r>
        <w:rPr>
          <w:b/>
          <w:bCs/>
        </w:rPr>
        <w:t xml:space="preserve">Kč, </w:t>
      </w:r>
      <w:r>
        <w:rPr>
          <w:bCs/>
        </w:rPr>
        <w:t>kdy</w:t>
      </w:r>
      <w:r>
        <w:t xml:space="preserve"> maximální výše příspěvku na mzdové náklady činí </w:t>
      </w:r>
      <w:r w:rsidR="00AF54CC">
        <w:t>55 440</w:t>
      </w:r>
      <w:r>
        <w:t xml:space="preserve"> Kč a maximální výše příspěvku na vzdělávací aktivity činí </w:t>
      </w:r>
      <w:r w:rsidR="00AF54CC">
        <w:t>48 790</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06345E">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06345E">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w:t>
      </w:r>
      <w:r>
        <w:rPr>
          <w:bCs/>
        </w:rPr>
        <w:lastRenderedPageBreak/>
        <w:t>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w:t>
      </w:r>
      <w:r>
        <w:rPr>
          <w:rFonts w:cs="Arial"/>
          <w:szCs w:val="20"/>
        </w:rPr>
        <w:lastRenderedPageBreak/>
        <w:t xml:space="preserve">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lastRenderedPageBreak/>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II.2, II.3, II.4, 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r>
        <w:rPr>
          <w:rFonts w:cs="Arial"/>
          <w:szCs w:val="20"/>
        </w:rPr>
        <w:t>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lastRenderedPageBreak/>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CD252F" w:rsidRDefault="00CD252F">
      <w:pPr>
        <w:pStyle w:val="BoddohodyII"/>
        <w:numPr>
          <w:ilvl w:val="0"/>
          <w:numId w:val="0"/>
        </w:numPr>
      </w:pPr>
    </w:p>
    <w:p w:rsidR="00CD252F" w:rsidRDefault="00CD252F">
      <w:pPr>
        <w:pStyle w:val="BoddohodyII"/>
        <w:numPr>
          <w:ilvl w:val="0"/>
          <w:numId w:val="0"/>
        </w:numPr>
      </w:pPr>
      <w:r>
        <w:t>V</w:t>
      </w:r>
      <w:r w:rsidR="0040617B">
        <w:t> </w:t>
      </w:r>
      <w:r>
        <w:t>Olomouci</w:t>
      </w:r>
      <w:r w:rsidR="0040617B">
        <w:t xml:space="preserve"> 1.6.2017</w:t>
      </w:r>
    </w:p>
    <w:p w:rsidR="00CD252F" w:rsidRDefault="00CD252F">
      <w:pPr>
        <w:pStyle w:val="BoddohodyII"/>
        <w:numPr>
          <w:ilvl w:val="0"/>
          <w:numId w:val="0"/>
        </w:numPr>
      </w:pPr>
    </w:p>
    <w:p w:rsidR="00CD252F" w:rsidRDefault="00CD252F">
      <w:pPr>
        <w:pStyle w:val="BoddohodyII"/>
        <w:numPr>
          <w:ilvl w:val="0"/>
          <w:numId w:val="0"/>
        </w:numPr>
      </w:pPr>
    </w:p>
    <w:p w:rsidR="004C5A69" w:rsidRDefault="004C205C">
      <w:pPr>
        <w:pStyle w:val="BoddohodyII"/>
        <w:numPr>
          <w:ilvl w:val="0"/>
          <w:numId w:val="0"/>
        </w:numPr>
      </w:pPr>
      <w:r>
        <w:t>...............................................................</w:t>
      </w:r>
      <w:r w:rsidR="00CD252F">
        <w:t>...........</w:t>
      </w:r>
      <w:r>
        <w:tab/>
      </w:r>
      <w:r>
        <w:tab/>
      </w:r>
      <w:r>
        <w:tab/>
        <w:t>……………………………………………..</w:t>
      </w:r>
    </w:p>
    <w:p w:rsidR="00CD252F" w:rsidRPr="00CD252F" w:rsidRDefault="00CD252F" w:rsidP="00CD252F">
      <w:pPr>
        <w:keepNext/>
        <w:keepLines/>
        <w:jc w:val="left"/>
      </w:pPr>
      <w:r>
        <w:t xml:space="preserve">      Rudolf </w:t>
      </w:r>
      <w:proofErr w:type="spellStart"/>
      <w:r>
        <w:t>Citrjak</w:t>
      </w:r>
      <w:proofErr w:type="spellEnd"/>
      <w:r>
        <w:t xml:space="preserve">, jednatel – zastoupený </w:t>
      </w:r>
      <w:r>
        <w:tab/>
      </w:r>
      <w:r>
        <w:tab/>
      </w:r>
      <w:r>
        <w:tab/>
        <w:t xml:space="preserve">                Ing Bořivoj Novotný</w:t>
      </w:r>
      <w:r>
        <w:br/>
        <w:t>na základě plné moci Ing. Hanou Bartošovou</w:t>
      </w:r>
      <w:r>
        <w:rPr>
          <w:szCs w:val="20"/>
        </w:rPr>
        <w:t xml:space="preserve"> </w:t>
      </w:r>
      <w:r>
        <w:rPr>
          <w:szCs w:val="20"/>
        </w:rPr>
        <w:tab/>
      </w:r>
      <w:r>
        <w:rPr>
          <w:szCs w:val="20"/>
        </w:rPr>
        <w:tab/>
        <w:t xml:space="preserve">                     ředitel Odboru zaměstnanosti</w:t>
      </w:r>
    </w:p>
    <w:p w:rsidR="00CD252F" w:rsidRPr="004521C7" w:rsidRDefault="00CD252F" w:rsidP="00CD252F">
      <w:pPr>
        <w:keepNext/>
        <w:keepLines/>
        <w:jc w:val="left"/>
        <w:rPr>
          <w:rFonts w:cs="Arial"/>
          <w:szCs w:val="20"/>
        </w:rPr>
      </w:pPr>
      <w:r>
        <w:rPr>
          <w:szCs w:val="20"/>
        </w:rPr>
        <w:t xml:space="preserve">                UNEX Slévárna, s.r.o.</w:t>
      </w:r>
      <w:r>
        <w:rPr>
          <w:szCs w:val="20"/>
        </w:rPr>
        <w:tab/>
      </w:r>
      <w:r>
        <w:rPr>
          <w:szCs w:val="20"/>
        </w:rPr>
        <w:tab/>
      </w:r>
      <w:r>
        <w:rPr>
          <w:szCs w:val="20"/>
        </w:rPr>
        <w:tab/>
      </w:r>
      <w:r>
        <w:rPr>
          <w:szCs w:val="20"/>
        </w:rPr>
        <w:tab/>
        <w:t xml:space="preserve">         Krajské pobočky v Olomouci</w:t>
      </w:r>
    </w:p>
    <w:p w:rsidR="004C5A69" w:rsidRDefault="004C5A69" w:rsidP="00CD252F">
      <w:pPr>
        <w:keepNext/>
        <w:keepLines/>
        <w:jc w:val="left"/>
        <w:rPr>
          <w:rFonts w:cs="Arial"/>
          <w:b/>
          <w:szCs w:val="20"/>
        </w:rPr>
      </w:pPr>
    </w:p>
    <w:p w:rsidR="00CD252F" w:rsidRDefault="00CD252F" w:rsidP="00CD252F">
      <w:pPr>
        <w:keepNext/>
        <w:keepLines/>
        <w:jc w:val="left"/>
        <w:rPr>
          <w:rFonts w:cs="Arial"/>
          <w:b/>
          <w:szCs w:val="20"/>
        </w:rPr>
      </w:pPr>
    </w:p>
    <w:p w:rsidR="00CD252F" w:rsidRDefault="00CD252F" w:rsidP="00CD252F">
      <w:pPr>
        <w:keepNext/>
        <w:keepLines/>
        <w:jc w:val="left"/>
        <w:rPr>
          <w:rFonts w:cs="Arial"/>
          <w:b/>
          <w:szCs w:val="20"/>
        </w:rPr>
      </w:pPr>
    </w:p>
    <w:p w:rsidR="00CD252F" w:rsidRDefault="00CD252F" w:rsidP="00CD252F">
      <w:pPr>
        <w:keepNext/>
        <w:keepLines/>
        <w:jc w:val="left"/>
        <w:rPr>
          <w:rFonts w:cs="Arial"/>
          <w:b/>
          <w:szCs w:val="20"/>
        </w:rPr>
      </w:pPr>
    </w:p>
    <w:p w:rsidR="00CD252F" w:rsidRDefault="00CD252F" w:rsidP="00CD252F">
      <w:pPr>
        <w:keepNext/>
        <w:keepLines/>
        <w:jc w:val="left"/>
        <w:rPr>
          <w:rFonts w:cs="Arial"/>
          <w:szCs w:val="20"/>
        </w:rPr>
      </w:pPr>
      <w:r>
        <w:rPr>
          <w:rFonts w:cs="Arial"/>
          <w:szCs w:val="20"/>
        </w:rPr>
        <w:t>Za Úřad práce vyřizuje: Pavla Horová</w:t>
      </w:r>
    </w:p>
    <w:p w:rsidR="00CD252F" w:rsidRPr="00CD252F" w:rsidRDefault="00CD252F" w:rsidP="00CD252F">
      <w:pPr>
        <w:keepNext/>
        <w:keepLines/>
        <w:jc w:val="left"/>
        <w:rPr>
          <w:rFonts w:cs="Arial"/>
          <w:szCs w:val="20"/>
        </w:rPr>
      </w:pPr>
      <w:r>
        <w:rPr>
          <w:rFonts w:cs="Arial"/>
          <w:szCs w:val="20"/>
        </w:rPr>
        <w:t>Telefon:  950 141 678</w:t>
      </w:r>
    </w:p>
    <w:sectPr w:rsidR="00CD252F" w:rsidRPr="00CD252F">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72" w:rsidRDefault="00245072">
      <w:r>
        <w:separator/>
      </w:r>
    </w:p>
  </w:endnote>
  <w:endnote w:type="continuationSeparator" w:id="0">
    <w:p w:rsidR="00245072" w:rsidRDefault="0024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AF54CC">
      <w:rPr>
        <w:sz w:val="18"/>
        <w:szCs w:val="18"/>
      </w:rPr>
      <w:t>OLA-MN-111</w:t>
    </w:r>
    <w:r w:rsidR="0006345E">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40617B">
      <w:rPr>
        <w:noProof/>
        <w:sz w:val="18"/>
        <w:szCs w:val="18"/>
      </w:rPr>
      <w:t>2</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p w:rsidR="00E62A3C" w:rsidRDefault="00E6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AF54CC">
      <w:rPr>
        <w:sz w:val="18"/>
      </w:rPr>
      <w:t>OLA-MN-111</w:t>
    </w:r>
    <w:r w:rsidR="00AB1030">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40617B">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p w:rsidR="00E62A3C" w:rsidRDefault="00E62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72" w:rsidRDefault="00245072">
      <w:r>
        <w:separator/>
      </w:r>
    </w:p>
  </w:footnote>
  <w:footnote w:type="continuationSeparator" w:id="0">
    <w:p w:rsidR="00245072" w:rsidRDefault="0024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074A8BC3" wp14:editId="51E0767B">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p w:rsidR="00E62A3C" w:rsidRDefault="00E62A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6345E"/>
    <w:rsid w:val="000B64A8"/>
    <w:rsid w:val="00194728"/>
    <w:rsid w:val="00245072"/>
    <w:rsid w:val="00364B3A"/>
    <w:rsid w:val="00400B10"/>
    <w:rsid w:val="0040617B"/>
    <w:rsid w:val="004160EF"/>
    <w:rsid w:val="004C205C"/>
    <w:rsid w:val="004C5A69"/>
    <w:rsid w:val="00563558"/>
    <w:rsid w:val="005B12CC"/>
    <w:rsid w:val="005F5650"/>
    <w:rsid w:val="00796845"/>
    <w:rsid w:val="007C026A"/>
    <w:rsid w:val="007E38DD"/>
    <w:rsid w:val="008B627D"/>
    <w:rsid w:val="008D689A"/>
    <w:rsid w:val="00924733"/>
    <w:rsid w:val="00942DF0"/>
    <w:rsid w:val="009B12D6"/>
    <w:rsid w:val="00AB1030"/>
    <w:rsid w:val="00AF54CC"/>
    <w:rsid w:val="00BD7B9F"/>
    <w:rsid w:val="00CA47BE"/>
    <w:rsid w:val="00CC5287"/>
    <w:rsid w:val="00CD252F"/>
    <w:rsid w:val="00D3596E"/>
    <w:rsid w:val="00DB1DFF"/>
    <w:rsid w:val="00E10409"/>
    <w:rsid w:val="00E10546"/>
    <w:rsid w:val="00E52A68"/>
    <w:rsid w:val="00E62A3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BC9D-8155-4574-9813-D1DB2934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0</TotalTime>
  <Pages>9</Pages>
  <Words>4077</Words>
  <Characters>24061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28082</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Skulová Vysloužilová Denisa Mgr. (UPM-OLA)</cp:lastModifiedBy>
  <cp:revision>2</cp:revision>
  <cp:lastPrinted>2017-06-01T07:34:00Z</cp:lastPrinted>
  <dcterms:created xsi:type="dcterms:W3CDTF">2017-06-06T13:53:00Z</dcterms:created>
  <dcterms:modified xsi:type="dcterms:W3CDTF">2017-06-06T13:53:00Z</dcterms:modified>
</cp:coreProperties>
</file>