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2CDE" w14:textId="4E4597AF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</w:rPr>
      </w:pPr>
      <w:r w:rsidRPr="29C49D5F">
        <w:rPr>
          <w:rFonts w:ascii="Arial" w:hAnsi="Arial" w:cs="Arial"/>
          <w:b/>
          <w:bCs/>
        </w:rPr>
        <w:t>Smlouva o zpracování projektové dokumentace a o výkonu autorského dozoru</w:t>
      </w:r>
      <w:r w:rsidR="3B38F2A8" w:rsidRPr="29C49D5F">
        <w:rPr>
          <w:rFonts w:ascii="Arial" w:hAnsi="Arial" w:cs="Arial"/>
          <w:b/>
          <w:bCs/>
        </w:rPr>
        <w:t xml:space="preserve"> O/2071/2021</w:t>
      </w:r>
    </w:p>
    <w:p w14:paraId="34212CDF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</w:rPr>
      </w:pPr>
      <w:r w:rsidRPr="002F365E">
        <w:rPr>
          <w:rFonts w:ascii="Arial" w:hAnsi="Arial" w:cs="Arial"/>
          <w:b/>
          <w:bCs/>
        </w:rPr>
        <w:t>-</w:t>
      </w:r>
    </w:p>
    <w:p w14:paraId="34212CE0" w14:textId="6743FFB3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</w:rPr>
      </w:pPr>
      <w:r w:rsidRPr="002F365E">
        <w:rPr>
          <w:rFonts w:ascii="Arial" w:hAnsi="Arial" w:cs="Arial"/>
          <w:b/>
          <w:bCs/>
        </w:rPr>
        <w:t xml:space="preserve">Dodatek č. </w:t>
      </w:r>
      <w:r w:rsidR="2FD8312A" w:rsidRPr="002F365E">
        <w:rPr>
          <w:rFonts w:ascii="Arial" w:hAnsi="Arial" w:cs="Arial"/>
          <w:b/>
          <w:bCs/>
        </w:rPr>
        <w:t>2</w:t>
      </w:r>
    </w:p>
    <w:p w14:paraId="34212CE1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</w:p>
    <w:p w14:paraId="34212CE2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který, podle ustanovení § 1746 odst. 2 </w:t>
      </w:r>
      <w:r w:rsidR="006317EF" w:rsidRPr="002F365E">
        <w:rPr>
          <w:rFonts w:ascii="Arial" w:hAnsi="Arial" w:cs="Arial"/>
        </w:rPr>
        <w:t xml:space="preserve">a § 1903 </w:t>
      </w:r>
      <w:r w:rsidRPr="002F365E">
        <w:rPr>
          <w:rFonts w:ascii="Arial" w:hAnsi="Arial" w:cs="Arial"/>
        </w:rPr>
        <w:t>zákona č. 89/2012 Sb., občanský zákoník, ve znění pozdějších předpisů (dále jen „</w:t>
      </w:r>
      <w:r w:rsidRPr="002F365E">
        <w:rPr>
          <w:rFonts w:ascii="Arial" w:hAnsi="Arial" w:cs="Arial"/>
          <w:b/>
          <w:bCs/>
          <w:i/>
          <w:iCs/>
        </w:rPr>
        <w:t>Občanský zákoník</w:t>
      </w:r>
      <w:r w:rsidRPr="002F365E">
        <w:rPr>
          <w:rFonts w:ascii="Arial" w:hAnsi="Arial" w:cs="Arial"/>
        </w:rPr>
        <w:t>“) uzavřely níže uvedeného dne, měsíce a roku tyto smluvní strany:</w:t>
      </w:r>
    </w:p>
    <w:p w14:paraId="34212CE3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</w:rPr>
      </w:pPr>
    </w:p>
    <w:p w14:paraId="34212CE4" w14:textId="77777777" w:rsidR="008810B5" w:rsidRPr="002F365E" w:rsidRDefault="008810B5" w:rsidP="008810B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2F365E">
        <w:rPr>
          <w:rFonts w:ascii="Arial" w:hAnsi="Arial" w:cs="Arial"/>
          <w:b/>
          <w:bCs/>
        </w:rPr>
        <w:t>I. Fakultní nemocnice Brno</w:t>
      </w:r>
    </w:p>
    <w:p w14:paraId="34212CE5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Zastoupená: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MUDr. Ivem Rovným, MBA, ředitelem</w:t>
      </w:r>
    </w:p>
    <w:p w14:paraId="34212CE6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Se sídlem: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Jihlavská 20, 625 00 Brno</w:t>
      </w:r>
    </w:p>
    <w:p w14:paraId="34212CE7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IČO: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65269705</w:t>
      </w:r>
    </w:p>
    <w:p w14:paraId="34212CE8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DIČ: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CZ65269705</w:t>
      </w:r>
    </w:p>
    <w:p w14:paraId="34212CE9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Bankovní spojení: </w:t>
      </w:r>
      <w:r w:rsidRPr="002F365E">
        <w:rPr>
          <w:rFonts w:ascii="Arial" w:hAnsi="Arial" w:cs="Arial"/>
        </w:rPr>
        <w:tab/>
        <w:t>Česká národní banka</w:t>
      </w:r>
    </w:p>
    <w:p w14:paraId="34212CEA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Číslo účtu: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712 346 21/0710</w:t>
      </w:r>
    </w:p>
    <w:p w14:paraId="34212CEB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2F365E">
        <w:rPr>
          <w:rFonts w:ascii="Arial" w:hAnsi="Arial" w:cs="Arial"/>
        </w:rPr>
        <w:t>(dále také „</w:t>
      </w:r>
      <w:r w:rsidRPr="002F365E">
        <w:rPr>
          <w:rFonts w:ascii="Arial" w:hAnsi="Arial" w:cs="Arial"/>
          <w:b/>
          <w:bCs/>
          <w:i/>
          <w:iCs/>
        </w:rPr>
        <w:t>Objednatel</w:t>
      </w:r>
      <w:r w:rsidRPr="002F365E">
        <w:rPr>
          <w:rFonts w:ascii="Arial" w:hAnsi="Arial" w:cs="Arial"/>
        </w:rPr>
        <w:t>“ nebo „</w:t>
      </w:r>
      <w:r w:rsidRPr="002F365E">
        <w:rPr>
          <w:rFonts w:ascii="Arial" w:hAnsi="Arial" w:cs="Arial"/>
          <w:b/>
          <w:bCs/>
          <w:i/>
          <w:iCs/>
        </w:rPr>
        <w:t>FN Brno</w:t>
      </w:r>
      <w:r w:rsidRPr="002F365E">
        <w:rPr>
          <w:rFonts w:ascii="Arial" w:hAnsi="Arial" w:cs="Arial"/>
        </w:rPr>
        <w:t>“)</w:t>
      </w:r>
    </w:p>
    <w:p w14:paraId="34212CEC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</w:rPr>
      </w:pPr>
    </w:p>
    <w:p w14:paraId="34212CED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</w:rPr>
      </w:pPr>
      <w:r w:rsidRPr="002F365E">
        <w:rPr>
          <w:rFonts w:ascii="Arial" w:hAnsi="Arial" w:cs="Arial"/>
          <w:b/>
          <w:bCs/>
        </w:rPr>
        <w:t>a</w:t>
      </w:r>
    </w:p>
    <w:p w14:paraId="34212CEE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</w:rPr>
      </w:pPr>
    </w:p>
    <w:p w14:paraId="34212CEF" w14:textId="77777777" w:rsidR="008810B5" w:rsidRPr="002F365E" w:rsidRDefault="008810B5" w:rsidP="008810B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2F365E">
        <w:rPr>
          <w:rFonts w:ascii="Arial" w:hAnsi="Arial" w:cs="Arial"/>
          <w:b/>
          <w:bCs/>
        </w:rPr>
        <w:t>II. „Budoucnost gynekologicko-porodnické kliniky ve FNB“</w:t>
      </w:r>
    </w:p>
    <w:p w14:paraId="34212CF0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Vedoucí společník: </w:t>
      </w:r>
      <w:r w:rsidRPr="002F365E">
        <w:rPr>
          <w:rFonts w:ascii="Arial" w:hAnsi="Arial" w:cs="Arial"/>
        </w:rPr>
        <w:tab/>
        <w:t>DOMY spol. s r.o.</w:t>
      </w:r>
    </w:p>
    <w:p w14:paraId="34212CF1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Zastoupená: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Ing. arch. Janem Topinkou, jednatelem</w:t>
      </w:r>
    </w:p>
    <w:p w14:paraId="34212CF2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left="2124"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Ing. arch. Michalem </w:t>
      </w:r>
      <w:proofErr w:type="spellStart"/>
      <w:r w:rsidRPr="002F365E">
        <w:rPr>
          <w:rFonts w:ascii="Arial" w:hAnsi="Arial" w:cs="Arial"/>
        </w:rPr>
        <w:t>Juhou</w:t>
      </w:r>
      <w:proofErr w:type="spellEnd"/>
      <w:r w:rsidRPr="002F365E">
        <w:rPr>
          <w:rFonts w:ascii="Arial" w:hAnsi="Arial" w:cs="Arial"/>
        </w:rPr>
        <w:t>, jednatelem</w:t>
      </w:r>
    </w:p>
    <w:p w14:paraId="34212CF3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Se sídlem: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Politických vězňů 19, 110 00 Praha 1</w:t>
      </w:r>
    </w:p>
    <w:p w14:paraId="34212CF4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IČO: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416 92 870</w:t>
      </w:r>
    </w:p>
    <w:p w14:paraId="34212CF5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DIČ: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CZ41692870</w:t>
      </w:r>
    </w:p>
    <w:p w14:paraId="34212CF6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Bankovní spojení: </w:t>
      </w:r>
      <w:r w:rsidRPr="002F365E">
        <w:rPr>
          <w:rFonts w:ascii="Arial" w:hAnsi="Arial" w:cs="Arial"/>
        </w:rPr>
        <w:tab/>
        <w:t>ČSOB</w:t>
      </w:r>
    </w:p>
    <w:p w14:paraId="34212CF7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Číslo účtu: </w:t>
      </w:r>
      <w:r w:rsidRPr="002F365E">
        <w:rPr>
          <w:rFonts w:ascii="Arial" w:hAnsi="Arial" w:cs="Arial"/>
        </w:rPr>
        <w:tab/>
      </w:r>
      <w:r w:rsidRPr="002F365E">
        <w:rPr>
          <w:rFonts w:ascii="Arial" w:hAnsi="Arial" w:cs="Arial"/>
        </w:rPr>
        <w:tab/>
        <w:t>836561/0300</w:t>
      </w:r>
    </w:p>
    <w:p w14:paraId="34212CF8" w14:textId="77777777" w:rsidR="008810B5" w:rsidRPr="002F365E" w:rsidRDefault="008810B5" w:rsidP="008810B5">
      <w:pPr>
        <w:autoSpaceDE w:val="0"/>
        <w:autoSpaceDN w:val="0"/>
        <w:adjustRightInd w:val="0"/>
        <w:spacing w:before="60" w:after="60" w:line="240" w:lineRule="auto"/>
        <w:ind w:firstLine="708"/>
        <w:rPr>
          <w:rFonts w:ascii="Arial" w:hAnsi="Arial" w:cs="Arial"/>
        </w:rPr>
      </w:pPr>
      <w:r w:rsidRPr="002F365E">
        <w:rPr>
          <w:rFonts w:ascii="Arial" w:hAnsi="Arial" w:cs="Arial"/>
        </w:rPr>
        <w:t xml:space="preserve">zapsaná v obchodním rejstříku vedeném Městským soudem, </w:t>
      </w:r>
      <w:proofErr w:type="spellStart"/>
      <w:r w:rsidRPr="002F365E">
        <w:rPr>
          <w:rFonts w:ascii="Arial" w:hAnsi="Arial" w:cs="Arial"/>
        </w:rPr>
        <w:t>sp</w:t>
      </w:r>
      <w:proofErr w:type="spellEnd"/>
      <w:r w:rsidRPr="002F365E">
        <w:rPr>
          <w:rFonts w:ascii="Arial" w:hAnsi="Arial" w:cs="Arial"/>
        </w:rPr>
        <w:t>. zn. C 3967</w:t>
      </w:r>
    </w:p>
    <w:p w14:paraId="34212CF9" w14:textId="77777777" w:rsidR="008810B5" w:rsidRPr="002F365E" w:rsidRDefault="008810B5" w:rsidP="008810B5">
      <w:pPr>
        <w:spacing w:before="60" w:after="60"/>
        <w:rPr>
          <w:rFonts w:ascii="Arial" w:hAnsi="Arial" w:cs="Arial"/>
        </w:rPr>
      </w:pPr>
      <w:r w:rsidRPr="002F365E">
        <w:rPr>
          <w:rFonts w:ascii="Arial" w:hAnsi="Arial" w:cs="Arial"/>
        </w:rPr>
        <w:t>(dále také „</w:t>
      </w:r>
      <w:r w:rsidRPr="002F365E">
        <w:rPr>
          <w:rFonts w:ascii="Arial" w:hAnsi="Arial" w:cs="Arial"/>
          <w:b/>
          <w:bCs/>
          <w:i/>
          <w:iCs/>
        </w:rPr>
        <w:t>Zhotovitel</w:t>
      </w:r>
      <w:r w:rsidRPr="002F365E">
        <w:rPr>
          <w:rFonts w:ascii="Arial" w:hAnsi="Arial" w:cs="Arial"/>
        </w:rPr>
        <w:t>“)</w:t>
      </w:r>
    </w:p>
    <w:p w14:paraId="34212CFA" w14:textId="77777777" w:rsidR="008810B5" w:rsidRPr="002F365E" w:rsidRDefault="008810B5" w:rsidP="008810B5">
      <w:pPr>
        <w:spacing w:before="60" w:after="60"/>
        <w:ind w:left="567" w:hanging="567"/>
        <w:rPr>
          <w:rFonts w:ascii="Arial" w:hAnsi="Arial" w:cs="Arial"/>
          <w:color w:val="000000" w:themeColor="text1"/>
        </w:rPr>
      </w:pPr>
    </w:p>
    <w:p w14:paraId="34212CFB" w14:textId="77777777" w:rsidR="008810B5" w:rsidRPr="002F365E" w:rsidRDefault="008810B5" w:rsidP="008810B5">
      <w:pPr>
        <w:pStyle w:val="Legallnek"/>
      </w:pPr>
      <w:r w:rsidRPr="002F365E">
        <w:lastRenderedPageBreak/>
        <w:t>Preambule</w:t>
      </w:r>
    </w:p>
    <w:p w14:paraId="34212CFC" w14:textId="126BD0DC" w:rsidR="008810B5" w:rsidRPr="002F365E" w:rsidRDefault="002B0A8F" w:rsidP="002F365E">
      <w:pPr>
        <w:pStyle w:val="LegalOdstavec"/>
      </w:pPr>
      <w:r w:rsidRPr="002F365E">
        <w:t xml:space="preserve">V návaznosti na výsledek </w:t>
      </w:r>
      <w:r w:rsidR="001541C9" w:rsidRPr="002F365E">
        <w:t>Veřejné zakázky (</w:t>
      </w:r>
      <w:r w:rsidRPr="002F365E">
        <w:t>„</w:t>
      </w:r>
      <w:r w:rsidRPr="002F365E">
        <w:rPr>
          <w:i/>
        </w:rPr>
        <w:t>FN Brno – Výstavba gynekologicko-porodnické kliniky – projektová dokumentace a autorský dozor</w:t>
      </w:r>
      <w:r w:rsidRPr="002F365E">
        <w:t>“</w:t>
      </w:r>
      <w:r w:rsidR="001541C9" w:rsidRPr="002F365E">
        <w:t>)</w:t>
      </w:r>
      <w:r w:rsidRPr="002F365E">
        <w:t xml:space="preserve"> </w:t>
      </w:r>
      <w:r w:rsidR="00A56ECF" w:rsidRPr="002F365E">
        <w:t>uzavřel</w:t>
      </w:r>
      <w:r w:rsidR="002F5492" w:rsidRPr="002F365E">
        <w:t>y</w:t>
      </w:r>
      <w:r w:rsidR="00A56ECF" w:rsidRPr="002F365E">
        <w:t xml:space="preserve"> smluvní strany</w:t>
      </w:r>
      <w:r w:rsidRPr="002F365E">
        <w:t xml:space="preserve"> dne 9. září 2021 smlouv</w:t>
      </w:r>
      <w:r w:rsidR="00A56ECF" w:rsidRPr="002F365E">
        <w:t>u</w:t>
      </w:r>
      <w:r w:rsidRPr="002F365E">
        <w:t xml:space="preserve"> o zpracování projektové dokumentace a o výkonu autorského dozoru (dále jen „</w:t>
      </w:r>
      <w:r w:rsidRPr="002F365E">
        <w:rPr>
          <w:b/>
        </w:rPr>
        <w:t>Smlouva</w:t>
      </w:r>
      <w:r w:rsidRPr="002F365E">
        <w:t>“).</w:t>
      </w:r>
    </w:p>
    <w:p w14:paraId="34212CFD" w14:textId="4DEF0BAA" w:rsidR="006B37CC" w:rsidRPr="002F365E" w:rsidRDefault="00AD370B" w:rsidP="002F365E">
      <w:pPr>
        <w:pStyle w:val="LegalOdstavec"/>
      </w:pPr>
      <w:r w:rsidRPr="002F365E">
        <w:t>Po uzavření Smlouvy došlo na straně FN Brno k zahájení přípravy dodatečných investičních projektů, a také k</w:t>
      </w:r>
      <w:r w:rsidR="00D47992" w:rsidRPr="002F365E">
        <w:t xml:space="preserve"> zahájení přípravy </w:t>
      </w:r>
      <w:r w:rsidRPr="002F365E">
        <w:t xml:space="preserve">rozsáhlého investičního </w:t>
      </w:r>
      <w:r w:rsidR="006317EF" w:rsidRPr="002F365E">
        <w:t>celku třetí stranou</w:t>
      </w:r>
      <w:r w:rsidRPr="002F365E">
        <w:t xml:space="preserve"> </w:t>
      </w:r>
      <w:r w:rsidR="007D1307" w:rsidRPr="002F365E">
        <w:t>(Centrum kardiovaskulární a transplantační chirurgie – dále jen „</w:t>
      </w:r>
      <w:r w:rsidR="007D1307" w:rsidRPr="002F365E">
        <w:rPr>
          <w:b/>
        </w:rPr>
        <w:t>CKTCH</w:t>
      </w:r>
      <w:r w:rsidR="007D1307" w:rsidRPr="002F365E">
        <w:t xml:space="preserve">“) </w:t>
      </w:r>
      <w:r w:rsidRPr="002F365E">
        <w:t xml:space="preserve">v těsné blízkosti budoucí Stavby. </w:t>
      </w:r>
      <w:r w:rsidR="00D47992" w:rsidRPr="002F365E">
        <w:t xml:space="preserve">Pro dodržení předpokládaných harmonogramů a sladění </w:t>
      </w:r>
      <w:r w:rsidR="007D1307" w:rsidRPr="002F365E">
        <w:t xml:space="preserve">všech stavebních </w:t>
      </w:r>
      <w:r w:rsidR="00D47992" w:rsidRPr="002F365E">
        <w:t>činnosti</w:t>
      </w:r>
      <w:r w:rsidR="006317EF" w:rsidRPr="002F365E">
        <w:t xml:space="preserve"> v jednom areálu rozhodl</w:t>
      </w:r>
      <w:r w:rsidR="00D47992" w:rsidRPr="002F365E">
        <w:t xml:space="preserve"> Objednatel</w:t>
      </w:r>
      <w:r w:rsidR="007D1307" w:rsidRPr="002F365E">
        <w:t xml:space="preserve"> </w:t>
      </w:r>
      <w:r w:rsidR="00D47992" w:rsidRPr="002F365E">
        <w:t xml:space="preserve">o vyčlenění </w:t>
      </w:r>
      <w:r w:rsidR="00A56ECF" w:rsidRPr="002F365E">
        <w:t xml:space="preserve">části Stavby, </w:t>
      </w:r>
      <w:r w:rsidR="00D47992" w:rsidRPr="002F365E">
        <w:t xml:space="preserve">tzv. </w:t>
      </w:r>
      <w:r w:rsidR="00C96787">
        <w:t xml:space="preserve">části </w:t>
      </w:r>
      <w:r w:rsidR="00D47992" w:rsidRPr="002F365E">
        <w:t>„Příprav</w:t>
      </w:r>
      <w:r w:rsidR="007D1307" w:rsidRPr="002F365E">
        <w:t>a</w:t>
      </w:r>
      <w:r w:rsidR="00D47992" w:rsidRPr="002F365E">
        <w:t xml:space="preserve"> území“</w:t>
      </w:r>
      <w:r w:rsidR="007D1307" w:rsidRPr="002F365E">
        <w:t>,</w:t>
      </w:r>
      <w:r w:rsidR="006B37CC" w:rsidRPr="002F365E">
        <w:t xml:space="preserve"> k samostatné realizaci.</w:t>
      </w:r>
      <w:r w:rsidR="006A2960" w:rsidRPr="002F365E">
        <w:t xml:space="preserve"> Na základě předběžné dohody mezi Objednatelem a Zhotovitelem začal Zhotovitel realizovat takto oddělenou část smluvního plnění.</w:t>
      </w:r>
    </w:p>
    <w:p w14:paraId="34212CFE" w14:textId="08A0F64F" w:rsidR="006B37CC" w:rsidRPr="002F365E" w:rsidRDefault="009F74D3" w:rsidP="002F365E">
      <w:pPr>
        <w:pStyle w:val="LegalOdstavec"/>
      </w:pPr>
      <w:r w:rsidRPr="002F365E">
        <w:t>Dále se smluvní strany dohodly na upřesně</w:t>
      </w:r>
      <w:r w:rsidR="00C96787">
        <w:t>ní obsahu části dokumentace PDPS</w:t>
      </w:r>
      <w:r w:rsidRPr="002F365E">
        <w:t xml:space="preserve">. </w:t>
      </w:r>
      <w:r w:rsidR="006A2960" w:rsidRPr="002F365E">
        <w:t xml:space="preserve"> </w:t>
      </w:r>
      <w:r w:rsidR="006B37CC" w:rsidRPr="002F365E">
        <w:t xml:space="preserve"> </w:t>
      </w:r>
    </w:p>
    <w:p w14:paraId="34212CFF" w14:textId="444D6AC2" w:rsidR="001541C9" w:rsidRPr="002F365E" w:rsidRDefault="006B37CC" w:rsidP="002F365E">
      <w:pPr>
        <w:pStyle w:val="LegalOdstavec"/>
      </w:pPr>
      <w:r w:rsidRPr="002F365E">
        <w:t xml:space="preserve">Na základě výše uvedených skutečností </w:t>
      </w:r>
      <w:r w:rsidR="00A56ECF" w:rsidRPr="002F365E">
        <w:t xml:space="preserve">vznikla potřeba rozdělit a upravit </w:t>
      </w:r>
      <w:r w:rsidR="00D47992" w:rsidRPr="002F365E">
        <w:t>předmět plnění ze Smlouvy</w:t>
      </w:r>
      <w:r w:rsidR="002535BC" w:rsidRPr="002F365E">
        <w:t xml:space="preserve"> (tento předmět plnění jako celek dále též jen „</w:t>
      </w:r>
      <w:r w:rsidR="002535BC" w:rsidRPr="002F365E">
        <w:rPr>
          <w:b/>
        </w:rPr>
        <w:t>Předmět plnění</w:t>
      </w:r>
      <w:r w:rsidR="002535BC" w:rsidRPr="002F365E">
        <w:t>“)</w:t>
      </w:r>
      <w:r w:rsidR="00D47992" w:rsidRPr="002F365E">
        <w:t>.</w:t>
      </w:r>
      <w:r w:rsidR="00381422" w:rsidRPr="002F365E">
        <w:t xml:space="preserve"> </w:t>
      </w:r>
      <w:r w:rsidR="006317EF" w:rsidRPr="002F365E">
        <w:t xml:space="preserve">Nyní je záměrem smluvních stran, aby formálně </w:t>
      </w:r>
      <w:r w:rsidR="006A2960" w:rsidRPr="002F365E">
        <w:t xml:space="preserve">upravily a </w:t>
      </w:r>
      <w:r w:rsidR="006317EF" w:rsidRPr="002F365E">
        <w:t xml:space="preserve">narovnaly stávající smluvní vztah. </w:t>
      </w:r>
      <w:r w:rsidR="00A56ECF" w:rsidRPr="002F365E">
        <w:t>Na základě těchto skutečností přistoupil</w:t>
      </w:r>
      <w:r w:rsidR="006317EF" w:rsidRPr="002F365E">
        <w:t>y</w:t>
      </w:r>
      <w:r w:rsidR="00A56ECF" w:rsidRPr="002F365E">
        <w:t xml:space="preserve"> smluvní strany k uzavření tohoto </w:t>
      </w:r>
      <w:r w:rsidR="00FD56D3" w:rsidRPr="002F365E">
        <w:t>d</w:t>
      </w:r>
      <w:r w:rsidR="00A56ECF" w:rsidRPr="002F365E">
        <w:t xml:space="preserve">odatku </w:t>
      </w:r>
      <w:r w:rsidR="001541C9" w:rsidRPr="002F365E">
        <w:t>(dále jen „</w:t>
      </w:r>
      <w:r w:rsidR="001541C9" w:rsidRPr="002F365E">
        <w:rPr>
          <w:b/>
        </w:rPr>
        <w:t>Dodatek</w:t>
      </w:r>
      <w:r w:rsidR="001541C9" w:rsidRPr="002F365E">
        <w:t>“).</w:t>
      </w:r>
    </w:p>
    <w:p w14:paraId="34212D00" w14:textId="77777777" w:rsidR="001541C9" w:rsidRPr="002F365E" w:rsidRDefault="001541C9" w:rsidP="002F365E">
      <w:pPr>
        <w:pStyle w:val="LegalOdstavec"/>
      </w:pPr>
      <w:r w:rsidRPr="002F365E">
        <w:t xml:space="preserve">Není-li stanoveno odlišně, mají pojmy s velkými počátečními písmeny použité v tomto </w:t>
      </w:r>
      <w:r w:rsidR="007D1307" w:rsidRPr="002F365E">
        <w:t>D</w:t>
      </w:r>
      <w:r w:rsidRPr="002F365E">
        <w:t xml:space="preserve">odatku stejný význam jako ve Smlouvě. V případě jakékoliv nejistoty ohledně výkladu ustanovení tohoto Dodatku budou tato ustanovení vykládána tak, aby v co nejširší míře zohledňovala účel Veřejné zakázky vyjádřený v zadávací dokumentaci a </w:t>
      </w:r>
      <w:r w:rsidR="007D1307" w:rsidRPr="002F365E">
        <w:t xml:space="preserve">ve </w:t>
      </w:r>
      <w:r w:rsidRPr="002F365E">
        <w:t>Smlouvě.</w:t>
      </w:r>
    </w:p>
    <w:p w14:paraId="3679442F" w14:textId="6F4D7F02" w:rsidR="03A8155E" w:rsidRPr="002F365E" w:rsidRDefault="00FD56D3" w:rsidP="002F365E">
      <w:pPr>
        <w:pStyle w:val="LegalOdstavec"/>
      </w:pPr>
      <w:r w:rsidRPr="002F365E">
        <w:t>Pro účely tohoto Dodatku se jednotlivé části plnění Zhotovitele, jak jsou definovány v čl. II odst. 1 písm. a) - e) Smlouvy, označují jako stupně plnění (dále jen „</w:t>
      </w:r>
      <w:r w:rsidRPr="002F365E">
        <w:rPr>
          <w:b/>
        </w:rPr>
        <w:t>Stupeň plnění</w:t>
      </w:r>
      <w:r w:rsidRPr="002F365E">
        <w:t xml:space="preserve">“). </w:t>
      </w:r>
    </w:p>
    <w:p w14:paraId="34212D01" w14:textId="77777777" w:rsidR="00522E70" w:rsidRPr="002F365E" w:rsidRDefault="00607573" w:rsidP="00E31BCA">
      <w:pPr>
        <w:pStyle w:val="Legallnek"/>
      </w:pPr>
      <w:r w:rsidRPr="002F365E">
        <w:t>Vyčlenění funkčního celku „Příprava území“</w:t>
      </w:r>
    </w:p>
    <w:p w14:paraId="34212D02" w14:textId="42CEA837" w:rsidR="00E31BCA" w:rsidRPr="002F365E" w:rsidRDefault="00625C90" w:rsidP="002F365E">
      <w:pPr>
        <w:pStyle w:val="LegalOdstavec"/>
      </w:pPr>
      <w:r w:rsidRPr="002F365E">
        <w:t xml:space="preserve">Pro potřeby tohoto dodatku se pojmem „Příprava území“ rozumí část </w:t>
      </w:r>
      <w:r w:rsidR="00B236A6" w:rsidRPr="002F365E">
        <w:t>Předmětu plnění</w:t>
      </w:r>
      <w:r w:rsidRPr="002F365E">
        <w:t xml:space="preserve">, která funkčně pokrývá stavební práce a </w:t>
      </w:r>
      <w:r w:rsidR="00F84377" w:rsidRPr="002F365E">
        <w:t xml:space="preserve">stavební </w:t>
      </w:r>
      <w:r w:rsidRPr="002F365E">
        <w:t xml:space="preserve">objekty definované v příloze č. 1 tohoto Dodatku (dále jen </w:t>
      </w:r>
      <w:r w:rsidR="006B37CC" w:rsidRPr="002F365E">
        <w:t>„</w:t>
      </w:r>
      <w:r w:rsidR="006B37CC" w:rsidRPr="002F365E">
        <w:rPr>
          <w:b/>
        </w:rPr>
        <w:t>Příprava území</w:t>
      </w:r>
      <w:r w:rsidR="006B37CC" w:rsidRPr="002F365E">
        <w:t>“</w:t>
      </w:r>
      <w:r w:rsidR="00E608E7" w:rsidRPr="002F365E">
        <w:t>; zbývající část plnění předmětu Smlouvy poté jen „</w:t>
      </w:r>
      <w:r w:rsidR="00E608E7" w:rsidRPr="002F365E">
        <w:rPr>
          <w:b/>
        </w:rPr>
        <w:t>Zbývající část plnění</w:t>
      </w:r>
      <w:r w:rsidR="00E608E7" w:rsidRPr="002F365E">
        <w:t>“</w:t>
      </w:r>
      <w:r w:rsidRPr="002F365E">
        <w:t>).</w:t>
      </w:r>
    </w:p>
    <w:p w14:paraId="34212D03" w14:textId="7644D336" w:rsidR="00CC4C76" w:rsidRPr="002F365E" w:rsidRDefault="003766EE" w:rsidP="002F365E">
      <w:pPr>
        <w:pStyle w:val="LegalOdstavec"/>
      </w:pPr>
      <w:r w:rsidRPr="002F365E">
        <w:t xml:space="preserve">Smluvní strany </w:t>
      </w:r>
      <w:r w:rsidR="002535BC" w:rsidRPr="002F365E">
        <w:t xml:space="preserve">sjednáním Dodatku </w:t>
      </w:r>
      <w:r w:rsidR="00C57165">
        <w:t>v P</w:t>
      </w:r>
      <w:r w:rsidRPr="002F365E">
        <w:t>ředmětu plnění vytváří samostatný funkční celek Příprava území, jehož účelem</w:t>
      </w:r>
      <w:r w:rsidR="00D33CCE" w:rsidRPr="002F365E">
        <w:t xml:space="preserve"> je odborná technická, tvůrčí a jiná činnost Zhotovitele, hmotné zachycení jejich výsledků a poskytnutí výhradní licence k užití výsledků činností Zhotovitele, včetně jejich hmotného zachycení Objednateli.</w:t>
      </w:r>
      <w:r w:rsidR="00F634BD" w:rsidRPr="002F365E">
        <w:t xml:space="preserve"> </w:t>
      </w:r>
    </w:p>
    <w:p w14:paraId="34212D04" w14:textId="31B9BEA8" w:rsidR="00607573" w:rsidRPr="002F365E" w:rsidRDefault="00F634BD" w:rsidP="002F365E">
      <w:pPr>
        <w:pStyle w:val="LegalOdstavec"/>
      </w:pPr>
      <w:r w:rsidRPr="002F365E">
        <w:t xml:space="preserve">Není-li v tomto </w:t>
      </w:r>
      <w:r w:rsidR="002F5492" w:rsidRPr="002F365E">
        <w:t xml:space="preserve">Dodatku </w:t>
      </w:r>
      <w:r w:rsidRPr="002F365E">
        <w:t xml:space="preserve">stanoveno </w:t>
      </w:r>
      <w:r w:rsidR="002F5492" w:rsidRPr="002F365E">
        <w:t xml:space="preserve">výslovně </w:t>
      </w:r>
      <w:r w:rsidRPr="002F365E">
        <w:t>jinak, vztahují se na plnění Příprava území ustanovení Smlouvy</w:t>
      </w:r>
      <w:r w:rsidR="00F25D5C" w:rsidRPr="002F365E">
        <w:t xml:space="preserve">. Není-li v tomto </w:t>
      </w:r>
      <w:r w:rsidR="1E4522D2" w:rsidRPr="002F365E">
        <w:t>D</w:t>
      </w:r>
      <w:r w:rsidR="00F25D5C" w:rsidRPr="002F365E">
        <w:t xml:space="preserve">odatku stanoveno </w:t>
      </w:r>
      <w:r w:rsidR="002F5492" w:rsidRPr="002F365E">
        <w:t xml:space="preserve">výslovně </w:t>
      </w:r>
      <w:r w:rsidR="00F25D5C" w:rsidRPr="002F365E">
        <w:t xml:space="preserve">jinak, vztahují se ustanovení Smlouvy samostatně na Přípravu území a samostatně na </w:t>
      </w:r>
      <w:r w:rsidR="00E608E7" w:rsidRPr="002F365E">
        <w:t>Z</w:t>
      </w:r>
      <w:r w:rsidR="00F25D5C" w:rsidRPr="002F365E">
        <w:t xml:space="preserve">bývající část plnění (např. předávací protokol bude vyhotoven jak k jednotlivým částem Přípravy území, tak k jednotlivým částem </w:t>
      </w:r>
      <w:r w:rsidR="00E608E7" w:rsidRPr="002F365E">
        <w:t>Z</w:t>
      </w:r>
      <w:r w:rsidR="00F25D5C" w:rsidRPr="002F365E">
        <w:t>bývající části plnění).</w:t>
      </w:r>
    </w:p>
    <w:p w14:paraId="34212D05" w14:textId="435042D2" w:rsidR="00E51032" w:rsidRPr="00C57165" w:rsidRDefault="00607573" w:rsidP="35526458">
      <w:pPr>
        <w:pStyle w:val="LegalOdstavec"/>
      </w:pPr>
      <w:r>
        <w:lastRenderedPageBreak/>
        <w:t xml:space="preserve">Příprava území je dále členěná do </w:t>
      </w:r>
      <w:r w:rsidR="00C57165">
        <w:t xml:space="preserve">Stupňů plnění </w:t>
      </w:r>
      <w:r>
        <w:t>ve smyslu čl. II odst. 1 Smlouvy</w:t>
      </w:r>
      <w:r w:rsidR="00F40DFA">
        <w:t>.</w:t>
      </w:r>
      <w:r>
        <w:t xml:space="preserve"> </w:t>
      </w:r>
      <w:r w:rsidR="00D33CCE">
        <w:t xml:space="preserve"> </w:t>
      </w:r>
    </w:p>
    <w:p w14:paraId="34212D06" w14:textId="1A9ECC9C" w:rsidR="00F634BD" w:rsidRPr="002F365E" w:rsidRDefault="00F84377" w:rsidP="002F365E">
      <w:pPr>
        <w:pStyle w:val="LegalOdstavec"/>
      </w:pPr>
      <w:r w:rsidRPr="002F365E">
        <w:t xml:space="preserve">Pro </w:t>
      </w:r>
      <w:r w:rsidRPr="00C96787">
        <w:t>vyloučení pochybností smluvní strany potvrzují, že</w:t>
      </w:r>
      <w:r w:rsidR="00E608E7" w:rsidRPr="00C96787">
        <w:t xml:space="preserve"> ve vztahu k Přípravě území </w:t>
      </w:r>
      <w:r w:rsidRPr="00C96787">
        <w:t xml:space="preserve">Zhotovitel </w:t>
      </w:r>
      <w:r w:rsidR="00C57165" w:rsidRPr="00C96787">
        <w:t>s</w:t>
      </w:r>
      <w:r w:rsidR="00330F39" w:rsidRPr="00C96787">
        <w:t xml:space="preserve">plnil a </w:t>
      </w:r>
      <w:r w:rsidR="00FD56D3" w:rsidRPr="00C96787">
        <w:t xml:space="preserve">Objednatel bez výhrad převzal </w:t>
      </w:r>
      <w:r w:rsidR="00C57165" w:rsidRPr="00C96787">
        <w:t xml:space="preserve">Stupně plnění </w:t>
      </w:r>
      <w:r w:rsidR="00330F39" w:rsidRPr="00C96787">
        <w:t>definovan</w:t>
      </w:r>
      <w:r w:rsidR="00CC4C76" w:rsidRPr="00C96787">
        <w:t>é</w:t>
      </w:r>
      <w:r w:rsidR="00330F39" w:rsidRPr="00C96787">
        <w:t xml:space="preserve"> v čl. II. odst. 1 písm. a) – </w:t>
      </w:r>
      <w:r w:rsidR="00B830D8">
        <w:t>d</w:t>
      </w:r>
      <w:r w:rsidR="00330F39" w:rsidRPr="00C96787">
        <w:t>) Smlouvy</w:t>
      </w:r>
      <w:r w:rsidR="00F634BD" w:rsidRPr="002F365E">
        <w:t xml:space="preserve">. </w:t>
      </w:r>
    </w:p>
    <w:p w14:paraId="619C37B6" w14:textId="71244031" w:rsidR="002535BC" w:rsidRPr="003B15D8" w:rsidRDefault="002535BC" w:rsidP="002F365E">
      <w:pPr>
        <w:pStyle w:val="LegalOdstavec"/>
      </w:pPr>
      <w:r w:rsidRPr="002F365E">
        <w:t>Pro vyloučení pochybností se dále sjednává, že</w:t>
      </w:r>
      <w:r w:rsidR="00FD56D3" w:rsidRPr="002F365E">
        <w:t xml:space="preserve"> cena Předmětu plnění definovaná v čl. </w:t>
      </w:r>
      <w:r w:rsidR="00FD56D3" w:rsidRPr="003B15D8">
        <w:t>VII Smlouvy se rozumí cenou společnou pro Přípravu území a Zbývající část plnění.</w:t>
      </w:r>
    </w:p>
    <w:p w14:paraId="34212D07" w14:textId="028DA0E4" w:rsidR="00F634BD" w:rsidRPr="003B15D8" w:rsidRDefault="27366FB5" w:rsidP="002F365E">
      <w:pPr>
        <w:pStyle w:val="LegalOdstavec"/>
      </w:pPr>
      <w:r w:rsidRPr="003B15D8">
        <w:t xml:space="preserve">Zhotovitel je pro Přípravu území - Stupeň plnění PDPS </w:t>
      </w:r>
      <w:r w:rsidR="462EFB65" w:rsidRPr="003B15D8">
        <w:t>vázán následujícími lhůtami</w:t>
      </w:r>
      <w:r w:rsidR="00F634BD" w:rsidRPr="003B15D8">
        <w:t>:</w:t>
      </w:r>
    </w:p>
    <w:p w14:paraId="2087227C" w14:textId="1C6A9B72" w:rsidR="1C9CF0BE" w:rsidRPr="003B15D8" w:rsidRDefault="1C9CF0BE" w:rsidP="35526458">
      <w:pPr>
        <w:pStyle w:val="LegalPsmeno"/>
        <w:jc w:val="both"/>
      </w:pPr>
      <w:r w:rsidRPr="003B15D8">
        <w:t>Předložení návrhu kompletní dokumentace k připomínkám Objednatele: do</w:t>
      </w:r>
      <w:r w:rsidR="003B15D8" w:rsidRPr="003B15D8">
        <w:t> 07. 06. 2023</w:t>
      </w:r>
      <w:r w:rsidRPr="003B15D8">
        <w:t>,</w:t>
      </w:r>
    </w:p>
    <w:p w14:paraId="34212D08" w14:textId="5C78FA9F" w:rsidR="002D7307" w:rsidRPr="003B15D8" w:rsidRDefault="00F634BD" w:rsidP="35526458">
      <w:pPr>
        <w:pStyle w:val="LegalPsmeno"/>
        <w:jc w:val="both"/>
      </w:pPr>
      <w:r w:rsidRPr="003B15D8">
        <w:t xml:space="preserve">Připomínky </w:t>
      </w:r>
      <w:r w:rsidR="7015315A" w:rsidRPr="00961D89">
        <w:t xml:space="preserve">Objednatel </w:t>
      </w:r>
      <w:r w:rsidRPr="00961D89">
        <w:t>k</w:t>
      </w:r>
      <w:r w:rsidR="002D7307" w:rsidRPr="00961D89">
        <w:t> návrhu</w:t>
      </w:r>
      <w:r w:rsidR="3D8EF8E6" w:rsidRPr="00961D89">
        <w:t xml:space="preserve"> kompletní dokumentace</w:t>
      </w:r>
      <w:r w:rsidR="002D7307" w:rsidRPr="00961D89">
        <w:t>:</w:t>
      </w:r>
      <w:r w:rsidR="767BC7BE" w:rsidRPr="00961D89">
        <w:t xml:space="preserve"> </w:t>
      </w:r>
      <w:r w:rsidR="767BC7BE" w:rsidRPr="00E80062">
        <w:rPr>
          <w:rFonts w:eastAsia="Calibri"/>
        </w:rPr>
        <w:t>Objednatel předá Zhotoviteli své připomínky k návrhu nejpozději do 25 kalendářních dnů od obdržení návrhu,</w:t>
      </w:r>
      <w:r w:rsidR="767BC7BE" w:rsidRPr="003B15D8">
        <w:rPr>
          <w:rFonts w:ascii="Calibri" w:eastAsia="Calibri" w:hAnsi="Calibri" w:cs="Calibri"/>
          <w:sz w:val="24"/>
          <w:szCs w:val="24"/>
        </w:rPr>
        <w:t xml:space="preserve"> </w:t>
      </w:r>
      <w:r w:rsidR="767BC7BE" w:rsidRPr="003B15D8">
        <w:t xml:space="preserve"> </w:t>
      </w:r>
      <w:r w:rsidR="002D7307" w:rsidRPr="003B15D8">
        <w:t xml:space="preserve"> </w:t>
      </w:r>
    </w:p>
    <w:p w14:paraId="34212D09" w14:textId="77777777" w:rsidR="002D7307" w:rsidRPr="002F365E" w:rsidRDefault="002D7307" w:rsidP="000262AF">
      <w:pPr>
        <w:pStyle w:val="LegalPsmeno"/>
        <w:jc w:val="both"/>
      </w:pPr>
      <w:r>
        <w:t xml:space="preserve">Dokončení Stupně plnění PDPS: </w:t>
      </w:r>
      <w:r w:rsidR="000262AF">
        <w:t>Zhotovitel vypořádá připomínky Objednatele k návrhu PDPS a předá Objednateli upravenou PDPS nejpozději do 30 kalendářních dnů ode dne obdržení připomínek Objednatele k návrhu PDPS.</w:t>
      </w:r>
    </w:p>
    <w:p w14:paraId="34212D0A" w14:textId="2634A3DC" w:rsidR="00F634BD" w:rsidRPr="002F365E" w:rsidRDefault="7DC71FD4" w:rsidP="002F365E">
      <w:pPr>
        <w:pStyle w:val="LegalOdstavec"/>
      </w:pPr>
      <w:r>
        <w:t>Pro vyloučení pochybností se sjednává, že u</w:t>
      </w:r>
      <w:r w:rsidR="00C57165">
        <w:t xml:space="preserve"> </w:t>
      </w:r>
      <w:r w:rsidR="002D7307">
        <w:t xml:space="preserve">lhůt </w:t>
      </w:r>
      <w:r w:rsidR="5C95604B">
        <w:t xml:space="preserve">Stupně plnění </w:t>
      </w:r>
      <w:r w:rsidR="002D7307">
        <w:t>dle čl. V odst. 6 (Poskytování součinnosti) a čl. V odst. 7 (Autorský dozor)</w:t>
      </w:r>
      <w:r w:rsidR="00C57165">
        <w:t xml:space="preserve"> Smlouvy</w:t>
      </w:r>
      <w:r w:rsidR="002D7307">
        <w:t xml:space="preserve"> bere Zhotovitel na vědomí, že Příprava území a realizace </w:t>
      </w:r>
      <w:r w:rsidR="00E608E7">
        <w:t>Z</w:t>
      </w:r>
      <w:r w:rsidR="002D7307">
        <w:t xml:space="preserve">bývající části </w:t>
      </w:r>
      <w:r w:rsidR="009404B6">
        <w:t xml:space="preserve">plnění </w:t>
      </w:r>
      <w:r w:rsidR="002D7307">
        <w:t xml:space="preserve">nemusí být navazující, tudíž Objednatel může </w:t>
      </w:r>
      <w:r w:rsidR="000223A4">
        <w:t xml:space="preserve">vydat pokyny </w:t>
      </w:r>
      <w:r w:rsidR="002D7307">
        <w:t xml:space="preserve">pro zahájení </w:t>
      </w:r>
      <w:r w:rsidR="00C57165">
        <w:t xml:space="preserve">Stupeň plnění </w:t>
      </w:r>
      <w:r w:rsidR="002D7307">
        <w:t xml:space="preserve">Poskytování součinnosti a pro </w:t>
      </w:r>
      <w:r w:rsidR="00C57165">
        <w:t xml:space="preserve">Stupeň plnění </w:t>
      </w:r>
      <w:r w:rsidR="002D7307">
        <w:t>Autorský dozor</w:t>
      </w:r>
      <w:r w:rsidR="000223A4">
        <w:t xml:space="preserve"> samostatně ve vztahu k Přípravě území a samostatně ve vztahu k Zbývající části plnění</w:t>
      </w:r>
      <w:r w:rsidR="009404B6">
        <w:t>.</w:t>
      </w:r>
      <w:r w:rsidR="23C81EBA">
        <w:t xml:space="preserve"> </w:t>
      </w:r>
      <w:r w:rsidR="424E6948">
        <w:t xml:space="preserve"> </w:t>
      </w:r>
      <w:r w:rsidR="60E31B80">
        <w:t xml:space="preserve"> </w:t>
      </w:r>
      <w:r w:rsidR="19BC9ADC">
        <w:t xml:space="preserve"> </w:t>
      </w:r>
    </w:p>
    <w:p w14:paraId="34212D0B" w14:textId="77777777" w:rsidR="002D7307" w:rsidRPr="002F365E" w:rsidRDefault="002D7307" w:rsidP="002F365E">
      <w:pPr>
        <w:pStyle w:val="LegalOdstavec"/>
      </w:pPr>
      <w:r w:rsidRPr="002F365E">
        <w:t xml:space="preserve">Pro účely čl. VII odst. 4 Smlouvy se sjednává, že </w:t>
      </w:r>
      <w:r w:rsidR="00327D97" w:rsidRPr="002F365E">
        <w:t xml:space="preserve">doba výstavby Stavby znamená součet dob výstavby Přípravy území a </w:t>
      </w:r>
      <w:r w:rsidR="009404B6" w:rsidRPr="002F365E">
        <w:t>Z</w:t>
      </w:r>
      <w:r w:rsidR="00327D97" w:rsidRPr="002F365E">
        <w:t xml:space="preserve">bývající části </w:t>
      </w:r>
      <w:r w:rsidR="009404B6" w:rsidRPr="002F365E">
        <w:t>plnění</w:t>
      </w:r>
      <w:r w:rsidR="00327D97" w:rsidRPr="002F365E">
        <w:t>.</w:t>
      </w:r>
    </w:p>
    <w:p w14:paraId="34212D0C" w14:textId="2F917797" w:rsidR="00C73CF3" w:rsidRPr="002F365E" w:rsidRDefault="0073034C" w:rsidP="002F365E">
      <w:pPr>
        <w:pStyle w:val="LegalOdstavec"/>
      </w:pPr>
      <w:r w:rsidRPr="002F365E">
        <w:t xml:space="preserve">Pro vyloučení pochybností smluvní strany sjednávají, že </w:t>
      </w:r>
      <w:r w:rsidR="007C167A" w:rsidRPr="002F365E">
        <w:t xml:space="preserve">pro účely čl. VIII Smlouvy nastává </w:t>
      </w:r>
      <w:r w:rsidRPr="002F365E">
        <w:t xml:space="preserve">splnění příslušného </w:t>
      </w:r>
      <w:r w:rsidR="00C57165">
        <w:t>S</w:t>
      </w:r>
      <w:r w:rsidRPr="002F365E">
        <w:t xml:space="preserve">tupně plnění až řádným splněním daného </w:t>
      </w:r>
      <w:r w:rsidR="00C57165">
        <w:t>S</w:t>
      </w:r>
      <w:r w:rsidRPr="002F365E">
        <w:t xml:space="preserve">tupně plnění jak pro Přípravu území, tak pro </w:t>
      </w:r>
      <w:r w:rsidR="009404B6" w:rsidRPr="002F365E">
        <w:t>Z</w:t>
      </w:r>
      <w:r w:rsidRPr="002F365E">
        <w:t xml:space="preserve">bývající část </w:t>
      </w:r>
      <w:r w:rsidR="009404B6" w:rsidRPr="002F365E">
        <w:t>plnění</w:t>
      </w:r>
      <w:r w:rsidRPr="002F365E">
        <w:t>.</w:t>
      </w:r>
    </w:p>
    <w:p w14:paraId="34212D0D" w14:textId="7804AB0C" w:rsidR="00117977" w:rsidRPr="002F365E" w:rsidRDefault="003B15D8" w:rsidP="00625C90">
      <w:pPr>
        <w:pStyle w:val="Legallnek"/>
      </w:pPr>
      <w:r>
        <w:t>Dodatečná ujednání</w:t>
      </w:r>
    </w:p>
    <w:p w14:paraId="02E1574D" w14:textId="289CB564" w:rsidR="002F365E" w:rsidRDefault="4DFD1C26" w:rsidP="002F365E">
      <w:pPr>
        <w:pStyle w:val="LegalOdstavec"/>
      </w:pPr>
      <w:r>
        <w:t>S ohledem na požadavky</w:t>
      </w:r>
      <w:r w:rsidR="003B15D8">
        <w:t xml:space="preserve">, které jsou </w:t>
      </w:r>
      <w:r>
        <w:t>kladen</w:t>
      </w:r>
      <w:r w:rsidR="003B15D8">
        <w:t>y</w:t>
      </w:r>
      <w:r>
        <w:t xml:space="preserve"> na zadávací dokumentaci pro stavební práce</w:t>
      </w:r>
      <w:r w:rsidR="003B15D8">
        <w:t>,</w:t>
      </w:r>
      <w:r>
        <w:t xml:space="preserve"> se s</w:t>
      </w:r>
      <w:r w:rsidR="00E608E7">
        <w:t>mluvní strany dále dohodly na tom, že</w:t>
      </w:r>
      <w:r w:rsidR="651F14E2">
        <w:t>:</w:t>
      </w:r>
    </w:p>
    <w:p w14:paraId="07A2B851" w14:textId="4C84F952" w:rsidR="002F365E" w:rsidRDefault="00E608E7" w:rsidP="35526458">
      <w:pPr>
        <w:pStyle w:val="LegalPsmeno"/>
      </w:pPr>
      <w:r>
        <w:t xml:space="preserve">v dokumentaci PDPS pro </w:t>
      </w:r>
      <w:r w:rsidR="009404B6">
        <w:t>Zbývající část plnění nebudou ve výkazu výměr, ani v položkovém rozpočtu uvedeny tzv. aktivní prvky sítě</w:t>
      </w:r>
      <w:r w:rsidR="5C164C7E">
        <w:t>,</w:t>
      </w:r>
    </w:p>
    <w:p w14:paraId="11726AD1" w14:textId="61C2A6F1" w:rsidR="5C164C7E" w:rsidRDefault="5C164C7E" w:rsidP="35526458">
      <w:pPr>
        <w:pStyle w:val="LegalPsmeno"/>
        <w:jc w:val="both"/>
      </w:pPr>
      <w:r w:rsidRPr="35526458">
        <w:t xml:space="preserve">soupis projektovaných aktivních prvků sítě, resp. </w:t>
      </w:r>
      <w:r w:rsidR="003B15D8">
        <w:t xml:space="preserve">výkaz výměr </w:t>
      </w:r>
      <w:r w:rsidRPr="35526458">
        <w:t>takových prvků bude dodán jako samostatný seznam, a to ve stejných termínech jako dokumentace PDPS.</w:t>
      </w:r>
    </w:p>
    <w:p w14:paraId="6622D7EE" w14:textId="0D62250A" w:rsidR="003B15D8" w:rsidRDefault="003B15D8" w:rsidP="003B15D8">
      <w:pPr>
        <w:pStyle w:val="LegalOdstavec"/>
      </w:pPr>
      <w:r>
        <w:lastRenderedPageBreak/>
        <w:t>K okamžiku uzavření tohoto Dodatku probíhá mezi smluvními stranami jednání o interpretaci Smlouvy, zejména</w:t>
      </w:r>
      <w:r w:rsidR="00551906">
        <w:t xml:space="preserve"> </w:t>
      </w:r>
      <w:proofErr w:type="spellStart"/>
      <w:r w:rsidR="00551906">
        <w:t>ohled</w:t>
      </w:r>
      <w:r w:rsidR="00961D89">
        <w:t>ně</w:t>
      </w:r>
      <w:r w:rsidR="00551906">
        <w:t>em</w:t>
      </w:r>
      <w:proofErr w:type="spellEnd"/>
      <w:r>
        <w:t xml:space="preserve"> věcného rozsahu předmětu plnění </w:t>
      </w:r>
      <w:r w:rsidR="007C1051">
        <w:t xml:space="preserve">a </w:t>
      </w:r>
      <w:r w:rsidR="00551906">
        <w:t>tvrzených vícepracích na dílu. Smluvní strany si tímto dodatkem vzájemně potvrzují, že budou dále o těchto otázkách jednat v dobré víře za účelem dosažení smírného řešení</w:t>
      </w:r>
      <w:bookmarkStart w:id="0" w:name="_GoBack"/>
      <w:bookmarkEnd w:id="0"/>
      <w:r w:rsidR="00551906">
        <w:t>.</w:t>
      </w:r>
    </w:p>
    <w:p w14:paraId="34212D0F" w14:textId="77777777" w:rsidR="006B37CC" w:rsidRPr="002F365E" w:rsidRDefault="00625C90" w:rsidP="00625C90">
      <w:pPr>
        <w:pStyle w:val="Legallnek"/>
      </w:pPr>
      <w:r w:rsidRPr="002F365E">
        <w:t>Závěrečná ustanovení</w:t>
      </w:r>
    </w:p>
    <w:p w14:paraId="34212D10" w14:textId="77777777" w:rsidR="00625C90" w:rsidRPr="002F365E" w:rsidRDefault="001B6857" w:rsidP="002F365E">
      <w:pPr>
        <w:pStyle w:val="LegalOdstavec"/>
      </w:pPr>
      <w:r w:rsidRPr="002F365E">
        <w:t>Nedílnou součástí tohoto Dodatku je jeho Příloha č. 1.</w:t>
      </w:r>
    </w:p>
    <w:p w14:paraId="34212D11" w14:textId="77777777" w:rsidR="001B6857" w:rsidRPr="002F365E" w:rsidRDefault="001B6857" w:rsidP="002F365E">
      <w:pPr>
        <w:pStyle w:val="LegalOdstavec"/>
      </w:pPr>
      <w:r w:rsidRPr="002F365E">
        <w:t xml:space="preserve">Dodatek nabývá platnosti dnem </w:t>
      </w:r>
      <w:r w:rsidR="009F74D3" w:rsidRPr="002F365E">
        <w:t xml:space="preserve">jeho </w:t>
      </w:r>
      <w:r w:rsidRPr="002F365E">
        <w:t>podpisu oběma smluvními stranami.</w:t>
      </w:r>
      <w:r w:rsidR="009F74D3" w:rsidRPr="002F365E">
        <w:t xml:space="preserve"> </w:t>
      </w:r>
      <w:r w:rsidRPr="002F365E">
        <w:t>Dodatek nabývá účinnosti dnem uveřejnění v registru smluv dle zákona č.</w:t>
      </w:r>
      <w:r w:rsidR="009F74D3" w:rsidRPr="002F365E">
        <w:t> </w:t>
      </w:r>
      <w:r w:rsidRPr="002F365E">
        <w:t>340/2015</w:t>
      </w:r>
      <w:r w:rsidR="009F74D3" w:rsidRPr="002F365E">
        <w:t> </w:t>
      </w:r>
      <w:r w:rsidRPr="002F365E">
        <w:t xml:space="preserve">Sb., o registru smluv, v platném a účinném znění. </w:t>
      </w:r>
      <w:r w:rsidR="009F74D3" w:rsidRPr="002F365E">
        <w:t>Smluvní strany se dohodly, že smlouvu zašle k uveřejnění v registru smluv Objednatel.</w:t>
      </w:r>
    </w:p>
    <w:p w14:paraId="34212D12" w14:textId="77777777" w:rsidR="009F74D3" w:rsidRPr="002F365E" w:rsidRDefault="009F74D3" w:rsidP="002F365E">
      <w:pPr>
        <w:pStyle w:val="LegalOdstavec"/>
      </w:pPr>
      <w:r w:rsidRPr="002F365E">
        <w:t>Tento Dodatek byl vyhotoven a smluvními stranami podepsán elektronicky.</w:t>
      </w:r>
    </w:p>
    <w:p w14:paraId="34212D13" w14:textId="77777777" w:rsidR="009F74D3" w:rsidRPr="002F365E" w:rsidRDefault="009F74D3" w:rsidP="009F74D3">
      <w:pPr>
        <w:rPr>
          <w:rFonts w:ascii="Arial" w:hAnsi="Arial" w:cs="Arial"/>
        </w:rPr>
      </w:pPr>
    </w:p>
    <w:p w14:paraId="669D5B8A" w14:textId="39723F44" w:rsidR="002F365E" w:rsidRDefault="009F74D3" w:rsidP="009F74D3">
      <w:pPr>
        <w:rPr>
          <w:rFonts w:ascii="Arial" w:hAnsi="Arial" w:cs="Arial"/>
        </w:rPr>
      </w:pPr>
      <w:r w:rsidRPr="35526458">
        <w:rPr>
          <w:rFonts w:ascii="Arial" w:hAnsi="Arial" w:cs="Arial"/>
        </w:rPr>
        <w:t>Za Objednatele</w:t>
      </w:r>
      <w:r>
        <w:tab/>
      </w:r>
      <w:r>
        <w:tab/>
      </w:r>
      <w:r>
        <w:tab/>
      </w:r>
      <w:r>
        <w:tab/>
      </w:r>
      <w:r>
        <w:tab/>
      </w:r>
      <w:r w:rsidR="002F365E" w:rsidRPr="35526458">
        <w:rPr>
          <w:rFonts w:ascii="Arial" w:hAnsi="Arial" w:cs="Arial"/>
        </w:rPr>
        <w:t>Za Zhotovitele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394"/>
      </w:tblGrid>
      <w:tr w:rsidR="00FD56D3" w:rsidRPr="002F365E" w14:paraId="4594B02C" w14:textId="77777777" w:rsidTr="002F365E">
        <w:trPr>
          <w:trHeight w:val="1218"/>
        </w:trPr>
        <w:tc>
          <w:tcPr>
            <w:tcW w:w="4106" w:type="dxa"/>
            <w:tcBorders>
              <w:bottom w:val="single" w:sz="4" w:space="0" w:color="auto"/>
            </w:tcBorders>
          </w:tcPr>
          <w:p w14:paraId="31C068DB" w14:textId="1CAB74EF" w:rsidR="00FD56D3" w:rsidRPr="002F365E" w:rsidRDefault="00FD56D3" w:rsidP="009F74D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8369A8" w14:textId="77777777" w:rsidR="00FD56D3" w:rsidRPr="002F365E" w:rsidRDefault="00FD56D3" w:rsidP="009F74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5793289" w14:textId="77777777" w:rsidR="00FD56D3" w:rsidRPr="002F365E" w:rsidRDefault="00FD56D3" w:rsidP="009F74D3">
            <w:pPr>
              <w:rPr>
                <w:rFonts w:ascii="Arial" w:hAnsi="Arial" w:cs="Arial"/>
              </w:rPr>
            </w:pPr>
          </w:p>
        </w:tc>
      </w:tr>
      <w:tr w:rsidR="00FD56D3" w:rsidRPr="002F365E" w14:paraId="3A32A912" w14:textId="77777777" w:rsidTr="002F365E">
        <w:tc>
          <w:tcPr>
            <w:tcW w:w="4106" w:type="dxa"/>
            <w:tcBorders>
              <w:top w:val="single" w:sz="4" w:space="0" w:color="auto"/>
            </w:tcBorders>
          </w:tcPr>
          <w:p w14:paraId="7437724E" w14:textId="03AF1031" w:rsidR="00FD56D3" w:rsidRPr="002F365E" w:rsidRDefault="00FD56D3" w:rsidP="002F36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365E">
              <w:rPr>
                <w:rFonts w:ascii="Arial" w:hAnsi="Arial" w:cs="Arial"/>
              </w:rPr>
              <w:t>MUDr. Ivo Rovný, MBA</w:t>
            </w:r>
          </w:p>
        </w:tc>
        <w:tc>
          <w:tcPr>
            <w:tcW w:w="851" w:type="dxa"/>
          </w:tcPr>
          <w:p w14:paraId="0E2910E0" w14:textId="77777777" w:rsidR="00FD56D3" w:rsidRPr="002F365E" w:rsidRDefault="00FD56D3" w:rsidP="002F36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87922A3" w14:textId="6BF255BF" w:rsidR="00FD56D3" w:rsidRPr="002F365E" w:rsidRDefault="00FD56D3" w:rsidP="002F36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365E">
              <w:rPr>
                <w:rFonts w:ascii="Arial" w:hAnsi="Arial" w:cs="Arial"/>
              </w:rPr>
              <w:t>Ing. Arch Jan Topinka</w:t>
            </w:r>
          </w:p>
        </w:tc>
      </w:tr>
      <w:tr w:rsidR="00FD56D3" w:rsidRPr="002F365E" w14:paraId="407071AF" w14:textId="77777777" w:rsidTr="002F365E">
        <w:tc>
          <w:tcPr>
            <w:tcW w:w="4106" w:type="dxa"/>
          </w:tcPr>
          <w:p w14:paraId="448CF9EC" w14:textId="6115F90C" w:rsidR="00FD56D3" w:rsidRPr="002F365E" w:rsidRDefault="00FD56D3" w:rsidP="002F36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365E">
              <w:rPr>
                <w:rFonts w:ascii="Arial" w:hAnsi="Arial" w:cs="Arial"/>
              </w:rPr>
              <w:t>Ředitel</w:t>
            </w:r>
          </w:p>
        </w:tc>
        <w:tc>
          <w:tcPr>
            <w:tcW w:w="851" w:type="dxa"/>
          </w:tcPr>
          <w:p w14:paraId="6F5C992A" w14:textId="77777777" w:rsidR="00FD56D3" w:rsidRPr="002F365E" w:rsidRDefault="00FD56D3" w:rsidP="002F36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E6CD692" w14:textId="450645AA" w:rsidR="00FD56D3" w:rsidRPr="002F365E" w:rsidRDefault="00FD56D3" w:rsidP="002F36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365E">
              <w:rPr>
                <w:rFonts w:ascii="Arial" w:hAnsi="Arial" w:cs="Arial"/>
              </w:rPr>
              <w:t xml:space="preserve">Ing. Arch Michal </w:t>
            </w:r>
            <w:proofErr w:type="spellStart"/>
            <w:r w:rsidRPr="002F365E">
              <w:rPr>
                <w:rFonts w:ascii="Arial" w:hAnsi="Arial" w:cs="Arial"/>
              </w:rPr>
              <w:t>Juha</w:t>
            </w:r>
            <w:proofErr w:type="spellEnd"/>
          </w:p>
        </w:tc>
      </w:tr>
      <w:tr w:rsidR="00FD56D3" w:rsidRPr="002F365E" w14:paraId="72A52841" w14:textId="77777777" w:rsidTr="002F365E">
        <w:tc>
          <w:tcPr>
            <w:tcW w:w="4106" w:type="dxa"/>
          </w:tcPr>
          <w:p w14:paraId="14F6E625" w14:textId="77777777" w:rsidR="00FD56D3" w:rsidRPr="002F365E" w:rsidRDefault="00FD56D3" w:rsidP="002F36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EE7C785" w14:textId="77777777" w:rsidR="00FD56D3" w:rsidRPr="002F365E" w:rsidRDefault="00FD56D3" w:rsidP="002F36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CDE2E5A" w14:textId="2F30337D" w:rsidR="00FD56D3" w:rsidRPr="002F365E" w:rsidRDefault="00FD56D3" w:rsidP="002F36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365E">
              <w:rPr>
                <w:rFonts w:ascii="Arial" w:hAnsi="Arial" w:cs="Arial"/>
              </w:rPr>
              <w:t>Jednatelé</w:t>
            </w:r>
          </w:p>
        </w:tc>
      </w:tr>
    </w:tbl>
    <w:p w14:paraId="34212D15" w14:textId="77777777" w:rsidR="009F74D3" w:rsidRPr="002F365E" w:rsidRDefault="009F74D3" w:rsidP="009F74D3">
      <w:pPr>
        <w:rPr>
          <w:rFonts w:ascii="Arial" w:hAnsi="Arial" w:cs="Arial"/>
        </w:rPr>
      </w:pPr>
    </w:p>
    <w:p w14:paraId="34212D16" w14:textId="77777777" w:rsidR="009F74D3" w:rsidRPr="002F365E" w:rsidRDefault="009F74D3" w:rsidP="009F74D3">
      <w:pPr>
        <w:rPr>
          <w:rFonts w:ascii="Arial" w:hAnsi="Arial" w:cs="Arial"/>
        </w:rPr>
      </w:pPr>
    </w:p>
    <w:p w14:paraId="2908F22B" w14:textId="77777777" w:rsidR="00FD56D3" w:rsidRPr="002F365E" w:rsidRDefault="00FD56D3">
      <w:pPr>
        <w:rPr>
          <w:rFonts w:ascii="Arial" w:hAnsi="Arial" w:cs="Arial"/>
          <w:b/>
        </w:rPr>
      </w:pPr>
      <w:r w:rsidRPr="002F365E">
        <w:rPr>
          <w:rFonts w:ascii="Arial" w:hAnsi="Arial" w:cs="Arial"/>
          <w:b/>
        </w:rPr>
        <w:br w:type="page"/>
      </w:r>
    </w:p>
    <w:p w14:paraId="34212D1A" w14:textId="476C83CC" w:rsidR="00625C90" w:rsidRPr="002F365E" w:rsidRDefault="00625C90" w:rsidP="00625C90">
      <w:pPr>
        <w:rPr>
          <w:rFonts w:ascii="Arial" w:hAnsi="Arial" w:cs="Arial"/>
          <w:b/>
        </w:rPr>
      </w:pPr>
      <w:r w:rsidRPr="002F365E">
        <w:rPr>
          <w:rFonts w:ascii="Arial" w:hAnsi="Arial" w:cs="Arial"/>
          <w:b/>
        </w:rPr>
        <w:lastRenderedPageBreak/>
        <w:t>Příloha č. 1</w:t>
      </w:r>
      <w:r w:rsidR="00F84377" w:rsidRPr="002F365E">
        <w:rPr>
          <w:rFonts w:ascii="Arial" w:hAnsi="Arial" w:cs="Arial"/>
          <w:b/>
        </w:rPr>
        <w:t xml:space="preserve">: </w:t>
      </w:r>
      <w:r w:rsidRPr="002F365E">
        <w:rPr>
          <w:rFonts w:ascii="Arial" w:hAnsi="Arial" w:cs="Arial"/>
          <w:b/>
        </w:rPr>
        <w:t xml:space="preserve">Soupis </w:t>
      </w:r>
      <w:r w:rsidR="00A91D52" w:rsidRPr="002F365E">
        <w:rPr>
          <w:rFonts w:ascii="Arial" w:hAnsi="Arial" w:cs="Arial"/>
          <w:b/>
        </w:rPr>
        <w:t xml:space="preserve">stavebních </w:t>
      </w:r>
      <w:r w:rsidRPr="002F365E">
        <w:rPr>
          <w:rFonts w:ascii="Arial" w:hAnsi="Arial" w:cs="Arial"/>
          <w:b/>
        </w:rPr>
        <w:t>prací a činností tvořící funkční celek „Příprava území“</w:t>
      </w:r>
    </w:p>
    <w:p w14:paraId="34212D1F" w14:textId="77777777" w:rsidR="00625C90" w:rsidRPr="002F365E" w:rsidRDefault="00625C90" w:rsidP="33A8EFE6">
      <w:pPr>
        <w:pStyle w:val="Odstavecseseznamem"/>
        <w:numPr>
          <w:ilvl w:val="0"/>
          <w:numId w:val="3"/>
        </w:numPr>
        <w:spacing w:before="120" w:after="120"/>
        <w:ind w:hanging="357"/>
        <w:rPr>
          <w:rFonts w:ascii="Arial" w:hAnsi="Arial" w:cs="Arial"/>
          <w:b/>
          <w:bCs/>
        </w:rPr>
      </w:pPr>
      <w:proofErr w:type="gramStart"/>
      <w:r w:rsidRPr="33A8EFE6">
        <w:rPr>
          <w:rFonts w:ascii="Arial" w:hAnsi="Arial" w:cs="Arial"/>
          <w:b/>
          <w:bCs/>
        </w:rPr>
        <w:t>D.1-SO-02</w:t>
      </w:r>
      <w:proofErr w:type="gramEnd"/>
      <w:r w:rsidRPr="33A8EFE6">
        <w:rPr>
          <w:rFonts w:ascii="Arial" w:hAnsi="Arial" w:cs="Arial"/>
          <w:b/>
          <w:bCs/>
        </w:rPr>
        <w:t xml:space="preserve"> Stavební úprava </w:t>
      </w:r>
      <w:proofErr w:type="spellStart"/>
      <w:r w:rsidRPr="33A8EFE6">
        <w:rPr>
          <w:rFonts w:ascii="Arial" w:hAnsi="Arial" w:cs="Arial"/>
          <w:b/>
          <w:bCs/>
        </w:rPr>
        <w:t>energocentra</w:t>
      </w:r>
      <w:proofErr w:type="spellEnd"/>
    </w:p>
    <w:p w14:paraId="4AFE3442" w14:textId="77777777" w:rsidR="00B830D8" w:rsidRPr="002F365E" w:rsidRDefault="00B830D8" w:rsidP="00B830D8">
      <w:pPr>
        <w:pStyle w:val="Odstavecseseznamem"/>
        <w:spacing w:after="0"/>
        <w:ind w:left="1440"/>
        <w:contextualSpacing w:val="0"/>
        <w:rPr>
          <w:rFonts w:ascii="Arial" w:hAnsi="Arial" w:cs="Arial"/>
        </w:rPr>
      </w:pPr>
    </w:p>
    <w:p w14:paraId="34212D24" w14:textId="77777777" w:rsidR="00625C90" w:rsidRPr="002F365E" w:rsidRDefault="00625C90" w:rsidP="00F84377">
      <w:pPr>
        <w:pStyle w:val="Odstavecseseznamem"/>
        <w:numPr>
          <w:ilvl w:val="0"/>
          <w:numId w:val="3"/>
        </w:numPr>
        <w:spacing w:before="120" w:after="120"/>
        <w:ind w:hanging="357"/>
        <w:contextualSpacing w:val="0"/>
        <w:rPr>
          <w:rFonts w:ascii="Arial" w:hAnsi="Arial" w:cs="Arial"/>
          <w:b/>
        </w:rPr>
      </w:pPr>
      <w:proofErr w:type="gramStart"/>
      <w:r w:rsidRPr="002F365E">
        <w:rPr>
          <w:rFonts w:ascii="Arial" w:hAnsi="Arial" w:cs="Arial"/>
          <w:b/>
        </w:rPr>
        <w:t>D.1-SO-03</w:t>
      </w:r>
      <w:proofErr w:type="gramEnd"/>
      <w:r w:rsidRPr="002F365E">
        <w:rPr>
          <w:rFonts w:ascii="Arial" w:hAnsi="Arial" w:cs="Arial"/>
          <w:b/>
        </w:rPr>
        <w:t xml:space="preserve"> Přeložky do středového kolektoru</w:t>
      </w:r>
    </w:p>
    <w:p w14:paraId="43CF6EEA" w14:textId="3C4B7E53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vody a kanalizace, </w:t>
      </w:r>
    </w:p>
    <w:p w14:paraId="373A1A08" w14:textId="77777777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páry, </w:t>
      </w:r>
    </w:p>
    <w:p w14:paraId="2D970EA7" w14:textId="77777777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slaboproudých instalací, </w:t>
      </w:r>
    </w:p>
    <w:p w14:paraId="5A1B4A82" w14:textId="77777777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silnoproudých instalací, </w:t>
      </w:r>
    </w:p>
    <w:p w14:paraId="614F8CBF" w14:textId="77777777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</w:t>
      </w:r>
      <w:proofErr w:type="spellStart"/>
      <w:r>
        <w:t>mediplynů</w:t>
      </w:r>
      <w:proofErr w:type="spellEnd"/>
      <w:r>
        <w:t xml:space="preserve"> včetně vedení v zemi, </w:t>
      </w:r>
    </w:p>
    <w:p w14:paraId="38FB6C14" w14:textId="77777777" w:rsidR="003B15D8" w:rsidRPr="003B15D8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 xml:space="preserve">přeložka potrubní pošty, </w:t>
      </w:r>
    </w:p>
    <w:p w14:paraId="34212D2D" w14:textId="206DFB68" w:rsidR="00625C90" w:rsidRDefault="003B15D8" w:rsidP="00F84377">
      <w:pPr>
        <w:pStyle w:val="Odstavecseseznamem"/>
        <w:numPr>
          <w:ilvl w:val="1"/>
          <w:numId w:val="3"/>
        </w:numPr>
        <w:spacing w:after="0"/>
        <w:ind w:hanging="357"/>
        <w:contextualSpacing w:val="0"/>
        <w:rPr>
          <w:rFonts w:ascii="Arial" w:hAnsi="Arial" w:cs="Arial"/>
        </w:rPr>
      </w:pPr>
      <w:r>
        <w:t>zrušení plynu</w:t>
      </w:r>
    </w:p>
    <w:p w14:paraId="62502A63" w14:textId="77777777" w:rsidR="00B830D8" w:rsidRPr="002F365E" w:rsidRDefault="00B830D8" w:rsidP="00B830D8">
      <w:pPr>
        <w:pStyle w:val="Odstavecseseznamem"/>
        <w:spacing w:after="0"/>
        <w:ind w:left="1440"/>
        <w:contextualSpacing w:val="0"/>
        <w:rPr>
          <w:rFonts w:ascii="Arial" w:hAnsi="Arial" w:cs="Arial"/>
        </w:rPr>
      </w:pPr>
    </w:p>
    <w:p w14:paraId="34212D39" w14:textId="77777777" w:rsidR="00A91D52" w:rsidRPr="002F365E" w:rsidRDefault="00A91D52" w:rsidP="00F84377">
      <w:pPr>
        <w:pStyle w:val="Odstavecseseznamem"/>
        <w:numPr>
          <w:ilvl w:val="0"/>
          <w:numId w:val="3"/>
        </w:numPr>
        <w:spacing w:before="120" w:after="120"/>
        <w:ind w:hanging="357"/>
        <w:contextualSpacing w:val="0"/>
        <w:rPr>
          <w:rFonts w:ascii="Arial" w:hAnsi="Arial" w:cs="Arial"/>
          <w:b/>
        </w:rPr>
      </w:pPr>
      <w:proofErr w:type="gramStart"/>
      <w:r w:rsidRPr="002F365E">
        <w:rPr>
          <w:rFonts w:ascii="Arial" w:hAnsi="Arial" w:cs="Arial"/>
          <w:b/>
        </w:rPr>
        <w:t>D.1-SO-08</w:t>
      </w:r>
      <w:proofErr w:type="gramEnd"/>
      <w:r w:rsidRPr="002F365E">
        <w:rPr>
          <w:rFonts w:ascii="Arial" w:hAnsi="Arial" w:cs="Arial"/>
          <w:b/>
        </w:rPr>
        <w:t xml:space="preserve"> Inženýrské sítě</w:t>
      </w:r>
    </w:p>
    <w:p w14:paraId="26A0FA3E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vodovodu a kanalizace, </w:t>
      </w:r>
    </w:p>
    <w:p w14:paraId="699D3732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areálová přípojka vysokého napětí, </w:t>
      </w:r>
    </w:p>
    <w:p w14:paraId="7F32AC05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navýšení kapacity VN, </w:t>
      </w:r>
    </w:p>
    <w:p w14:paraId="1673B06E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areálové rozvody NN, </w:t>
      </w:r>
    </w:p>
    <w:p w14:paraId="2442F42E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plynu, </w:t>
      </w:r>
    </w:p>
    <w:p w14:paraId="4E8E770E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slaboproudu včetně přeložky telefonní ústředny, </w:t>
      </w:r>
    </w:p>
    <w:p w14:paraId="4C4C2E40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VN, </w:t>
      </w:r>
    </w:p>
    <w:p w14:paraId="41F98A0A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>přeložka areálového osvětlení,</w:t>
      </w:r>
    </w:p>
    <w:p w14:paraId="5B861502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ústředny EPS, </w:t>
      </w:r>
    </w:p>
    <w:p w14:paraId="677A35AA" w14:textId="77777777" w:rsidR="003B15D8" w:rsidRPr="003B15D8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 xml:space="preserve">přeložka rozvodů slaboproudu v budově O, </w:t>
      </w:r>
    </w:p>
    <w:p w14:paraId="27F67EE0" w14:textId="2EDD7C12" w:rsidR="006B1161" w:rsidRPr="002F365E" w:rsidRDefault="003B15D8" w:rsidP="003B15D8">
      <w:pPr>
        <w:pStyle w:val="Odstavecseseznamem"/>
        <w:numPr>
          <w:ilvl w:val="1"/>
          <w:numId w:val="3"/>
        </w:numPr>
        <w:spacing w:after="0"/>
        <w:ind w:hanging="357"/>
        <w:rPr>
          <w:rFonts w:ascii="Arial" w:hAnsi="Arial" w:cs="Arial"/>
        </w:rPr>
      </w:pPr>
      <w:r>
        <w:t>přeložka přípojky CETIN.</w:t>
      </w:r>
    </w:p>
    <w:sectPr w:rsidR="006B1161" w:rsidRPr="002F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633916" w16cex:dateUtc="2023-04-25T13:08:08.447Z"/>
  <w16cex:commentExtensible w16cex:durableId="4974576D" w16cex:dateUtc="2023-04-25T13:10:50.835Z"/>
  <w16cex:commentExtensible w16cex:durableId="1E6C3CC7" w16cex:dateUtc="2023-04-25T13:11:20.127Z"/>
  <w16cex:commentExtensible w16cex:durableId="367C7D0D" w16cex:dateUtc="2023-04-25T13:12:18.68Z"/>
  <w16cex:commentExtensible w16cex:durableId="27717596" w16cex:dateUtc="2023-04-25T13:14:12.551Z"/>
  <w16cex:commentExtensible w16cex:durableId="6BF50662" w16cex:dateUtc="2023-04-25T13:16:34.956Z"/>
  <w16cex:commentExtensible w16cex:durableId="4575C6A6" w16cex:dateUtc="2023-04-25T13:17:15.583Z"/>
  <w16cex:commentExtensible w16cex:durableId="3BCA4C77" w16cex:dateUtc="2023-04-25T13:17:39.597Z"/>
  <w16cex:commentExtensible w16cex:durableId="5BDA8C75" w16cex:dateUtc="2023-04-25T13:18:14.79Z"/>
  <w16cex:commentExtensible w16cex:durableId="4E0AA68E" w16cex:dateUtc="2023-04-25T13:20:40.099Z"/>
  <w16cex:commentExtensible w16cex:durableId="45B43C32" w16cex:dateUtc="2023-04-28T12:09:27.2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D50EE0" w16cid:durableId="7EC0E6EC"/>
  <w16cid:commentId w16cid:paraId="293F9647" w16cid:durableId="272E107C"/>
  <w16cid:commentId w16cid:paraId="4D81D80A" w16cid:durableId="772B14C0"/>
  <w16cid:commentId w16cid:paraId="013EA62E" w16cid:durableId="094A09A4"/>
  <w16cid:commentId w16cid:paraId="5F3B25C5" w16cid:durableId="2781076D"/>
  <w16cid:commentId w16cid:paraId="57E8ED4F" w16cid:durableId="1D633916"/>
  <w16cid:commentId w16cid:paraId="09186334" w16cid:durableId="4974576D"/>
  <w16cid:commentId w16cid:paraId="15014451" w16cid:durableId="1E6C3CC7"/>
  <w16cid:commentId w16cid:paraId="2214758A" w16cid:durableId="367C7D0D"/>
  <w16cid:commentId w16cid:paraId="470FF03A" w16cid:durableId="27717596"/>
  <w16cid:commentId w16cid:paraId="45552C6F" w16cid:durableId="6BF50662"/>
  <w16cid:commentId w16cid:paraId="24E95DBE" w16cid:durableId="4575C6A6"/>
  <w16cid:commentId w16cid:paraId="4AD0D093" w16cid:durableId="3BCA4C77"/>
  <w16cid:commentId w16cid:paraId="476B61E5" w16cid:durableId="5BDA8C75"/>
  <w16cid:commentId w16cid:paraId="22FB623E" w16cid:durableId="4E0AA68E"/>
  <w16cid:commentId w16cid:paraId="7689E2A5" w16cid:durableId="45B43C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AC3"/>
    <w:multiLevelType w:val="hybridMultilevel"/>
    <w:tmpl w:val="5E52C466"/>
    <w:lvl w:ilvl="0" w:tplc="DCC865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657B0E"/>
    <w:multiLevelType w:val="hybridMultilevel"/>
    <w:tmpl w:val="1502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719F"/>
    <w:multiLevelType w:val="hybridMultilevel"/>
    <w:tmpl w:val="5FF4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4E95"/>
    <w:multiLevelType w:val="hybridMultilevel"/>
    <w:tmpl w:val="42B2F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6797"/>
    <w:multiLevelType w:val="multilevel"/>
    <w:tmpl w:val="50B82202"/>
    <w:lvl w:ilvl="0">
      <w:start w:val="1"/>
      <w:numFmt w:val="decimal"/>
      <w:pStyle w:val="Legalln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alOdstavec"/>
      <w:lvlText w:val="%1.%2."/>
      <w:lvlJc w:val="left"/>
      <w:pPr>
        <w:ind w:left="3126" w:hanging="432"/>
      </w:pPr>
      <w:rPr>
        <w:rFonts w:hint="default"/>
        <w:b w:val="0"/>
      </w:rPr>
    </w:lvl>
    <w:lvl w:ilvl="2">
      <w:start w:val="1"/>
      <w:numFmt w:val="lowerLetter"/>
      <w:pStyle w:val="LegalPsmeno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D9"/>
    <w:rsid w:val="000223A4"/>
    <w:rsid w:val="000262AF"/>
    <w:rsid w:val="00117977"/>
    <w:rsid w:val="001541C9"/>
    <w:rsid w:val="001B6857"/>
    <w:rsid w:val="002535BC"/>
    <w:rsid w:val="002B0A8F"/>
    <w:rsid w:val="002D7307"/>
    <w:rsid w:val="002E1D9A"/>
    <w:rsid w:val="002F365E"/>
    <w:rsid w:val="002F5492"/>
    <w:rsid w:val="00327D97"/>
    <w:rsid w:val="00330F39"/>
    <w:rsid w:val="003526A0"/>
    <w:rsid w:val="003766EE"/>
    <w:rsid w:val="00381422"/>
    <w:rsid w:val="00390E4C"/>
    <w:rsid w:val="003B0769"/>
    <w:rsid w:val="003B15D8"/>
    <w:rsid w:val="004E37A5"/>
    <w:rsid w:val="00522E70"/>
    <w:rsid w:val="00551906"/>
    <w:rsid w:val="00572F03"/>
    <w:rsid w:val="00607573"/>
    <w:rsid w:val="00625C90"/>
    <w:rsid w:val="006317EF"/>
    <w:rsid w:val="006A2960"/>
    <w:rsid w:val="006B1161"/>
    <w:rsid w:val="006B37CC"/>
    <w:rsid w:val="00710EC0"/>
    <w:rsid w:val="0073034C"/>
    <w:rsid w:val="00770EC5"/>
    <w:rsid w:val="007C1051"/>
    <w:rsid w:val="007C167A"/>
    <w:rsid w:val="007D1307"/>
    <w:rsid w:val="008810B5"/>
    <w:rsid w:val="009404B6"/>
    <w:rsid w:val="00961D89"/>
    <w:rsid w:val="009B4071"/>
    <w:rsid w:val="009F74D3"/>
    <w:rsid w:val="00A56ECF"/>
    <w:rsid w:val="00A91D52"/>
    <w:rsid w:val="00AD370B"/>
    <w:rsid w:val="00B236A6"/>
    <w:rsid w:val="00B830D8"/>
    <w:rsid w:val="00BE6DDB"/>
    <w:rsid w:val="00C57165"/>
    <w:rsid w:val="00C73CF3"/>
    <w:rsid w:val="00C96787"/>
    <w:rsid w:val="00CC4C76"/>
    <w:rsid w:val="00D21845"/>
    <w:rsid w:val="00D33CCE"/>
    <w:rsid w:val="00D47992"/>
    <w:rsid w:val="00D744D9"/>
    <w:rsid w:val="00DF37A8"/>
    <w:rsid w:val="00E16F69"/>
    <w:rsid w:val="00E31BCA"/>
    <w:rsid w:val="00E51032"/>
    <w:rsid w:val="00E608E7"/>
    <w:rsid w:val="00E80062"/>
    <w:rsid w:val="00F178DD"/>
    <w:rsid w:val="00F22A5D"/>
    <w:rsid w:val="00F25D5C"/>
    <w:rsid w:val="00F40DFA"/>
    <w:rsid w:val="00F634BD"/>
    <w:rsid w:val="00F84377"/>
    <w:rsid w:val="00FD56D3"/>
    <w:rsid w:val="03A8155E"/>
    <w:rsid w:val="0A9E3ECE"/>
    <w:rsid w:val="0BFC4D99"/>
    <w:rsid w:val="155D000A"/>
    <w:rsid w:val="1671AB20"/>
    <w:rsid w:val="17780E3C"/>
    <w:rsid w:val="19BC9ADC"/>
    <w:rsid w:val="1C9CF0BE"/>
    <w:rsid w:val="1E4522D2"/>
    <w:rsid w:val="1EEAB9F3"/>
    <w:rsid w:val="1FE99C59"/>
    <w:rsid w:val="22225AB5"/>
    <w:rsid w:val="23C81EBA"/>
    <w:rsid w:val="2559FB77"/>
    <w:rsid w:val="25816DFE"/>
    <w:rsid w:val="27366FB5"/>
    <w:rsid w:val="29C49D5F"/>
    <w:rsid w:val="2BE077D9"/>
    <w:rsid w:val="2C28C8C7"/>
    <w:rsid w:val="2D9311EE"/>
    <w:rsid w:val="2DB32AB7"/>
    <w:rsid w:val="2EABDAE7"/>
    <w:rsid w:val="2FD8312A"/>
    <w:rsid w:val="333F4E6B"/>
    <w:rsid w:val="33A8EFE6"/>
    <w:rsid w:val="35526458"/>
    <w:rsid w:val="36FAB4CB"/>
    <w:rsid w:val="3B38F2A8"/>
    <w:rsid w:val="3C6C0506"/>
    <w:rsid w:val="3D8EF8E6"/>
    <w:rsid w:val="3F223AA3"/>
    <w:rsid w:val="41E4737E"/>
    <w:rsid w:val="424E6948"/>
    <w:rsid w:val="460BDACB"/>
    <w:rsid w:val="462EFB65"/>
    <w:rsid w:val="4DFD1C26"/>
    <w:rsid w:val="5381306A"/>
    <w:rsid w:val="5542AA5C"/>
    <w:rsid w:val="5AE8C88F"/>
    <w:rsid w:val="5C164C7E"/>
    <w:rsid w:val="5C8498F0"/>
    <w:rsid w:val="5C95604B"/>
    <w:rsid w:val="5D3C4DD0"/>
    <w:rsid w:val="5E2E3F6A"/>
    <w:rsid w:val="5FEF5D89"/>
    <w:rsid w:val="60E31B80"/>
    <w:rsid w:val="6345788C"/>
    <w:rsid w:val="651F14E2"/>
    <w:rsid w:val="6842ADA5"/>
    <w:rsid w:val="6AA74E13"/>
    <w:rsid w:val="6AF59E3F"/>
    <w:rsid w:val="6DDEEED5"/>
    <w:rsid w:val="7015315A"/>
    <w:rsid w:val="711D8003"/>
    <w:rsid w:val="7224E767"/>
    <w:rsid w:val="725D5D22"/>
    <w:rsid w:val="767BC7BE"/>
    <w:rsid w:val="7BEB170B"/>
    <w:rsid w:val="7DC71FD4"/>
    <w:rsid w:val="7FE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2CDE"/>
  <w15:chartTrackingRefBased/>
  <w15:docId w15:val="{9AE2A71B-7E54-403F-A9EA-37111D8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0B5"/>
  </w:style>
  <w:style w:type="paragraph" w:styleId="Nadpis1">
    <w:name w:val="heading 1"/>
    <w:basedOn w:val="Normln"/>
    <w:next w:val="Normln"/>
    <w:link w:val="Nadpis1Char"/>
    <w:uiPriority w:val="9"/>
    <w:qFormat/>
    <w:rsid w:val="0088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1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1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1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1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1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1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10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gallnek">
    <w:name w:val="!Legal_Článek"/>
    <w:basedOn w:val="Nadpis1"/>
    <w:link w:val="LegallnekChar"/>
    <w:qFormat/>
    <w:rsid w:val="008810B5"/>
    <w:pPr>
      <w:numPr>
        <w:numId w:val="1"/>
      </w:numPr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1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gallnekChar">
    <w:name w:val="!Legal_Článek Char"/>
    <w:basedOn w:val="Nadpis1Char"/>
    <w:link w:val="Legallnek"/>
    <w:rsid w:val="008810B5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10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10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10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10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10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10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1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alOdstavec">
    <w:name w:val="!Legal_Odstavec"/>
    <w:basedOn w:val="Legallnek"/>
    <w:link w:val="LegalOdstavecChar"/>
    <w:qFormat/>
    <w:rsid w:val="002F365E"/>
    <w:pPr>
      <w:numPr>
        <w:ilvl w:val="1"/>
      </w:numPr>
      <w:ind w:left="993" w:hanging="633"/>
      <w:jc w:val="both"/>
    </w:pPr>
    <w:rPr>
      <w:b w:val="0"/>
    </w:rPr>
  </w:style>
  <w:style w:type="paragraph" w:customStyle="1" w:styleId="LegalPsmeno">
    <w:name w:val="!Legal_Písmeno"/>
    <w:basedOn w:val="Legallnek"/>
    <w:link w:val="LegalPsmenoChar"/>
    <w:qFormat/>
    <w:rsid w:val="008810B5"/>
    <w:pPr>
      <w:numPr>
        <w:ilvl w:val="2"/>
      </w:numPr>
    </w:pPr>
    <w:rPr>
      <w:b w:val="0"/>
    </w:rPr>
  </w:style>
  <w:style w:type="character" w:customStyle="1" w:styleId="LegalOdstavecChar">
    <w:name w:val="!Legal_Odstavec Char"/>
    <w:basedOn w:val="LegallnekChar"/>
    <w:link w:val="LegalOdstavec"/>
    <w:rsid w:val="002F365E"/>
    <w:rPr>
      <w:rFonts w:ascii="Arial" w:eastAsiaTheme="majorEastAsia" w:hAnsi="Arial" w:cs="Arial"/>
      <w:b w:val="0"/>
      <w:color w:val="000000" w:themeColor="text1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egalPsmenoChar">
    <w:name w:val="!Legal_Písmeno Char"/>
    <w:basedOn w:val="LegallnekChar"/>
    <w:link w:val="LegalPsmeno"/>
    <w:rsid w:val="008810B5"/>
    <w:rPr>
      <w:rFonts w:ascii="Arial" w:eastAsiaTheme="majorEastAsia" w:hAnsi="Arial" w:cs="Arial"/>
      <w:b w:val="0"/>
      <w:color w:val="000000" w:themeColor="text1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1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5C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4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4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49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D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2c667804a3d2402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03ef69729db24e4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AAB0AECFFBD499343BB9E420D9100" ma:contentTypeVersion="4" ma:contentTypeDescription="Vytvoří nový dokument" ma:contentTypeScope="" ma:versionID="b752851b489082747fd347eb69a79c0b">
  <xsd:schema xmlns:xsd="http://www.w3.org/2001/XMLSchema" xmlns:xs="http://www.w3.org/2001/XMLSchema" xmlns:p="http://schemas.microsoft.com/office/2006/metadata/properties" xmlns:ns2="326c0048-64f1-4171-a482-e7b6d8d82ea9" xmlns:ns3="96dd6fd2-3c41-486d-ba90-b742e689037f" targetNamespace="http://schemas.microsoft.com/office/2006/metadata/properties" ma:root="true" ma:fieldsID="4e7c02d26e69f4d18e66ca33a4927f5c" ns2:_="" ns3:_="">
    <xsd:import namespace="326c0048-64f1-4171-a482-e7b6d8d82ea9"/>
    <xsd:import namespace="96dd6fd2-3c41-486d-ba90-b742e6890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0048-64f1-4171-a482-e7b6d8d8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6fd2-3c41-486d-ba90-b742e6890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6342-9A7E-48F4-AFAC-90DACA9C5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0371C-4B1A-41B5-A4F2-A83FA8AA2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0048-64f1-4171-a482-e7b6d8d82ea9"/>
    <ds:schemaRef ds:uri="96dd6fd2-3c41-486d-ba90-b742e6890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C49D2-01E5-4587-92C1-E72DEDD8BA3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26c0048-64f1-4171-a482-e7b6d8d82ea9"/>
    <ds:schemaRef ds:uri="96dd6fd2-3c41-486d-ba90-b742e689037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21095-BE22-4E09-B689-6066BB84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Slavomír</dc:creator>
  <cp:keywords/>
  <dc:description/>
  <cp:lastModifiedBy>Halla Slavomír</cp:lastModifiedBy>
  <cp:revision>2</cp:revision>
  <dcterms:created xsi:type="dcterms:W3CDTF">2023-06-28T14:05:00Z</dcterms:created>
  <dcterms:modified xsi:type="dcterms:W3CDTF">2023-06-28T14:05:00Z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0x01010063BAAB0AECFFBD499343BB9E420D9100</vt:lpwstr>
  </property>
</Properties>
</file>