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445" w:h="7152" w:hRule="exact" w:wrap="none" w:vAnchor="page" w:hAnchor="page" w:x="466" w:y="2246"/>
        <w:widowControl w:val="0"/>
        <w:keepNext w:val="0"/>
        <w:keepLines w:val="0"/>
        <w:shd w:val="clear" w:color="auto" w:fill="auto"/>
        <w:bidi w:val="0"/>
        <w:textDirection w:val="btLr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R4P100 ReqType:H ReqExtíD:0013993697 ProceslD:CS-20230223T220259-0004 DocExtlD:0Q00000058690050</w:t>
      </w:r>
    </w:p>
    <w:p>
      <w:pPr>
        <w:pStyle w:val="Style2"/>
        <w:framePr w:w="445" w:h="7152" w:hRule="exact" w:wrap="none" w:vAnchor="page" w:hAnchor="page" w:x="466" w:y="2246"/>
        <w:widowControl w:val="0"/>
        <w:keepNext w:val="0"/>
        <w:keepLines w:val="0"/>
        <w:shd w:val="clear" w:color="auto" w:fill="auto"/>
        <w:bidi w:val="0"/>
        <w:textDirection w:val="btLr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BO!D:001 A4A1A12031EDDACE8C4C312F81EC4 BONM:ZtSUCSPRN DocType:CZ05íw6/(6) SAPtyp:celávýrob-SML-873ZaklD:0010990236 DoclD:001045701338 IA:17\p21-238841068 Ver:X595D230P184 Dav:29710316(0001 )/h PSP Str:íl37 lst:569 zas:71</w:t>
      </w:r>
    </w:p>
    <w:p>
      <w:pPr>
        <w:pStyle w:val="Style4"/>
        <w:framePr w:wrap="none" w:vAnchor="page" w:hAnchor="page" w:x="1170" w:y="390"/>
        <w:widowControl w:val="0"/>
        <w:keepNext w:val="0"/>
        <w:keepLines w:val="0"/>
        <w:shd w:val="clear" w:color="auto" w:fill="A6A9A8"/>
        <w:bidi w:val="0"/>
        <w:jc w:val="both"/>
        <w:spacing w:before="0" w:after="0" w:line="460" w:lineRule="exact"/>
        <w:ind w:left="0" w:right="0" w:firstLine="0"/>
      </w:pPr>
      <w:r>
        <w:rPr>
          <w:rStyle w:val="CharStyle6"/>
        </w:rPr>
        <w:t>E</w:t>
      </w:r>
    </w:p>
    <w:p>
      <w:pPr>
        <w:pStyle w:val="Style7"/>
        <w:framePr w:wrap="none" w:vAnchor="page" w:hAnchor="page" w:x="1045" w:y="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bookmarkStart w:id="0" w:name="bookmark0"/>
      <w:r>
        <w:rPr>
          <w:rStyle w:val="CharStyle9"/>
          <w:b/>
          <w:bCs/>
        </w:rPr>
        <w:t>DISTRIBUCE</w:t>
      </w:r>
      <w:bookmarkEnd w:id="0"/>
    </w:p>
    <w:p>
      <w:pPr>
        <w:pStyle w:val="Style10"/>
        <w:framePr w:w="9696" w:h="8263" w:hRule="exact" w:wrap="none" w:vAnchor="page" w:hAnchor="page" w:x="1045" w:y="1670"/>
        <w:widowControl w:val="0"/>
        <w:keepNext w:val="0"/>
        <w:keepLines w:val="0"/>
        <w:shd w:val="clear" w:color="auto" w:fill="auto"/>
        <w:bidi w:val="0"/>
        <w:jc w:val="left"/>
        <w:spacing w:before="0" w:after="265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Příloha č. 2</w:t>
      </w:r>
      <w:bookmarkEnd w:id="1"/>
    </w:p>
    <w:p>
      <w:pPr>
        <w:pStyle w:val="Style12"/>
        <w:framePr w:w="9696" w:h="8263" w:hRule="exact" w:wrap="none" w:vAnchor="page" w:hAnchor="page" w:x="1045" w:y="1670"/>
        <w:widowControl w:val="0"/>
        <w:keepNext w:val="0"/>
        <w:keepLines w:val="0"/>
        <w:shd w:val="clear" w:color="auto" w:fill="auto"/>
        <w:bidi w:val="0"/>
        <w:jc w:val="left"/>
        <w:spacing w:before="0" w:after="23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OBSAH BUDOUCÍ SMLOUVY O PŘIPOJENÍ</w:t>
      </w:r>
    </w:p>
    <w:p>
      <w:pPr>
        <w:pStyle w:val="Style14"/>
        <w:framePr w:w="9696" w:h="8263" w:hRule="exact" w:wrap="none" w:vAnchor="page" w:hAnchor="page" w:x="1045" w:y="1670"/>
        <w:widowControl w:val="0"/>
        <w:keepNext w:val="0"/>
        <w:keepLines w:val="0"/>
        <w:shd w:val="clear" w:color="auto" w:fill="auto"/>
        <w:bidi w:val="0"/>
        <w:jc w:val="left"/>
        <w:spacing w:before="0" w:after="20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připojení bude obsahovat:</w:t>
      </w:r>
    </w:p>
    <w:p>
      <w:pPr>
        <w:pStyle w:val="Style14"/>
        <w:numPr>
          <w:ilvl w:val="0"/>
          <w:numId w:val="1"/>
        </w:numPr>
        <w:framePr w:w="9696" w:h="8263" w:hRule="exact" w:wrap="none" w:vAnchor="page" w:hAnchor="page" w:x="1045" w:y="1670"/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Závazek PDS připojit odběrné elektrické zařízení Žadatele a zajistit Žadateli dohodnutý rezervovaný příkon podle TPP. Pódii na nákladech stanovený Vyhláškou o připojení bude uhrazen na základě Smlouvy o uzavření budoucí smlouvy o připojení odběrného elektrického zařízení k distribuční soustavě.</w:t>
      </w:r>
    </w:p>
    <w:p>
      <w:pPr>
        <w:pStyle w:val="Style14"/>
        <w:numPr>
          <w:ilvl w:val="0"/>
          <w:numId w:val="1"/>
        </w:numPr>
        <w:framePr w:w="9696" w:h="8263" w:hRule="exact" w:wrap="none" w:vAnchor="page" w:hAnchor="page" w:x="1045" w:y="1670"/>
        <w:tabs>
          <w:tab w:leader="none" w:pos="2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Podmínky připojení odběrného elektrického zařízení v odběrném místě, a to specifikaci odběrného místa, technické podmínky připojení, údaje o připojovaných elektrických spotřebičích v odběrném elektrickém zařízení, místo připojení odběrného místa</w:t>
      </w:r>
    </w:p>
    <w:p>
      <w:pPr>
        <w:pStyle w:val="Style14"/>
        <w:framePr w:w="9696" w:h="8263" w:hRule="exact" w:wrap="none" w:vAnchor="page" w:hAnchor="page" w:x="1045" w:y="1670"/>
        <w:widowControl w:val="0"/>
        <w:keepNext w:val="0"/>
        <w:keepLines w:val="0"/>
        <w:shd w:val="clear" w:color="auto" w:fill="auto"/>
        <w:bidi w:val="0"/>
        <w:jc w:val="left"/>
        <w:spacing w:before="0" w:after="22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distribuční soustavě - hranice vlastnictví a způsob a provedení měření elektřiny. Tyto podmínky budou ve smlouvě o připojení stanoveny v souladu s TPP.</w:t>
      </w:r>
    </w:p>
    <w:p>
      <w:pPr>
        <w:pStyle w:val="Style14"/>
        <w:numPr>
          <w:ilvl w:val="0"/>
          <w:numId w:val="1"/>
        </w:numPr>
        <w:framePr w:w="9696" w:h="8263" w:hRule="exact" w:wrap="none" w:vAnchor="page" w:hAnchor="page" w:x="1045" w:y="1670"/>
        <w:tabs>
          <w:tab w:leader="none" w:pos="2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 připojení - bude určen v souladu s PPDS; nebudou-li PPDS tento termín upravovat, pak bude tento termín činit 30 dnů od uzavření smlouvy o připojení. PDS nebude povinen připojit Žadatele dříve, než Žadatel splní povinnosti a podmínky určené</w:t>
      </w:r>
    </w:p>
    <w:p>
      <w:pPr>
        <w:pStyle w:val="Style14"/>
        <w:framePr w:w="9696" w:h="8263" w:hRule="exact" w:wrap="none" w:vAnchor="page" w:hAnchor="page" w:x="1045" w:y="1670"/>
        <w:widowControl w:val="0"/>
        <w:keepNext w:val="0"/>
        <w:keepLines w:val="0"/>
        <w:shd w:val="clear" w:color="auto" w:fill="auto"/>
        <w:bidi w:val="0"/>
        <w:jc w:val="left"/>
        <w:spacing w:before="0" w:after="239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PPDS a TPP a splnění těchto povinností a podmínek doloží, ledaže tak Žadatel učinil již před uzavřením smlouvy o připojení.</w:t>
      </w:r>
    </w:p>
    <w:p>
      <w:pPr>
        <w:pStyle w:val="Style14"/>
        <w:numPr>
          <w:ilvl w:val="0"/>
          <w:numId w:val="1"/>
        </w:numPr>
        <w:framePr w:w="9696" w:h="8263" w:hRule="exact" w:wrap="none" w:vAnchor="page" w:hAnchor="page" w:x="1045" w:y="1670"/>
        <w:tabs>
          <w:tab w:leader="none" w:pos="2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Není-li výslovně sjednáno jinak, má se zato, že smlouva o připojení je uzavírána na dobu neurčitou.</w:t>
      </w:r>
    </w:p>
    <w:p>
      <w:pPr>
        <w:pStyle w:val="Style14"/>
        <w:numPr>
          <w:ilvl w:val="0"/>
          <w:numId w:val="1"/>
        </w:numPr>
        <w:framePr w:w="9696" w:h="8263" w:hRule="exact" w:wrap="none" w:vAnchor="page" w:hAnchor="page" w:x="1045" w:y="1670"/>
        <w:tabs>
          <w:tab w:leader="none" w:pos="2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Tyto závazky Žadatele:</w:t>
      </w:r>
    </w:p>
    <w:p>
      <w:pPr>
        <w:pStyle w:val="Style14"/>
        <w:numPr>
          <w:ilvl w:val="0"/>
          <w:numId w:val="3"/>
        </w:numPr>
        <w:framePr w:w="9696" w:h="8263" w:hRule="exact" w:wrap="none" w:vAnchor="page" w:hAnchor="page" w:x="1045" w:y="1670"/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plnit podmínky pro připojení odběrného zařízení uvedené v TPP, PPDS a v Připojovacích podmínkách pro příslušnou napěťovou hladinu stanovených PDS, a udržovat odběrné zařízení ve stavu, který odpovídá ustanovením smlouvy</w:t>
      </w:r>
    </w:p>
    <w:p>
      <w:pPr>
        <w:pStyle w:val="Style14"/>
        <w:framePr w:w="9696" w:h="8263" w:hRule="exact" w:wrap="none" w:vAnchor="page" w:hAnchor="page" w:x="1045" w:y="1670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připojení, právním předpisům, technickým normám a PPDS, a plnit pokyny výrobce zařízení používaného k odběru po celou dobu trvání smlouvy o připojení,</w:t>
      </w:r>
    </w:p>
    <w:p>
      <w:pPr>
        <w:pStyle w:val="Style14"/>
        <w:numPr>
          <w:ilvl w:val="0"/>
          <w:numId w:val="3"/>
        </w:numPr>
        <w:framePr w:w="9696" w:h="8263" w:hRule="exact" w:wrap="none" w:vAnchor="page" w:hAnchor="page" w:x="1045" w:y="1670"/>
        <w:tabs>
          <w:tab w:leader="none" w:pos="7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provádět opatření zamezující vlivům zpětného působení na kvalitu dodávané elektřiny v neprospěch ostatních účastníků trhu s elektřinou, zejména vybavit odběrné zařízení dostupnými technickými prostředky k omezení těchto vlivů, a používat k odběru elektřiny zařízení, která neohrožují život, zdraví nebo majetek,</w:t>
      </w:r>
    </w:p>
    <w:p>
      <w:pPr>
        <w:pStyle w:val="Style14"/>
        <w:numPr>
          <w:ilvl w:val="0"/>
          <w:numId w:val="3"/>
        </w:numPr>
        <w:framePr w:w="9696" w:h="8263" w:hRule="exact" w:wrap="none" w:vAnchor="page" w:hAnchor="page" w:x="1045" w:y="1670"/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6" w:line="202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nahradit PDS oprávněné náklady, které PDS vynaložil za účelem plnění jeho povinnosti vytvořit podmínky pro připojení odběrného zařízení Žadatele, včetně nákladů, které PDS vynaložil podle Smlouvy o uzavření budoucí smlouvy o připojení odběrného elektrického zařízení k distribuční soustavě, a to v případech, kdy smlouva o připojení zanikne z důvodu oznámení Žadatele, že na připojení odběrného zařízení netn/á, ještě před připojením odběrného zařízení k distribuční soustavě, nebo zanikne-li smlouva o připojení v důsledku odstoupení PDS pro nepravdivost prohlášení Žadatele týkajícího se jeho oprávnění užívat odběrné zařízení, jakož i nemovitost, na které je toto zařízení umístěno, na základě vlastnického nebo jiného, k tomu způsobilého práva, nebo dojde-li k zániku rezervace pro nezaplacení Podílu na nákladech nebo jeho části.</w:t>
      </w:r>
    </w:p>
    <w:p>
      <w:pPr>
        <w:pStyle w:val="Style14"/>
        <w:numPr>
          <w:ilvl w:val="0"/>
          <w:numId w:val="1"/>
        </w:numPr>
        <w:framePr w:w="9696" w:h="8263" w:hRule="exact" w:wrap="none" w:vAnchor="page" w:hAnchor="page" w:x="1045" w:y="1670"/>
        <w:tabs>
          <w:tab w:leader="none" w:pos="2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Právo Žadatele ukončit připojení prostřednictvím písemného oznámení, že na připojení odběrného zařízení netn/á, doručeného PDS.</w:t>
      </w:r>
    </w:p>
    <w:p>
      <w:pPr>
        <w:pStyle w:val="Style16"/>
        <w:framePr w:w="9696" w:h="527" w:hRule="exact" w:wrap="none" w:vAnchor="page" w:hAnchor="page" w:x="1045" w:y="16395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rStyle w:val="CharStyle18"/>
          <w:i/>
          <w:iCs/>
        </w:rPr>
        <w:t>msm</w:t>
      </w:r>
      <w:bookmarkEnd w:id="2"/>
    </w:p>
    <w:p>
      <w:pPr>
        <w:pStyle w:val="Style19"/>
        <w:framePr w:w="279" w:h="2654" w:hRule="exact" w:wrap="none" w:vAnchor="page" w:hAnchor="page" w:x="11369" w:y="2351"/>
        <w:widowControl w:val="0"/>
        <w:keepNext w:val="0"/>
        <w:keepLines w:val="0"/>
        <w:shd w:val="clear" w:color="auto" w:fill="auto"/>
        <w:bidi w:val="0"/>
        <w:jc w:val="left"/>
        <w:textDirection w:val="tbRl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87629386-9-9 </w:t>
      </w:r>
      <w:r>
        <w:rPr>
          <w:rStyle w:val="CharStyle21"/>
        </w:rPr>
        <w:t xml:space="preserve">El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lillllllllllllllllilii lllllllll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4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5">
    <w:name w:val="Other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Other|1 + 23 pt,Bold"/>
    <w:basedOn w:val="CharStyle5"/>
    <w:rPr>
      <w:lang w:val="cs-CZ" w:eastAsia="cs-CZ" w:bidi="cs-CZ"/>
      <w:b/>
      <w:bCs/>
      <w:sz w:val="46"/>
      <w:szCs w:val="46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8">
    <w:name w:val="Heading #1|1_"/>
    <w:basedOn w:val="DefaultParagraphFont"/>
    <w:link w:val="Style7"/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9">
    <w:name w:val="Heading #1|1"/>
    <w:basedOn w:val="CharStyle8"/>
    <w:rPr>
      <w:lang w:val="cs-CZ" w:eastAsia="cs-CZ" w:bidi="cs-CZ"/>
      <w:w w:val="100"/>
      <w:spacing w:val="0"/>
      <w:color w:val="F9A295"/>
      <w:position w:val="0"/>
    </w:rPr>
  </w:style>
  <w:style w:type="character" w:customStyle="1" w:styleId="CharStyle11">
    <w:name w:val="Heading #3|1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3">
    <w:name w:val="Body text|3_"/>
    <w:basedOn w:val="DefaultParagraphFont"/>
    <w:link w:val="Style12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5">
    <w:name w:val="Body text|2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7">
    <w:name w:val="Heading #2|1_"/>
    <w:basedOn w:val="DefaultParagraphFont"/>
    <w:link w:val="Style16"/>
    <w:rPr>
      <w:b w:val="0"/>
      <w:bCs w:val="0"/>
      <w:i/>
      <w:iCs/>
      <w:u w:val="none"/>
      <w:strike w:val="0"/>
      <w:smallCaps w:val="0"/>
      <w:sz w:val="42"/>
      <w:szCs w:val="42"/>
      <w:rFonts w:ascii="Arial" w:eastAsia="Arial" w:hAnsi="Arial" w:cs="Arial"/>
    </w:rPr>
  </w:style>
  <w:style w:type="character" w:customStyle="1" w:styleId="CharStyle18">
    <w:name w:val="Heading #2|1"/>
    <w:basedOn w:val="CharStyle17"/>
    <w:rPr>
      <w:lang w:val="cs-CZ" w:eastAsia="cs-CZ" w:bidi="cs-CZ"/>
      <w:w w:val="100"/>
      <w:spacing w:val="0"/>
      <w:color w:val="F9A295"/>
      <w:position w:val="0"/>
    </w:rPr>
  </w:style>
  <w:style w:type="character" w:customStyle="1" w:styleId="CharStyle20">
    <w:name w:val="Body text|5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1">
    <w:name w:val="Body text|5 + 12 pt"/>
    <w:basedOn w:val="CharStyle20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FFFFFF"/>
      <w:jc w:val="both"/>
      <w:spacing w:line="13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FFFFFF"/>
      <w:outlineLvl w:val="0"/>
      <w:spacing w:after="660" w:line="446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10">
    <w:name w:val="Heading #3|1"/>
    <w:basedOn w:val="Normal"/>
    <w:link w:val="CharStyle11"/>
    <w:pPr>
      <w:widowControl w:val="0"/>
      <w:shd w:val="clear" w:color="auto" w:fill="FFFFFF"/>
      <w:outlineLvl w:val="2"/>
      <w:spacing w:before="660" w:after="22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2">
    <w:name w:val="Body text|3"/>
    <w:basedOn w:val="Normal"/>
    <w:link w:val="CharStyle13"/>
    <w:pPr>
      <w:widowControl w:val="0"/>
      <w:shd w:val="clear" w:color="auto" w:fill="FFFFFF"/>
      <w:spacing w:before="220" w:after="22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FFFFFF"/>
      <w:spacing w:before="220" w:after="22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6">
    <w:name w:val="Heading #2|1"/>
    <w:basedOn w:val="Normal"/>
    <w:link w:val="CharStyle17"/>
    <w:pPr>
      <w:widowControl w:val="0"/>
      <w:shd w:val="clear" w:color="auto" w:fill="FFFFFF"/>
      <w:jc w:val="right"/>
      <w:outlineLvl w:val="1"/>
      <w:spacing w:before="6720" w:line="470" w:lineRule="exact"/>
    </w:pPr>
    <w:rPr>
      <w:b w:val="0"/>
      <w:bCs w:val="0"/>
      <w:i/>
      <w:iCs/>
      <w:u w:val="none"/>
      <w:strike w:val="0"/>
      <w:smallCaps w:val="0"/>
      <w:sz w:val="42"/>
      <w:szCs w:val="42"/>
      <w:rFonts w:ascii="Arial" w:eastAsia="Arial" w:hAnsi="Arial" w:cs="Arial"/>
    </w:rPr>
  </w:style>
  <w:style w:type="paragraph" w:customStyle="1" w:styleId="Style19">
    <w:name w:val="Body text|5"/>
    <w:basedOn w:val="Normal"/>
    <w:link w:val="CharStyle20"/>
    <w:pPr>
      <w:widowControl w:val="0"/>
      <w:shd w:val="clear" w:color="auto" w:fill="FFFFFF"/>
      <w:spacing w:line="26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