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E4" w:rsidRDefault="00ED683B">
      <w:pPr>
        <w:pStyle w:val="Style2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•</w:t>
      </w:r>
      <w:proofErr w:type="spellStart"/>
      <w:r>
        <w:t>Tčpp</w:t>
      </w:r>
      <w:bookmarkEnd w:id="0"/>
      <w:bookmarkEnd w:id="1"/>
      <w:bookmarkEnd w:id="2"/>
      <w:proofErr w:type="spellEnd"/>
    </w:p>
    <w:p w:rsidR="00EE2FE4" w:rsidRDefault="00ED683B">
      <w:pPr>
        <w:pStyle w:val="Style4"/>
        <w:shd w:val="clear" w:color="auto" w:fill="auto"/>
        <w:spacing w:after="700" w:line="240" w:lineRule="auto"/>
        <w:ind w:firstLine="0"/>
      </w:pPr>
      <w:r>
        <w:rPr>
          <w:color w:val="000000"/>
          <w:lang w:val="en-US" w:eastAsia="en-US" w:bidi="en-US"/>
        </w:rPr>
        <w:t xml:space="preserve">VIENNA </w:t>
      </w:r>
      <w:r>
        <w:rPr>
          <w:color w:val="000000"/>
        </w:rPr>
        <w:t>INSURANCE GROUP</w:t>
      </w:r>
    </w:p>
    <w:p w:rsidR="00EE2FE4" w:rsidRDefault="00ED683B">
      <w:pPr>
        <w:pStyle w:val="Style7"/>
        <w:keepNext/>
        <w:keepLines/>
        <w:shd w:val="clear" w:color="auto" w:fill="auto"/>
        <w:spacing w:after="780"/>
        <w:ind w:firstLine="0"/>
        <w:jc w:val="center"/>
      </w:pPr>
      <w:bookmarkStart w:id="3" w:name="bookmark5"/>
      <w:r>
        <w:t>Dodatek č. 10 k pojistné smlouvě číslo 0013863517</w:t>
      </w:r>
      <w:bookmarkEnd w:id="3"/>
    </w:p>
    <w:p w:rsidR="00EE2FE4" w:rsidRDefault="00ED683B">
      <w:pPr>
        <w:pStyle w:val="Style7"/>
        <w:keepNext/>
        <w:keepLines/>
        <w:shd w:val="clear" w:color="auto" w:fill="auto"/>
        <w:spacing w:after="60"/>
      </w:pPr>
      <w:bookmarkStart w:id="4" w:name="bookmark3"/>
      <w:bookmarkStart w:id="5" w:name="bookmark4"/>
      <w:bookmarkStart w:id="6" w:name="bookmark6"/>
      <w:r>
        <w:t xml:space="preserve">Česká podnikatelská pojišťovna, a.s., </w:t>
      </w: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  <w:bookmarkEnd w:id="4"/>
      <w:bookmarkEnd w:id="5"/>
      <w:bookmarkEnd w:id="6"/>
    </w:p>
    <w:p w:rsidR="00EE2FE4" w:rsidRDefault="00ED683B">
      <w:pPr>
        <w:pStyle w:val="Style9"/>
        <w:shd w:val="clear" w:color="auto" w:fill="auto"/>
        <w:ind w:firstLine="420"/>
      </w:pPr>
      <w:r>
        <w:t>Sídlo: Praha 8, Pobřežní 665/23, PSČ 186 00</w:t>
      </w:r>
    </w:p>
    <w:p w:rsidR="00EE2FE4" w:rsidRDefault="00ED683B">
      <w:pPr>
        <w:pStyle w:val="Style9"/>
        <w:shd w:val="clear" w:color="auto" w:fill="auto"/>
        <w:ind w:firstLine="420"/>
      </w:pPr>
      <w:proofErr w:type="gramStart"/>
      <w:r>
        <w:t xml:space="preserve">Zastoupena:   </w:t>
      </w:r>
      <w:proofErr w:type="gramEnd"/>
      <w:r>
        <w:t xml:space="preserve">                                </w:t>
      </w:r>
      <w:r>
        <w:t>, vedoucím oddělení korporátní klientely</w:t>
      </w:r>
    </w:p>
    <w:p w:rsidR="00EE2FE4" w:rsidRDefault="00ED683B">
      <w:pPr>
        <w:pStyle w:val="Style9"/>
        <w:shd w:val="clear" w:color="auto" w:fill="auto"/>
        <w:ind w:left="2100" w:firstLine="0"/>
      </w:pPr>
      <w:r>
        <w:t>a</w:t>
      </w:r>
    </w:p>
    <w:p w:rsidR="00EE2FE4" w:rsidRDefault="00ED683B">
      <w:pPr>
        <w:pStyle w:val="Style9"/>
        <w:shd w:val="clear" w:color="auto" w:fill="auto"/>
        <w:ind w:firstLine="0"/>
        <w:jc w:val="center"/>
      </w:pPr>
      <w:r>
        <w:t xml:space="preserve">                                    </w:t>
      </w:r>
      <w:r>
        <w:t>, vedoucím referátu podnikatelských rizik</w:t>
      </w:r>
    </w:p>
    <w:p w:rsidR="00EE2FE4" w:rsidRDefault="00ED683B">
      <w:pPr>
        <w:pStyle w:val="Style9"/>
        <w:shd w:val="clear" w:color="auto" w:fill="auto"/>
        <w:ind w:firstLine="420"/>
      </w:pPr>
      <w:r>
        <w:t>IČO: 639 98 530</w:t>
      </w:r>
    </w:p>
    <w:p w:rsidR="00EE2FE4" w:rsidRDefault="00ED683B">
      <w:pPr>
        <w:pStyle w:val="Style9"/>
        <w:shd w:val="clear" w:color="auto" w:fill="auto"/>
        <w:ind w:firstLine="420"/>
      </w:pPr>
      <w:r>
        <w:t>Zápis v obchodním rejstříku: Městský soud v Praze, oddíl B, vložka 3433</w:t>
      </w:r>
    </w:p>
    <w:p w:rsidR="00EE2FE4" w:rsidRDefault="00ED683B">
      <w:pPr>
        <w:pStyle w:val="Style9"/>
        <w:shd w:val="clear" w:color="auto" w:fill="auto"/>
        <w:ind w:firstLine="420"/>
      </w:pPr>
      <w:r>
        <w:t xml:space="preserve">Bankovní spojení: Česká spořitelna, a.s., </w:t>
      </w:r>
      <w:proofErr w:type="spellStart"/>
      <w:r>
        <w:t>č.ú</w:t>
      </w:r>
      <w:proofErr w:type="spellEnd"/>
      <w:r>
        <w:t xml:space="preserve">. </w:t>
      </w:r>
    </w:p>
    <w:p w:rsidR="00EE2FE4" w:rsidRDefault="00ED683B">
      <w:pPr>
        <w:pStyle w:val="Style9"/>
        <w:shd w:val="clear" w:color="auto" w:fill="auto"/>
        <w:ind w:firstLine="420"/>
      </w:pPr>
      <w:r>
        <w:t>Tel: 733 616 259</w:t>
      </w:r>
    </w:p>
    <w:p w:rsidR="00EE2FE4" w:rsidRDefault="00ED683B">
      <w:pPr>
        <w:pStyle w:val="Style11"/>
        <w:shd w:val="clear" w:color="auto" w:fill="auto"/>
        <w:spacing w:after="340" w:line="240" w:lineRule="auto"/>
        <w:ind w:firstLine="420"/>
      </w:pPr>
      <w:r>
        <w:t>dále jen pojistitel</w:t>
      </w:r>
    </w:p>
    <w:p w:rsidR="00EE2FE4" w:rsidRDefault="00ED683B">
      <w:pPr>
        <w:pStyle w:val="Style11"/>
        <w:shd w:val="clear" w:color="auto" w:fill="auto"/>
        <w:spacing w:after="340" w:line="240" w:lineRule="auto"/>
        <w:ind w:firstLine="420"/>
      </w:pPr>
      <w:r>
        <w:t>a</w:t>
      </w:r>
    </w:p>
    <w:p w:rsidR="00EE2FE4" w:rsidRDefault="00ED683B">
      <w:pPr>
        <w:pStyle w:val="Style7"/>
        <w:keepNext/>
        <w:keepLines/>
        <w:shd w:val="clear" w:color="auto" w:fill="auto"/>
        <w:spacing w:after="60"/>
      </w:pPr>
      <w:bookmarkStart w:id="7" w:name="bookmark7"/>
      <w:bookmarkStart w:id="8" w:name="bookmark8"/>
      <w:bookmarkStart w:id="9" w:name="bookmark9"/>
      <w:r>
        <w:t xml:space="preserve">Povodí </w:t>
      </w:r>
      <w:r>
        <w:t>Ohře, státní podnik</w:t>
      </w:r>
      <w:bookmarkEnd w:id="7"/>
      <w:bookmarkEnd w:id="8"/>
      <w:bookmarkEnd w:id="9"/>
    </w:p>
    <w:p w:rsidR="00EE2FE4" w:rsidRDefault="00ED683B">
      <w:pPr>
        <w:pStyle w:val="Style9"/>
        <w:shd w:val="clear" w:color="auto" w:fill="auto"/>
        <w:ind w:firstLine="420"/>
      </w:pPr>
      <w:r>
        <w:t xml:space="preserve">Sídlo: </w:t>
      </w:r>
      <w:r>
        <w:rPr>
          <w:lang w:val="sk-SK" w:eastAsia="sk-SK" w:bidi="sk-SK"/>
        </w:rPr>
        <w:t xml:space="preserve">Bezručova </w:t>
      </w:r>
      <w:r>
        <w:t>4219, 430 03 Chomutov</w:t>
      </w:r>
    </w:p>
    <w:p w:rsidR="00EE2FE4" w:rsidRDefault="00ED683B">
      <w:pPr>
        <w:pStyle w:val="Style9"/>
        <w:shd w:val="clear" w:color="auto" w:fill="auto"/>
        <w:ind w:firstLine="420"/>
      </w:pPr>
      <w:r>
        <w:t xml:space="preserve">Statutární </w:t>
      </w:r>
      <w:proofErr w:type="gramStart"/>
      <w:r>
        <w:t xml:space="preserve">orgán:   </w:t>
      </w:r>
      <w:proofErr w:type="gramEnd"/>
      <w:r>
        <w:t xml:space="preserve">                        </w:t>
      </w:r>
      <w:r>
        <w:t>, generální ředitel</w:t>
      </w:r>
    </w:p>
    <w:p w:rsidR="00EE2FE4" w:rsidRDefault="00ED683B">
      <w:pPr>
        <w:pStyle w:val="Style9"/>
        <w:shd w:val="clear" w:color="auto" w:fill="auto"/>
        <w:ind w:left="420" w:firstLine="40"/>
      </w:pPr>
      <w:r>
        <w:t xml:space="preserve">Zastoupený ve věcech </w:t>
      </w:r>
      <w:proofErr w:type="gramStart"/>
      <w:r>
        <w:t xml:space="preserve">smluvních:   </w:t>
      </w:r>
      <w:proofErr w:type="gramEnd"/>
      <w:r>
        <w:t xml:space="preserve">                   </w:t>
      </w:r>
      <w:r>
        <w:t>, ekonomickým ředitelem IČO: 708 89 988</w:t>
      </w:r>
    </w:p>
    <w:p w:rsidR="00EE2FE4" w:rsidRDefault="00ED683B">
      <w:pPr>
        <w:pStyle w:val="Style9"/>
        <w:shd w:val="clear" w:color="auto" w:fill="auto"/>
        <w:ind w:left="420" w:firstLine="40"/>
      </w:pPr>
      <w:r>
        <w:t>Zápis v obchodním rejstříku: Krajský soud v Ústí na</w:t>
      </w:r>
      <w:r>
        <w:t xml:space="preserve">d Labem, oddíl A, vložka 13052 Bankovní spojení: Komerční banka a.s., </w:t>
      </w:r>
      <w:proofErr w:type="spellStart"/>
      <w:r>
        <w:t>č.ú</w:t>
      </w:r>
      <w:proofErr w:type="spellEnd"/>
      <w:r>
        <w:t xml:space="preserve">. </w:t>
      </w:r>
    </w:p>
    <w:p w:rsidR="00ED683B" w:rsidRDefault="00ED683B">
      <w:pPr>
        <w:pStyle w:val="Style9"/>
        <w:shd w:val="clear" w:color="auto" w:fill="auto"/>
        <w:ind w:firstLine="420"/>
      </w:pPr>
      <w:r>
        <w:t xml:space="preserve">Tel: </w:t>
      </w:r>
    </w:p>
    <w:p w:rsidR="00EE2FE4" w:rsidRDefault="00ED683B">
      <w:pPr>
        <w:pStyle w:val="Style9"/>
        <w:shd w:val="clear" w:color="auto" w:fill="auto"/>
        <w:ind w:firstLine="420"/>
      </w:pPr>
      <w:r>
        <w:t xml:space="preserve">Email: </w:t>
      </w:r>
      <w:hyperlink r:id="rId7" w:history="1">
        <w:r>
          <w:rPr>
            <w:lang w:val="en-US" w:eastAsia="en-US" w:bidi="en-US"/>
          </w:rPr>
          <w:t>poh@poh.cz</w:t>
        </w:r>
      </w:hyperlink>
    </w:p>
    <w:p w:rsidR="00EE2FE4" w:rsidRDefault="00ED683B">
      <w:pPr>
        <w:pStyle w:val="Style11"/>
        <w:shd w:val="clear" w:color="auto" w:fill="auto"/>
        <w:spacing w:after="300" w:line="240" w:lineRule="auto"/>
        <w:ind w:firstLine="420"/>
      </w:pPr>
      <w:r>
        <w:t>dále jen pojistník</w:t>
      </w:r>
    </w:p>
    <w:p w:rsidR="00EE2FE4" w:rsidRDefault="00ED683B">
      <w:pPr>
        <w:pStyle w:val="Style9"/>
        <w:shd w:val="clear" w:color="auto" w:fill="auto"/>
        <w:spacing w:after="180" w:line="322" w:lineRule="auto"/>
        <w:ind w:firstLine="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uzavírají</w:t>
      </w:r>
    </w:p>
    <w:p w:rsidR="00EE2FE4" w:rsidRDefault="00ED683B">
      <w:pPr>
        <w:pStyle w:val="Style9"/>
        <w:shd w:val="clear" w:color="auto" w:fill="auto"/>
        <w:spacing w:after="300" w:line="271" w:lineRule="auto"/>
        <w:ind w:left="420" w:firstLine="4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tento dodatek pojistné smlouvy, který spolu s pojistnými podmínkami </w:t>
      </w:r>
      <w:r>
        <w:rPr>
          <w:b w:val="0"/>
          <w:bCs w:val="0"/>
          <w:sz w:val="22"/>
          <w:szCs w:val="22"/>
        </w:rPr>
        <w:t>pojistitele, pojistnou smlouvou a přílohami tvoří nedílný celek.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6764"/>
      </w:tblGrid>
      <w:tr w:rsidR="00EE2FE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3100" w:type="dxa"/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Kategorie PZ</w:t>
            </w:r>
          </w:p>
        </w:tc>
        <w:tc>
          <w:tcPr>
            <w:tcW w:w="6764" w:type="dxa"/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40" w:line="240" w:lineRule="auto"/>
              <w:ind w:firstLine="160"/>
            </w:pPr>
            <w:r>
              <w:rPr>
                <w:b/>
                <w:bCs/>
              </w:rPr>
              <w:t>Distributor pojištění</w:t>
            </w:r>
          </w:p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jc w:val="both"/>
            </w:pPr>
            <w:r>
              <w:t>Samostatný zprostředkovatel jednající jako pojišťovací makléř</w:t>
            </w:r>
          </w:p>
        </w:tc>
      </w:tr>
      <w:tr w:rsidR="00EE2FE4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100" w:type="dxa"/>
            <w:shd w:val="clear" w:color="auto" w:fill="FFFFFF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6764" w:type="dxa"/>
            <w:shd w:val="clear" w:color="auto" w:fill="FFFFFF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  <w:lang w:val="en-US" w:eastAsia="en-US" w:bidi="en-US"/>
              </w:rPr>
              <w:t xml:space="preserve">RESPECT </w:t>
            </w:r>
            <w:r>
              <w:rPr>
                <w:b/>
                <w:bCs/>
              </w:rPr>
              <w:t>a.s.</w:t>
            </w:r>
          </w:p>
        </w:tc>
      </w:tr>
      <w:tr w:rsidR="00EE2F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0" w:type="dxa"/>
            <w:shd w:val="clear" w:color="auto" w:fill="FFFFFF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IČ</w:t>
            </w:r>
          </w:p>
        </w:tc>
        <w:tc>
          <w:tcPr>
            <w:tcW w:w="6764" w:type="dxa"/>
            <w:shd w:val="clear" w:color="auto" w:fill="FFFFFF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251 46 351</w:t>
            </w:r>
          </w:p>
        </w:tc>
      </w:tr>
      <w:tr w:rsidR="00EE2FE4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100" w:type="dxa"/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proofErr w:type="spellStart"/>
            <w:r>
              <w:rPr>
                <w:b/>
                <w:bCs/>
              </w:rPr>
              <w:t>Sjednatelské</w:t>
            </w:r>
            <w:proofErr w:type="spellEnd"/>
            <w:r>
              <w:rPr>
                <w:b/>
                <w:bCs/>
              </w:rPr>
              <w:t xml:space="preserve"> číslo</w:t>
            </w:r>
          </w:p>
        </w:tc>
        <w:tc>
          <w:tcPr>
            <w:tcW w:w="6764" w:type="dxa"/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9999002007</w:t>
            </w:r>
          </w:p>
        </w:tc>
      </w:tr>
      <w:tr w:rsidR="00EE2F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0" w:type="dxa"/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Jméno a příjmení jednající </w:t>
            </w:r>
            <w:r>
              <w:rPr>
                <w:b/>
                <w:bCs/>
              </w:rPr>
              <w:t>osoby;</w:t>
            </w:r>
          </w:p>
        </w:tc>
        <w:tc>
          <w:tcPr>
            <w:tcW w:w="6764" w:type="dxa"/>
            <w:shd w:val="clear" w:color="auto" w:fill="FFFFFF"/>
            <w:vAlign w:val="bottom"/>
          </w:tcPr>
          <w:p w:rsidR="00EE2FE4" w:rsidRDefault="00EE2FE4">
            <w:pPr>
              <w:pStyle w:val="Style17"/>
              <w:shd w:val="clear" w:color="auto" w:fill="auto"/>
              <w:spacing w:after="0" w:line="240" w:lineRule="auto"/>
              <w:ind w:firstLine="160"/>
            </w:pPr>
          </w:p>
        </w:tc>
      </w:tr>
      <w:tr w:rsidR="00EE2F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100" w:type="dxa"/>
            <w:shd w:val="clear" w:color="auto" w:fill="FFFFFF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ID jednající osoby</w:t>
            </w:r>
          </w:p>
        </w:tc>
        <w:tc>
          <w:tcPr>
            <w:tcW w:w="6764" w:type="dxa"/>
            <w:shd w:val="clear" w:color="auto" w:fill="FFFFFF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ID:2785137</w:t>
            </w:r>
          </w:p>
        </w:tc>
      </w:tr>
    </w:tbl>
    <w:p w:rsidR="00EE2FE4" w:rsidRDefault="00ED683B">
      <w:pPr>
        <w:pStyle w:val="Style14"/>
        <w:shd w:val="clear" w:color="auto" w:fill="auto"/>
        <w:tabs>
          <w:tab w:val="left" w:pos="4655"/>
        </w:tabs>
        <w:ind w:left="122"/>
      </w:pPr>
      <w:r>
        <w:t xml:space="preserve">Zaměstnanec </w:t>
      </w:r>
      <w:proofErr w:type="gramStart"/>
      <w:r>
        <w:t>pojistitele - pečovatel</w:t>
      </w:r>
      <w:proofErr w:type="gramEnd"/>
      <w:r>
        <w:t>:</w:t>
      </w:r>
      <w:r>
        <w:tab/>
      </w:r>
      <w:r>
        <w:rPr>
          <w:b w:val="0"/>
          <w:bCs w:val="0"/>
        </w:rPr>
        <w:t>, JP12002, ID: 115734</w:t>
      </w:r>
    </w:p>
    <w:p w:rsidR="00EE2FE4" w:rsidRDefault="00ED683B">
      <w:pPr>
        <w:pStyle w:val="Style14"/>
        <w:shd w:val="clear" w:color="auto" w:fill="auto"/>
        <w:tabs>
          <w:tab w:val="left" w:pos="4633"/>
        </w:tabs>
        <w:ind w:left="122"/>
      </w:pPr>
      <w:r>
        <w:t>Správa pojistné smlouvy:</w:t>
      </w:r>
      <w:r>
        <w:tab/>
      </w:r>
      <w:r>
        <w:rPr>
          <w:b w:val="0"/>
          <w:bCs w:val="0"/>
        </w:rPr>
        <w:t>OKK RŘ Plzeň, 8891203000</w:t>
      </w:r>
    </w:p>
    <w:p w:rsidR="00EE2FE4" w:rsidRDefault="00ED683B">
      <w:pPr>
        <w:pStyle w:val="Style14"/>
        <w:shd w:val="clear" w:color="auto" w:fill="auto"/>
        <w:tabs>
          <w:tab w:val="left" w:pos="4626"/>
        </w:tabs>
        <w:ind w:left="122"/>
      </w:pPr>
      <w:r>
        <w:t>PN</w:t>
      </w:r>
      <w:r>
        <w:tab/>
        <w:t>NE</w:t>
      </w:r>
    </w:p>
    <w:p w:rsidR="00EE2FE4" w:rsidRDefault="00EE2FE4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8"/>
        <w:gridCol w:w="2063"/>
        <w:gridCol w:w="1462"/>
        <w:gridCol w:w="1037"/>
      </w:tblGrid>
      <w:tr w:rsidR="00EE2F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Česká podnikatelská pojišťovna, a.s., </w:t>
            </w:r>
            <w:r>
              <w:rPr>
                <w:sz w:val="10"/>
                <w:szCs w:val="10"/>
                <w:lang w:val="en-US" w:eastAsia="en-US" w:bidi="en-US"/>
              </w:rPr>
              <w:t xml:space="preserve">Vienna </w:t>
            </w:r>
            <w:proofErr w:type="spellStart"/>
            <w:r>
              <w:rPr>
                <w:sz w:val="10"/>
                <w:szCs w:val="10"/>
              </w:rPr>
              <w:t>Insurance</w:t>
            </w:r>
            <w:proofErr w:type="spellEnd"/>
            <w:r>
              <w:rPr>
                <w:sz w:val="10"/>
                <w:szCs w:val="10"/>
              </w:rPr>
              <w:t xml:space="preserve"> Group, se </w:t>
            </w:r>
            <w:r>
              <w:rPr>
                <w:sz w:val="10"/>
                <w:szCs w:val="10"/>
              </w:rPr>
              <w:t>sídlem Pobřežní 665/23,186 00 Praha 8,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IČO: 63998530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Kontaktní adresa: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Tel.: 957 444 555</w:t>
            </w:r>
          </w:p>
        </w:tc>
      </w:tr>
      <w:tr w:rsidR="00EE2FE4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008" w:type="dxa"/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zapsaná v obchodním rejstříku vedeném Městským soudem v </w:t>
            </w:r>
            <w:proofErr w:type="gramStart"/>
            <w:r>
              <w:rPr>
                <w:sz w:val="10"/>
                <w:szCs w:val="10"/>
              </w:rPr>
              <w:t>Praze - oddíl</w:t>
            </w:r>
            <w:proofErr w:type="gramEnd"/>
            <w:r>
              <w:rPr>
                <w:sz w:val="10"/>
                <w:szCs w:val="10"/>
              </w:rPr>
              <w:t xml:space="preserve"> B, vložka 3433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DIČ: CZ63998530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P.O. </w:t>
            </w:r>
            <w:r>
              <w:rPr>
                <w:sz w:val="10"/>
                <w:szCs w:val="10"/>
              </w:rPr>
              <w:t>BOX 28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rPr>
                <w:sz w:val="10"/>
                <w:szCs w:val="10"/>
              </w:rPr>
            </w:pPr>
            <w:hyperlink r:id="rId8" w:history="1">
              <w:r>
                <w:rPr>
                  <w:sz w:val="10"/>
                  <w:szCs w:val="10"/>
                  <w:lang w:val="en-US" w:eastAsia="en-US" w:bidi="en-US"/>
                </w:rPr>
                <w:t>www.cpp.cz</w:t>
              </w:r>
            </w:hyperlink>
          </w:p>
        </w:tc>
      </w:tr>
      <w:tr w:rsidR="00EE2F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08" w:type="dxa"/>
            <w:shd w:val="clear" w:color="auto" w:fill="FFFFFF"/>
          </w:tcPr>
          <w:p w:rsidR="00EE2FE4" w:rsidRDefault="00EE2FE4">
            <w:pPr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FFFFF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DIČ pro </w:t>
            </w:r>
            <w:r>
              <w:rPr>
                <w:sz w:val="10"/>
                <w:szCs w:val="10"/>
              </w:rPr>
              <w:t>DPH: CZ699000955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664 42 Modříce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  <w:ind w:firstLine="160"/>
              <w:rPr>
                <w:sz w:val="10"/>
                <w:szCs w:val="10"/>
              </w:rPr>
            </w:pPr>
            <w:hyperlink r:id="rId9" w:history="1">
              <w:r>
                <w:rPr>
                  <w:sz w:val="10"/>
                  <w:szCs w:val="10"/>
                  <w:lang w:val="en-US" w:eastAsia="en-US" w:bidi="en-US"/>
                </w:rPr>
                <w:t>info@cpp.cz</w:t>
              </w:r>
            </w:hyperlink>
          </w:p>
        </w:tc>
      </w:tr>
    </w:tbl>
    <w:p w:rsidR="00EE2FE4" w:rsidRDefault="00EE2FE4">
      <w:pPr>
        <w:sectPr w:rsidR="00EE2FE4">
          <w:pgSz w:w="11923" w:h="16848"/>
          <w:pgMar w:top="437" w:right="779" w:bottom="133" w:left="574" w:header="9" w:footer="3" w:gutter="0"/>
          <w:pgNumType w:start="1"/>
          <w:cols w:space="720"/>
          <w:noEndnote/>
          <w:docGrid w:linePitch="360"/>
        </w:sectPr>
      </w:pPr>
    </w:p>
    <w:p w:rsidR="00EE2FE4" w:rsidRDefault="00ED683B">
      <w:pPr>
        <w:pStyle w:val="Style11"/>
        <w:shd w:val="clear" w:color="auto" w:fill="auto"/>
        <w:spacing w:after="0"/>
        <w:jc w:val="center"/>
      </w:pPr>
      <w:r>
        <w:rPr>
          <w:b/>
          <w:bCs/>
          <w:u w:val="single"/>
        </w:rPr>
        <w:lastRenderedPageBreak/>
        <w:t>Článek I.</w:t>
      </w:r>
    </w:p>
    <w:p w:rsidR="00EE2FE4" w:rsidRDefault="00ED683B">
      <w:pPr>
        <w:pStyle w:val="Style11"/>
        <w:shd w:val="clear" w:color="auto" w:fill="auto"/>
        <w:spacing w:after="380"/>
        <w:jc w:val="center"/>
      </w:pPr>
      <w:r>
        <w:rPr>
          <w:b/>
          <w:bCs/>
          <w:u w:val="single"/>
        </w:rPr>
        <w:t>Předmět dodatku pojistné smlouvy</w:t>
      </w:r>
    </w:p>
    <w:p w:rsidR="00EE2FE4" w:rsidRDefault="00ED683B">
      <w:pPr>
        <w:pStyle w:val="Style11"/>
        <w:shd w:val="clear" w:color="auto" w:fill="auto"/>
        <w:spacing w:after="380"/>
        <w:jc w:val="both"/>
      </w:pPr>
      <w:r>
        <w:rPr>
          <w:b/>
          <w:bCs/>
        </w:rPr>
        <w:t>Pojistitel a pojistník sjednávají tímto dodatkem následující změny v pojistné smlouvě:</w:t>
      </w:r>
    </w:p>
    <w:p w:rsidR="00EE2FE4" w:rsidRDefault="00ED683B">
      <w:pPr>
        <w:pStyle w:val="Style31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200" w:line="266" w:lineRule="auto"/>
        <w:ind w:left="360" w:hanging="360"/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t xml:space="preserve">V bodu 7. </w:t>
      </w:r>
      <w:r>
        <w:rPr>
          <w:b w:val="0"/>
          <w:bCs w:val="0"/>
        </w:rPr>
        <w:t xml:space="preserve">(Místo pojištění), </w:t>
      </w:r>
      <w:r>
        <w:t>článku I. pojistné smlouvy se ruší písmena i), j), k) a dochází k vyřazení následujících míst pojištění:</w:t>
      </w:r>
      <w:bookmarkEnd w:id="11"/>
      <w:bookmarkEnd w:id="12"/>
      <w:bookmarkEnd w:id="13"/>
    </w:p>
    <w:p w:rsidR="00EE2FE4" w:rsidRDefault="00ED683B">
      <w:pPr>
        <w:pStyle w:val="Style11"/>
        <w:shd w:val="clear" w:color="auto" w:fill="auto"/>
        <w:spacing w:after="200"/>
        <w:ind w:left="1520"/>
        <w:jc w:val="both"/>
      </w:pPr>
      <w:r>
        <w:rPr>
          <w:b/>
          <w:bCs/>
        </w:rPr>
        <w:t xml:space="preserve">Ruší se </w:t>
      </w:r>
      <w:r>
        <w:t xml:space="preserve">místo pojištění i) - Královské </w:t>
      </w:r>
      <w:proofErr w:type="gramStart"/>
      <w:r>
        <w:t>Poříčí - protipovodňová</w:t>
      </w:r>
      <w:proofErr w:type="gramEnd"/>
      <w:r>
        <w:t xml:space="preserve"> opatření obce.</w:t>
      </w:r>
    </w:p>
    <w:p w:rsidR="00EE2FE4" w:rsidRDefault="00ED683B">
      <w:pPr>
        <w:pStyle w:val="Style11"/>
        <w:shd w:val="clear" w:color="auto" w:fill="auto"/>
        <w:spacing w:after="200"/>
        <w:ind w:left="1520"/>
        <w:jc w:val="both"/>
      </w:pPr>
      <w:r>
        <w:rPr>
          <w:b/>
          <w:bCs/>
        </w:rPr>
        <w:t xml:space="preserve">Ruší se </w:t>
      </w:r>
      <w:r>
        <w:t xml:space="preserve">místo pojištění j) - </w:t>
      </w:r>
      <w:proofErr w:type="gramStart"/>
      <w:r>
        <w:t>Sokolov - protipovodňová</w:t>
      </w:r>
      <w:proofErr w:type="gramEnd"/>
      <w:r>
        <w:t xml:space="preserve"> </w:t>
      </w:r>
      <w:r>
        <w:t>ochrana Sokolova na Lobezském potoce.</w:t>
      </w:r>
    </w:p>
    <w:p w:rsidR="00EE2FE4" w:rsidRDefault="00ED683B">
      <w:pPr>
        <w:pStyle w:val="Style11"/>
        <w:shd w:val="clear" w:color="auto" w:fill="auto"/>
        <w:spacing w:after="480"/>
        <w:ind w:left="1520"/>
        <w:jc w:val="both"/>
      </w:pPr>
      <w:r>
        <w:rPr>
          <w:b/>
          <w:bCs/>
        </w:rPr>
        <w:t xml:space="preserve">Ruší se </w:t>
      </w:r>
      <w:r>
        <w:t xml:space="preserve">místo pojištění </w:t>
      </w:r>
      <w:r>
        <w:rPr>
          <w:lang w:val="sk-SK" w:eastAsia="sk-SK" w:bidi="sk-SK"/>
        </w:rPr>
        <w:t xml:space="preserve">k) </w:t>
      </w:r>
      <w:r>
        <w:t xml:space="preserve">- VD </w:t>
      </w:r>
      <w:proofErr w:type="gramStart"/>
      <w:r>
        <w:t>Chřibská - rekonstrukce</w:t>
      </w:r>
      <w:proofErr w:type="gramEnd"/>
      <w:r>
        <w:t xml:space="preserve"> skluzu.</w:t>
      </w:r>
    </w:p>
    <w:p w:rsidR="00EE2FE4" w:rsidRDefault="00ED683B">
      <w:pPr>
        <w:pStyle w:val="Style11"/>
        <w:numPr>
          <w:ilvl w:val="0"/>
          <w:numId w:val="1"/>
        </w:numPr>
        <w:shd w:val="clear" w:color="auto" w:fill="auto"/>
        <w:tabs>
          <w:tab w:val="left" w:pos="344"/>
        </w:tabs>
        <w:spacing w:after="200"/>
        <w:ind w:left="360" w:hanging="360"/>
      </w:pPr>
      <w:bookmarkStart w:id="14" w:name="bookmark14"/>
      <w:bookmarkEnd w:id="14"/>
      <w:r>
        <w:rPr>
          <w:b/>
          <w:bCs/>
        </w:rPr>
        <w:t xml:space="preserve">V bodu 1. </w:t>
      </w:r>
      <w:r>
        <w:t xml:space="preserve">(ŽIVELNÍ POJIŠTĚNÍ), </w:t>
      </w:r>
      <w:r>
        <w:rPr>
          <w:b/>
          <w:bCs/>
        </w:rPr>
        <w:t>článku II. pojistné smlouvy se ruší odst. 1.1., 1.2. a 1.3. a dochází k vyřazení následujících předmětů pojištění:</w:t>
      </w:r>
    </w:p>
    <w:p w:rsidR="00EE2FE4" w:rsidRDefault="00ED683B">
      <w:pPr>
        <w:pStyle w:val="Style11"/>
        <w:shd w:val="clear" w:color="auto" w:fill="auto"/>
        <w:spacing w:after="60"/>
        <w:ind w:left="1520"/>
      </w:pPr>
      <w:r>
        <w:rPr>
          <w:b/>
          <w:bCs/>
        </w:rPr>
        <w:t xml:space="preserve">Ruší se </w:t>
      </w:r>
      <w:r>
        <w:t xml:space="preserve">pojištění vlastní nebo cizí </w:t>
      </w:r>
      <w:proofErr w:type="gramStart"/>
      <w:r>
        <w:t xml:space="preserve">stavby - </w:t>
      </w:r>
      <w:r>
        <w:rPr>
          <w:b/>
          <w:bCs/>
        </w:rPr>
        <w:t>Protipovodňová</w:t>
      </w:r>
      <w:proofErr w:type="gramEnd"/>
      <w:r>
        <w:rPr>
          <w:b/>
          <w:bCs/>
        </w:rPr>
        <w:t xml:space="preserve"> opatření obce Královské Poříčí.</w:t>
      </w:r>
    </w:p>
    <w:p w:rsidR="00EE2FE4" w:rsidRDefault="00ED683B">
      <w:pPr>
        <w:pStyle w:val="Style11"/>
        <w:shd w:val="clear" w:color="auto" w:fill="auto"/>
        <w:spacing w:after="200"/>
        <w:ind w:left="1520"/>
      </w:pPr>
      <w:r>
        <w:t>Pro tuto stavbu bylo sjednáno riziko povodně, záplavy v příčinné souvislosti s povodní a záplavy způsobené živelní událostí jinak než v příčinné souvislosti s povodní.</w:t>
      </w:r>
    </w:p>
    <w:p w:rsidR="00EE2FE4" w:rsidRDefault="00ED683B">
      <w:pPr>
        <w:pStyle w:val="Style11"/>
        <w:shd w:val="clear" w:color="auto" w:fill="auto"/>
        <w:spacing w:after="60"/>
        <w:ind w:left="1520"/>
      </w:pPr>
      <w:r>
        <w:rPr>
          <w:b/>
          <w:bCs/>
        </w:rPr>
        <w:t>Ruší</w:t>
      </w:r>
      <w:r>
        <w:rPr>
          <w:b/>
          <w:bCs/>
        </w:rPr>
        <w:t xml:space="preserve"> se </w:t>
      </w:r>
      <w:r>
        <w:t xml:space="preserve">pojištění vlastní nebo cizí </w:t>
      </w:r>
      <w:proofErr w:type="gramStart"/>
      <w:r>
        <w:t xml:space="preserve">stavby - </w:t>
      </w:r>
      <w:r>
        <w:rPr>
          <w:b/>
          <w:bCs/>
        </w:rPr>
        <w:t>Protipovodňová</w:t>
      </w:r>
      <w:proofErr w:type="gramEnd"/>
      <w:r>
        <w:rPr>
          <w:b/>
          <w:bCs/>
        </w:rPr>
        <w:t xml:space="preserve"> ochrana Sokolova na Lobezském potoce.</w:t>
      </w:r>
    </w:p>
    <w:p w:rsidR="00EE2FE4" w:rsidRDefault="00ED683B">
      <w:pPr>
        <w:pStyle w:val="Style11"/>
        <w:shd w:val="clear" w:color="auto" w:fill="auto"/>
        <w:spacing w:after="200"/>
        <w:ind w:left="1520"/>
      </w:pPr>
      <w:r>
        <w:t>Pro tuto stavbu bylo sjednáno riziko povodně, záplavy v příčinné souvislosti s povodní a záplavy způsobené živelní událostí jinak než v příčinné souvislosti s pov</w:t>
      </w:r>
      <w:r>
        <w:t>odní.</w:t>
      </w:r>
    </w:p>
    <w:p w:rsidR="00EE2FE4" w:rsidRDefault="00ED683B">
      <w:pPr>
        <w:pStyle w:val="Style11"/>
        <w:shd w:val="clear" w:color="auto" w:fill="auto"/>
        <w:spacing w:after="60"/>
        <w:ind w:left="1520"/>
        <w:jc w:val="both"/>
      </w:pPr>
      <w:r>
        <w:rPr>
          <w:b/>
          <w:bCs/>
        </w:rPr>
        <w:t xml:space="preserve">Ruší se </w:t>
      </w:r>
      <w:r>
        <w:t xml:space="preserve">pojištění vlastní nebo cizí </w:t>
      </w:r>
      <w:proofErr w:type="gramStart"/>
      <w:r>
        <w:t xml:space="preserve">stavby - </w:t>
      </w:r>
      <w:r>
        <w:rPr>
          <w:b/>
          <w:bCs/>
        </w:rPr>
        <w:t>Rekonstrukce</w:t>
      </w:r>
      <w:proofErr w:type="gramEnd"/>
      <w:r>
        <w:rPr>
          <w:b/>
          <w:bCs/>
        </w:rPr>
        <w:t xml:space="preserve"> skluzu VD Chřibská.</w:t>
      </w:r>
    </w:p>
    <w:p w:rsidR="00EE2FE4" w:rsidRDefault="00ED683B">
      <w:pPr>
        <w:pStyle w:val="Style11"/>
        <w:shd w:val="clear" w:color="auto" w:fill="auto"/>
        <w:spacing w:after="380"/>
        <w:ind w:left="1520"/>
      </w:pPr>
      <w:r>
        <w:t>Pro tuto stavbu nebylo sjednáno riziko povodně, záplavy v příčinné souvislosti s povodní a záplavy způsobené živelní událostí jinak než v příčinné souvislosti s povodní.</w:t>
      </w:r>
    </w:p>
    <w:p w:rsidR="00EE2FE4" w:rsidRDefault="00ED683B">
      <w:pPr>
        <w:pStyle w:val="Style11"/>
        <w:numPr>
          <w:ilvl w:val="0"/>
          <w:numId w:val="1"/>
        </w:numPr>
        <w:shd w:val="clear" w:color="auto" w:fill="auto"/>
        <w:tabs>
          <w:tab w:val="left" w:pos="344"/>
        </w:tabs>
        <w:spacing w:after="380"/>
        <w:ind w:left="360" w:hanging="360"/>
      </w:pPr>
      <w:bookmarkStart w:id="15" w:name="bookmark15"/>
      <w:bookmarkEnd w:id="15"/>
      <w:r>
        <w:rPr>
          <w:b/>
          <w:bCs/>
        </w:rPr>
        <w:t xml:space="preserve">Z </w:t>
      </w:r>
      <w:r>
        <w:rPr>
          <w:b/>
          <w:bCs/>
        </w:rPr>
        <w:t>důvodu vyřazení pojistného nebezpečí povodeň a záplava v příčinné souvislosti s povodní a záplava způsobená živelní událostí jinak než v příčinné souvislosti s povodní, změn provedených tímto dodatkem a aktualizace rozsahu pojištění se s účinností od 01. 0</w:t>
      </w:r>
      <w:r>
        <w:rPr>
          <w:b/>
          <w:bCs/>
        </w:rPr>
        <w:t>7. 2023 sjednává nové znění článku II., bodu 1. pojistné smlouvy, původní znění se nahrazuje následovně:</w:t>
      </w:r>
    </w:p>
    <w:p w:rsidR="00EE2FE4" w:rsidRDefault="00ED683B">
      <w:pPr>
        <w:pStyle w:val="Style11"/>
        <w:shd w:val="clear" w:color="auto" w:fill="auto"/>
        <w:spacing w:after="0"/>
        <w:jc w:val="center"/>
      </w:pPr>
      <w:r>
        <w:rPr>
          <w:b/>
          <w:bCs/>
        </w:rPr>
        <w:t>Článek II.</w:t>
      </w:r>
    </w:p>
    <w:p w:rsidR="00EE2FE4" w:rsidRDefault="00ED683B">
      <w:pPr>
        <w:pStyle w:val="Style11"/>
        <w:shd w:val="clear" w:color="auto" w:fill="auto"/>
        <w:spacing w:after="200"/>
        <w:jc w:val="center"/>
      </w:pPr>
      <w:r>
        <w:rPr>
          <w:b/>
          <w:bCs/>
          <w:u w:val="single"/>
        </w:rPr>
        <w:t>Druhy pojištění, předměty pojištění, pojistné částky a spoluúčasti</w:t>
      </w:r>
    </w:p>
    <w:p w:rsidR="00EE2FE4" w:rsidRDefault="00ED683B">
      <w:pPr>
        <w:pStyle w:val="Style31"/>
        <w:keepNext/>
        <w:keepLines/>
        <w:numPr>
          <w:ilvl w:val="0"/>
          <w:numId w:val="2"/>
        </w:numPr>
        <w:shd w:val="clear" w:color="auto" w:fill="auto"/>
        <w:tabs>
          <w:tab w:val="left" w:pos="330"/>
        </w:tabs>
        <w:spacing w:after="120" w:line="276" w:lineRule="auto"/>
        <w:jc w:val="both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rPr>
          <w:u w:val="single"/>
        </w:rPr>
        <w:t>ŽIVELNÍ POJIŠTĚNÍ</w:t>
      </w:r>
      <w:bookmarkEnd w:id="17"/>
      <w:bookmarkEnd w:id="18"/>
      <w:bookmarkEnd w:id="19"/>
    </w:p>
    <w:p w:rsidR="00EE2FE4" w:rsidRDefault="00ED683B">
      <w:pPr>
        <w:pStyle w:val="Style11"/>
        <w:shd w:val="clear" w:color="auto" w:fill="auto"/>
        <w:spacing w:after="200"/>
      </w:pPr>
      <w:r>
        <w:t xml:space="preserve">Živelní pojištění je upraveno VPP pro pojištění majetku VPPM 1/07 (dále jen VPPM 1/07) </w:t>
      </w:r>
      <w:r>
        <w:rPr>
          <w:lang w:val="en-US" w:eastAsia="en-US" w:bidi="en-US"/>
        </w:rPr>
        <w:t xml:space="preserve">a DPP </w:t>
      </w:r>
      <w:r>
        <w:t>pro případ poškození nebo zničení věci živelní událostí DPPŽU3 MP 1/07 (dále jen DPPŽU3 MP 1/07).</w:t>
      </w:r>
    </w:p>
    <w:p w:rsidR="00EE2FE4" w:rsidRDefault="00ED683B">
      <w:pPr>
        <w:pStyle w:val="Style11"/>
        <w:shd w:val="clear" w:color="auto" w:fill="auto"/>
        <w:spacing w:after="60"/>
        <w:ind w:left="2780" w:hanging="2780"/>
        <w:jc w:val="both"/>
      </w:pPr>
      <w:r>
        <w:t xml:space="preserve">Pojištění se sjednává v rozsahu: </w:t>
      </w:r>
      <w:proofErr w:type="spellStart"/>
      <w:r>
        <w:rPr>
          <w:b/>
          <w:bCs/>
          <w:lang w:val="de-DE" w:eastAsia="de-DE" w:bidi="de-DE"/>
        </w:rPr>
        <w:t>Flexa</w:t>
      </w:r>
      <w:proofErr w:type="spellEnd"/>
      <w:r>
        <w:rPr>
          <w:b/>
          <w:bCs/>
          <w:lang w:val="de-DE" w:eastAsia="de-DE" w:bidi="de-DE"/>
        </w:rPr>
        <w:t xml:space="preserve"> </w:t>
      </w:r>
      <w:r>
        <w:rPr>
          <w:b/>
          <w:bCs/>
        </w:rPr>
        <w:t>(tj. požár, výbuch, úder b</w:t>
      </w:r>
      <w:r>
        <w:rPr>
          <w:b/>
          <w:bCs/>
        </w:rPr>
        <w:t>lesku, pád letadla nebo sportovního létajícího zařízení nebo jeho části)</w:t>
      </w:r>
    </w:p>
    <w:p w:rsidR="00EE2FE4" w:rsidRDefault="00ED683B">
      <w:pPr>
        <w:pStyle w:val="Style11"/>
        <w:shd w:val="clear" w:color="auto" w:fill="auto"/>
        <w:spacing w:after="60"/>
        <w:ind w:left="2780"/>
      </w:pPr>
      <w:r>
        <w:rPr>
          <w:b/>
          <w:bCs/>
        </w:rPr>
        <w:t>Sesuv půdy, zřícení skal nebo zemin</w:t>
      </w:r>
    </w:p>
    <w:p w:rsidR="00EE2FE4" w:rsidRDefault="00ED683B">
      <w:pPr>
        <w:pStyle w:val="Style11"/>
        <w:shd w:val="clear" w:color="auto" w:fill="auto"/>
        <w:spacing w:after="200"/>
        <w:ind w:left="2780"/>
      </w:pPr>
      <w:r>
        <w:rPr>
          <w:b/>
          <w:bCs/>
        </w:rPr>
        <w:t>Zemětřesení</w:t>
      </w:r>
    </w:p>
    <w:p w:rsidR="00EE2FE4" w:rsidRDefault="00ED683B">
      <w:pPr>
        <w:pStyle w:val="Style11"/>
        <w:shd w:val="clear" w:color="auto" w:fill="auto"/>
        <w:spacing w:after="200"/>
      </w:pPr>
      <w:r>
        <w:t>Za poškození nebo zničení pojištěných věcí v přímé souvislosti s úderem blesku se považují škody vzniklé v přímé souvislosti s viditeln</w:t>
      </w:r>
      <w:r>
        <w:t>ými destrukčními účinky blesku na budovu nebo stavbu, ve které byly v době vzniku pojistné události uloženy.</w:t>
      </w:r>
    </w:p>
    <w:p w:rsidR="00EE2FE4" w:rsidRDefault="00ED683B">
      <w:pPr>
        <w:pStyle w:val="Style11"/>
        <w:shd w:val="clear" w:color="auto" w:fill="auto"/>
        <w:spacing w:after="200"/>
        <w:jc w:val="both"/>
      </w:pPr>
      <w:r>
        <w:rPr>
          <w:b/>
          <w:bCs/>
        </w:rPr>
        <w:t>Roční limity plnění pro jednotlivá živelní pojistná nebezpečí jsou uvedeny v článku V. této pojistné smlouvy.</w:t>
      </w:r>
    </w:p>
    <w:p w:rsidR="00EE2FE4" w:rsidRDefault="00ED683B">
      <w:pPr>
        <w:pStyle w:val="Style11"/>
        <w:shd w:val="clear" w:color="auto" w:fill="auto"/>
        <w:spacing w:after="200"/>
        <w:jc w:val="both"/>
        <w:rPr>
          <w:b/>
          <w:bCs/>
        </w:rPr>
      </w:pPr>
      <w:r>
        <w:rPr>
          <w:b/>
          <w:bCs/>
        </w:rPr>
        <w:t>Pojištěna jsou díla nebo jeho celkové</w:t>
      </w:r>
      <w:r>
        <w:rPr>
          <w:b/>
          <w:bCs/>
        </w:rPr>
        <w:t xml:space="preserve"> rekonstrukce na maximálně 10 let.</w:t>
      </w:r>
    </w:p>
    <w:p w:rsidR="00ED683B" w:rsidRDefault="00ED683B">
      <w:pPr>
        <w:pStyle w:val="Style11"/>
        <w:shd w:val="clear" w:color="auto" w:fill="auto"/>
        <w:spacing w:after="200"/>
        <w:jc w:val="both"/>
      </w:pPr>
    </w:p>
    <w:p w:rsidR="00EE2FE4" w:rsidRDefault="00ED683B">
      <w:pPr>
        <w:pStyle w:val="Style11"/>
        <w:shd w:val="clear" w:color="auto" w:fill="auto"/>
        <w:spacing w:after="200" w:line="283" w:lineRule="auto"/>
        <w:ind w:left="520" w:firstLine="40"/>
      </w:pPr>
      <w:r>
        <w:t xml:space="preserve">Pojištění pro pojistné nebezpečí </w:t>
      </w:r>
      <w:proofErr w:type="spellStart"/>
      <w:r>
        <w:rPr>
          <w:b/>
          <w:bCs/>
        </w:rPr>
        <w:t>flexa</w:t>
      </w:r>
      <w:proofErr w:type="spellEnd"/>
      <w:r>
        <w:rPr>
          <w:b/>
          <w:bCs/>
        </w:rPr>
        <w:t xml:space="preserve"> </w:t>
      </w:r>
      <w:r>
        <w:t xml:space="preserve">se sjednává se spoluúčastí z pojistného plnění pro každou pojistnou událost ve výši </w:t>
      </w:r>
      <w:r>
        <w:rPr>
          <w:b/>
          <w:bCs/>
        </w:rPr>
        <w:t>1.000.000,- Kč.</w:t>
      </w:r>
    </w:p>
    <w:p w:rsidR="00EE2FE4" w:rsidRDefault="00ED683B">
      <w:pPr>
        <w:pStyle w:val="Style11"/>
        <w:shd w:val="clear" w:color="auto" w:fill="auto"/>
        <w:spacing w:after="200"/>
        <w:ind w:left="520" w:firstLine="40"/>
        <w:jc w:val="both"/>
      </w:pPr>
      <w:r>
        <w:lastRenderedPageBreak/>
        <w:t xml:space="preserve">Pojištění pro pojistné nebezpečí </w:t>
      </w:r>
      <w:r>
        <w:rPr>
          <w:b/>
          <w:bCs/>
        </w:rPr>
        <w:t xml:space="preserve">zemětřesení </w:t>
      </w:r>
      <w:r>
        <w:t xml:space="preserve">se sjednává se spoluúčastí z pojistného plnění pro každou pojistnou událost ve výši </w:t>
      </w:r>
      <w:r>
        <w:rPr>
          <w:b/>
          <w:bCs/>
        </w:rPr>
        <w:t>1.000.000,- Kč.</w:t>
      </w:r>
    </w:p>
    <w:p w:rsidR="00EE2FE4" w:rsidRDefault="00ED683B">
      <w:pPr>
        <w:pStyle w:val="Style11"/>
        <w:shd w:val="clear" w:color="auto" w:fill="auto"/>
        <w:spacing w:after="360"/>
        <w:ind w:left="520" w:firstLine="40"/>
        <w:jc w:val="both"/>
      </w:pPr>
      <w:r>
        <w:t xml:space="preserve">Pojištění pro pojistná nebezpečí </w:t>
      </w:r>
      <w:r>
        <w:rPr>
          <w:b/>
          <w:bCs/>
        </w:rPr>
        <w:t xml:space="preserve">sesuv půdy a zřícení skal nebo zemin </w:t>
      </w:r>
      <w:r>
        <w:t xml:space="preserve">se sjednává se spoluúčastí z pojistného plnění pro každou pojistnou událost ve výši </w:t>
      </w:r>
      <w:r>
        <w:rPr>
          <w:b/>
          <w:bCs/>
        </w:rPr>
        <w:t>1.</w:t>
      </w:r>
      <w:r>
        <w:rPr>
          <w:b/>
          <w:bCs/>
        </w:rPr>
        <w:t>000.000,- Kč.</w:t>
      </w:r>
    </w:p>
    <w:p w:rsidR="00EE2FE4" w:rsidRDefault="00ED683B">
      <w:pPr>
        <w:pStyle w:val="Style11"/>
        <w:numPr>
          <w:ilvl w:val="1"/>
          <w:numId w:val="2"/>
        </w:numPr>
        <w:shd w:val="clear" w:color="auto" w:fill="auto"/>
        <w:tabs>
          <w:tab w:val="left" w:pos="1109"/>
        </w:tabs>
        <w:spacing w:after="120" w:line="240" w:lineRule="auto"/>
        <w:ind w:left="520" w:firstLine="40"/>
        <w:jc w:val="both"/>
      </w:pPr>
      <w:bookmarkStart w:id="20" w:name="bookmark20"/>
      <w:bookmarkEnd w:id="20"/>
      <w:r>
        <w:t xml:space="preserve">Sjednává se pojištění vlastní nebo cizí </w:t>
      </w:r>
      <w:proofErr w:type="gramStart"/>
      <w:r>
        <w:t xml:space="preserve">stavby - </w:t>
      </w:r>
      <w:r>
        <w:rPr>
          <w:b/>
          <w:bCs/>
        </w:rPr>
        <w:t>Protipovodňová</w:t>
      </w:r>
      <w:proofErr w:type="gramEnd"/>
      <w:r>
        <w:rPr>
          <w:b/>
          <w:bCs/>
        </w:rPr>
        <w:t xml:space="preserve"> opatření města Bohušovice nad Ohří.</w:t>
      </w:r>
    </w:p>
    <w:p w:rsidR="00EE2FE4" w:rsidRDefault="00ED683B">
      <w:pPr>
        <w:pStyle w:val="Style31"/>
        <w:keepNext/>
        <w:keepLines/>
        <w:shd w:val="clear" w:color="auto" w:fill="auto"/>
        <w:spacing w:after="120" w:line="240" w:lineRule="auto"/>
        <w:ind w:left="1120"/>
        <w:jc w:val="both"/>
      </w:pPr>
      <w:bookmarkStart w:id="21" w:name="bookmark23"/>
      <w:r>
        <w:t>Místo pojištění: dle čl. I bodu 7 písmene i)</w:t>
      </w:r>
      <w:bookmarkEnd w:id="21"/>
    </w:p>
    <w:p w:rsidR="00EE2FE4" w:rsidRDefault="00ED683B">
      <w:pPr>
        <w:pStyle w:val="Style31"/>
        <w:keepNext/>
        <w:keepLines/>
        <w:shd w:val="clear" w:color="auto" w:fill="auto"/>
        <w:spacing w:after="360" w:line="240" w:lineRule="auto"/>
        <w:ind w:left="1120"/>
        <w:jc w:val="both"/>
      </w:pPr>
      <w:bookmarkStart w:id="22" w:name="bookmark21"/>
      <w:bookmarkStart w:id="23" w:name="bookmark22"/>
      <w:bookmarkStart w:id="24" w:name="bookmark24"/>
      <w:r>
        <w:t>Celková pojistná částka činí: 81.359.294,- Kč</w:t>
      </w:r>
      <w:bookmarkEnd w:id="22"/>
      <w:bookmarkEnd w:id="23"/>
      <w:bookmarkEnd w:id="24"/>
    </w:p>
    <w:p w:rsidR="00EE2FE4" w:rsidRDefault="00ED683B">
      <w:pPr>
        <w:pStyle w:val="Style11"/>
        <w:numPr>
          <w:ilvl w:val="1"/>
          <w:numId w:val="2"/>
        </w:numPr>
        <w:shd w:val="clear" w:color="auto" w:fill="auto"/>
        <w:tabs>
          <w:tab w:val="left" w:pos="1109"/>
        </w:tabs>
        <w:spacing w:after="120" w:line="240" w:lineRule="auto"/>
        <w:ind w:firstLine="520"/>
        <w:jc w:val="both"/>
      </w:pPr>
      <w:bookmarkStart w:id="25" w:name="bookmark25"/>
      <w:bookmarkEnd w:id="25"/>
      <w:r>
        <w:t xml:space="preserve">Sjednává se pojištění vlastní nebo cizí </w:t>
      </w:r>
      <w:proofErr w:type="gramStart"/>
      <w:r>
        <w:t xml:space="preserve">stavby - </w:t>
      </w:r>
      <w:r>
        <w:rPr>
          <w:b/>
          <w:bCs/>
        </w:rPr>
        <w:t>Pr</w:t>
      </w:r>
      <w:r>
        <w:rPr>
          <w:b/>
          <w:bCs/>
        </w:rPr>
        <w:t>otipovodňová</w:t>
      </w:r>
      <w:proofErr w:type="gramEnd"/>
      <w:r>
        <w:rPr>
          <w:b/>
          <w:bCs/>
        </w:rPr>
        <w:t xml:space="preserve"> opatření města Terezín.</w:t>
      </w:r>
    </w:p>
    <w:p w:rsidR="00EE2FE4" w:rsidRDefault="00ED683B">
      <w:pPr>
        <w:pStyle w:val="Style11"/>
        <w:shd w:val="clear" w:color="auto" w:fill="auto"/>
        <w:spacing w:after="120" w:line="240" w:lineRule="auto"/>
        <w:ind w:left="1120"/>
        <w:jc w:val="both"/>
      </w:pPr>
      <w:r>
        <w:rPr>
          <w:b/>
          <w:bCs/>
        </w:rPr>
        <w:t>Místo pojištění: dle čl. I bodu 7 písmene m)</w:t>
      </w:r>
    </w:p>
    <w:p w:rsidR="00EE2FE4" w:rsidRDefault="00ED683B">
      <w:pPr>
        <w:pStyle w:val="Style11"/>
        <w:shd w:val="clear" w:color="auto" w:fill="auto"/>
        <w:spacing w:after="420" w:line="240" w:lineRule="auto"/>
        <w:ind w:left="1120"/>
        <w:jc w:val="both"/>
      </w:pPr>
      <w:r>
        <w:rPr>
          <w:b/>
          <w:bCs/>
        </w:rPr>
        <w:t>Celková pojistná částka činí: 160.196.079,- Kč</w:t>
      </w:r>
    </w:p>
    <w:p w:rsidR="00EE2FE4" w:rsidRDefault="00ED683B">
      <w:pPr>
        <w:pStyle w:val="Style11"/>
        <w:numPr>
          <w:ilvl w:val="0"/>
          <w:numId w:val="1"/>
        </w:numPr>
        <w:shd w:val="clear" w:color="auto" w:fill="auto"/>
        <w:tabs>
          <w:tab w:val="left" w:pos="903"/>
        </w:tabs>
        <w:spacing w:after="360" w:line="283" w:lineRule="auto"/>
        <w:ind w:left="820" w:hanging="260"/>
        <w:jc w:val="both"/>
      </w:pPr>
      <w:bookmarkStart w:id="26" w:name="bookmark26"/>
      <w:bookmarkEnd w:id="26"/>
      <w:r>
        <w:rPr>
          <w:b/>
          <w:bCs/>
        </w:rPr>
        <w:t xml:space="preserve">Z důvodu ukončení a vyřazení pojistného nebezpečí povodeň a záplava v příčinné souvislosti s povodní a záplava způsobená </w:t>
      </w:r>
      <w:r>
        <w:rPr>
          <w:b/>
          <w:bCs/>
        </w:rPr>
        <w:t>živelní událostí jinak než v příčinné souvislosti s povodní se s účinností od 01.07. 2023 sjednává nové znění článku V., bodu 1. pojistné smlouvy, původní znění se nahrazuje následovně:</w:t>
      </w:r>
    </w:p>
    <w:p w:rsidR="00EE2FE4" w:rsidRDefault="00ED683B">
      <w:pPr>
        <w:pStyle w:val="Style31"/>
        <w:keepNext/>
        <w:keepLines/>
        <w:shd w:val="clear" w:color="auto" w:fill="auto"/>
        <w:spacing w:after="0" w:line="276" w:lineRule="auto"/>
        <w:jc w:val="center"/>
      </w:pPr>
      <w:bookmarkStart w:id="27" w:name="bookmark29"/>
      <w:r>
        <w:t>Článek V.</w:t>
      </w:r>
      <w:bookmarkEnd w:id="27"/>
    </w:p>
    <w:p w:rsidR="00EE2FE4" w:rsidRDefault="00ED683B">
      <w:pPr>
        <w:pStyle w:val="Style31"/>
        <w:keepNext/>
        <w:keepLines/>
        <w:shd w:val="clear" w:color="auto" w:fill="auto"/>
        <w:spacing w:after="120" w:line="276" w:lineRule="auto"/>
        <w:jc w:val="center"/>
      </w:pPr>
      <w:bookmarkStart w:id="28" w:name="bookmark27"/>
      <w:bookmarkStart w:id="29" w:name="bookmark28"/>
      <w:bookmarkStart w:id="30" w:name="bookmark30"/>
      <w:r>
        <w:rPr>
          <w:u w:val="single"/>
        </w:rPr>
        <w:t>Plnění pojistitele</w:t>
      </w:r>
      <w:bookmarkEnd w:id="28"/>
      <w:bookmarkEnd w:id="29"/>
      <w:bookmarkEnd w:id="30"/>
    </w:p>
    <w:p w:rsidR="00EE2FE4" w:rsidRDefault="00ED683B">
      <w:pPr>
        <w:pStyle w:val="Style11"/>
        <w:numPr>
          <w:ilvl w:val="0"/>
          <w:numId w:val="3"/>
        </w:numPr>
        <w:shd w:val="clear" w:color="auto" w:fill="auto"/>
        <w:tabs>
          <w:tab w:val="left" w:pos="903"/>
        </w:tabs>
        <w:spacing w:after="120"/>
        <w:ind w:left="880" w:hanging="320"/>
        <w:jc w:val="both"/>
      </w:pPr>
      <w:bookmarkStart w:id="31" w:name="bookmark31"/>
      <w:bookmarkEnd w:id="31"/>
      <w:r>
        <w:t>Vznikne-li právo na plnění z pojistné udá</w:t>
      </w:r>
      <w:r>
        <w:t xml:space="preserve">losti, poskytne pojistitel plnění podle </w:t>
      </w:r>
      <w:r>
        <w:rPr>
          <w:b/>
          <w:bCs/>
        </w:rPr>
        <w:t xml:space="preserve">VPP, DPP </w:t>
      </w:r>
      <w:r>
        <w:t>a ujednání uvedených v této pojistné smlouvě.</w:t>
      </w:r>
    </w:p>
    <w:p w:rsidR="00EE2FE4" w:rsidRDefault="00ED683B">
      <w:pPr>
        <w:pStyle w:val="Style11"/>
        <w:numPr>
          <w:ilvl w:val="0"/>
          <w:numId w:val="3"/>
        </w:numPr>
        <w:shd w:val="clear" w:color="auto" w:fill="auto"/>
        <w:tabs>
          <w:tab w:val="left" w:pos="903"/>
        </w:tabs>
        <w:spacing w:after="120"/>
        <w:ind w:firstLine="520"/>
        <w:jc w:val="both"/>
      </w:pPr>
      <w:bookmarkStart w:id="32" w:name="bookmark32"/>
      <w:bookmarkEnd w:id="32"/>
      <w:r>
        <w:t>V případě plnění v cizí měně se pro přepočet použije kursu oficiálně vyhlášeného ČNB ke dni pojistné události.</w:t>
      </w:r>
    </w:p>
    <w:p w:rsidR="00EE2FE4" w:rsidRDefault="00ED683B">
      <w:pPr>
        <w:pStyle w:val="Style11"/>
        <w:numPr>
          <w:ilvl w:val="0"/>
          <w:numId w:val="3"/>
        </w:numPr>
        <w:shd w:val="clear" w:color="auto" w:fill="auto"/>
        <w:tabs>
          <w:tab w:val="left" w:pos="903"/>
        </w:tabs>
        <w:spacing w:after="120" w:line="283" w:lineRule="auto"/>
        <w:ind w:left="880" w:hanging="320"/>
        <w:jc w:val="both"/>
      </w:pPr>
      <w:bookmarkStart w:id="33" w:name="bookmark33"/>
      <w:bookmarkEnd w:id="33"/>
      <w:r>
        <w:t>Má-li oprávněná osoba při provádění opravy nebo ná</w:t>
      </w:r>
      <w:r>
        <w:t>hrady související s pojistnou událostí ze zákona nárok na odpočet DPH, poskytne pojistitel plnění bez DPH. V případech, kdy pojistník, resp. poškozený subjekt tento nárok nemá, poskytne pojistitel plnění včetně DPH.</w:t>
      </w:r>
    </w:p>
    <w:p w:rsidR="00EE2FE4" w:rsidRDefault="00ED683B">
      <w:pPr>
        <w:pStyle w:val="Style11"/>
        <w:numPr>
          <w:ilvl w:val="0"/>
          <w:numId w:val="3"/>
        </w:numPr>
        <w:shd w:val="clear" w:color="auto" w:fill="auto"/>
        <w:tabs>
          <w:tab w:val="left" w:pos="903"/>
        </w:tabs>
        <w:spacing w:after="120"/>
        <w:ind w:left="880" w:hanging="320"/>
        <w:jc w:val="both"/>
      </w:pPr>
      <w:bookmarkStart w:id="34" w:name="bookmark34"/>
      <w:bookmarkEnd w:id="34"/>
      <w:r>
        <w:t xml:space="preserve">Odchylně od čl. 11 bodu 3 VPPM 1/07 se </w:t>
      </w:r>
      <w:r>
        <w:t>za pojistnou událost považuje skutečnost způsobená pojistným nebezpečím, které nastalo v důsledku úmyslného jednání nebo úmyslného opomenutí osob oprávněných užívat pojištěnou věc nebo jiných osob z jejich podnětu, pokud tyto osoby nejsou pojistníkem, poji</w:t>
      </w:r>
      <w:r>
        <w:t>štěným, členem jejich domácnosti, jejich společníkem a zaměstnancem.</w:t>
      </w:r>
    </w:p>
    <w:p w:rsidR="00EE2FE4" w:rsidRDefault="00ED683B">
      <w:pPr>
        <w:pStyle w:val="Style11"/>
        <w:numPr>
          <w:ilvl w:val="0"/>
          <w:numId w:val="3"/>
        </w:numPr>
        <w:shd w:val="clear" w:color="auto" w:fill="auto"/>
        <w:tabs>
          <w:tab w:val="left" w:pos="903"/>
        </w:tabs>
        <w:spacing w:after="120"/>
        <w:ind w:left="880" w:hanging="320"/>
        <w:jc w:val="both"/>
      </w:pPr>
      <w:bookmarkStart w:id="35" w:name="bookmark35"/>
      <w:bookmarkEnd w:id="35"/>
      <w:r>
        <w:t>V souladu s čl. 13, bodem 23 VPPM 1/07 pojistné plnění ze všech druhů pojištění dle příslušných ustanovení jednotlivých DPP, sjednaných touto pojistnou smlouvou, za všechny pojistné událo</w:t>
      </w:r>
      <w:r>
        <w:t xml:space="preserve">sti vzniklé z příčin </w:t>
      </w:r>
      <w:r>
        <w:rPr>
          <w:b/>
          <w:bCs/>
        </w:rPr>
        <w:t xml:space="preserve">zemětřesení, </w:t>
      </w:r>
      <w:r>
        <w:t xml:space="preserve">nastalé v průběhu jednoho pojistného roku, je omezeno ročním limitem plnění na celou pojistnou smlouvu ve výši </w:t>
      </w:r>
      <w:r>
        <w:rPr>
          <w:b/>
          <w:bCs/>
        </w:rPr>
        <w:t>15.000.000,-Kč.</w:t>
      </w:r>
    </w:p>
    <w:p w:rsidR="00EE2FE4" w:rsidRDefault="00ED683B">
      <w:pPr>
        <w:pStyle w:val="Style11"/>
        <w:numPr>
          <w:ilvl w:val="0"/>
          <w:numId w:val="3"/>
        </w:numPr>
        <w:shd w:val="clear" w:color="auto" w:fill="auto"/>
        <w:tabs>
          <w:tab w:val="left" w:pos="903"/>
        </w:tabs>
        <w:spacing w:after="580" w:line="283" w:lineRule="auto"/>
        <w:ind w:left="880" w:hanging="320"/>
        <w:jc w:val="both"/>
      </w:pPr>
      <w:bookmarkStart w:id="36" w:name="bookmark36"/>
      <w:bookmarkEnd w:id="36"/>
      <w:r>
        <w:t>V souladu s čl. 13, bodem 23 VPPM 1/07 pojistné plnění ze všech druhů pojištění dle příslušných</w:t>
      </w:r>
      <w:r>
        <w:t xml:space="preserve"> ustanovení jednotlivých DPP, sjednaných touto pojistnou smlouvou, za všechny pojistné události vzniklé z příčin </w:t>
      </w:r>
      <w:r>
        <w:rPr>
          <w:b/>
          <w:bCs/>
        </w:rPr>
        <w:t xml:space="preserve">sesuv půdy a zřícení skal nebo zemin, </w:t>
      </w:r>
      <w:r>
        <w:t>nastalé v průběhu jednoho pojistného roku, je omezeno ročním limitem plnění na celou pojistnou smlouvu ve</w:t>
      </w:r>
      <w:r>
        <w:t xml:space="preserve"> výši </w:t>
      </w:r>
      <w:r>
        <w:rPr>
          <w:b/>
          <w:bCs/>
        </w:rPr>
        <w:t>15.000.000,-Kč.</w:t>
      </w:r>
    </w:p>
    <w:p w:rsidR="00EE2FE4" w:rsidRDefault="00ED683B">
      <w:pPr>
        <w:pStyle w:val="Style11"/>
        <w:shd w:val="clear" w:color="auto" w:fill="auto"/>
        <w:spacing w:after="0" w:line="240" w:lineRule="auto"/>
        <w:jc w:val="center"/>
      </w:pPr>
      <w:r>
        <w:rPr>
          <w:b/>
          <w:bCs/>
          <w:u w:val="single"/>
        </w:rPr>
        <w:t>Článek II.</w:t>
      </w:r>
    </w:p>
    <w:p w:rsidR="00EE2FE4" w:rsidRDefault="00ED683B">
      <w:pPr>
        <w:pStyle w:val="Style11"/>
        <w:shd w:val="clear" w:color="auto" w:fill="auto"/>
        <w:spacing w:after="360" w:line="240" w:lineRule="auto"/>
        <w:jc w:val="center"/>
      </w:pPr>
      <w:r>
        <w:rPr>
          <w:b/>
          <w:bCs/>
          <w:u w:val="single"/>
        </w:rPr>
        <w:t>Pojistné dle dodatku pojistné smlouvy</w:t>
      </w:r>
    </w:p>
    <w:p w:rsidR="00EE2FE4" w:rsidRDefault="00ED683B">
      <w:pPr>
        <w:pStyle w:val="Style11"/>
        <w:shd w:val="clear" w:color="auto" w:fill="auto"/>
        <w:spacing w:after="120"/>
        <w:jc w:val="center"/>
      </w:pPr>
      <w:r>
        <w:rPr>
          <w:b/>
          <w:bCs/>
        </w:rPr>
        <w:t>V návaznosti na změny provedené tímto dodatkem dochází k vyjmutí zapůjčené bonifikace pro riziko povodně a</w:t>
      </w:r>
      <w:r>
        <w:rPr>
          <w:b/>
          <w:bCs/>
        </w:rPr>
        <w:br/>
        <w:t>záplavy a s účinností od 01. 07. 2023 dochází ke změně a rekapitulaci článku I</w:t>
      </w:r>
      <w:r>
        <w:rPr>
          <w:b/>
          <w:bCs/>
        </w:rPr>
        <w:t>V. pojistné smlouvy následovně:</w:t>
      </w:r>
    </w:p>
    <w:p w:rsidR="00EE2FE4" w:rsidRDefault="00ED683B">
      <w:pPr>
        <w:pStyle w:val="Style31"/>
        <w:keepNext/>
        <w:keepLines/>
        <w:shd w:val="clear" w:color="auto" w:fill="auto"/>
        <w:spacing w:after="0" w:line="240" w:lineRule="auto"/>
        <w:jc w:val="center"/>
      </w:pPr>
      <w:bookmarkStart w:id="37" w:name="bookmark39"/>
      <w:r>
        <w:t>Článek VI.</w:t>
      </w:r>
      <w:bookmarkEnd w:id="37"/>
    </w:p>
    <w:p w:rsidR="00EE2FE4" w:rsidRDefault="00ED683B">
      <w:pPr>
        <w:pStyle w:val="Style31"/>
        <w:keepNext/>
        <w:keepLines/>
        <w:shd w:val="clear" w:color="auto" w:fill="auto"/>
        <w:spacing w:after="240" w:line="240" w:lineRule="auto"/>
        <w:jc w:val="center"/>
      </w:pPr>
      <w:bookmarkStart w:id="38" w:name="bookmark37"/>
      <w:bookmarkStart w:id="39" w:name="bookmark38"/>
      <w:bookmarkStart w:id="40" w:name="bookmark40"/>
      <w:r>
        <w:rPr>
          <w:u w:val="single"/>
        </w:rPr>
        <w:t>Výše a způsob placení pojistného</w:t>
      </w:r>
      <w:bookmarkEnd w:id="38"/>
      <w:bookmarkEnd w:id="39"/>
      <w:bookmarkEnd w:id="40"/>
    </w:p>
    <w:p w:rsidR="00EE2FE4" w:rsidRDefault="00ED683B">
      <w:pPr>
        <w:pStyle w:val="Style11"/>
        <w:shd w:val="clear" w:color="auto" w:fill="auto"/>
        <w:spacing w:after="240" w:line="240" w:lineRule="auto"/>
        <w:ind w:firstLine="580"/>
        <w:jc w:val="both"/>
      </w:pPr>
      <w:r>
        <w:t>1. Roční pojistné činí:</w:t>
      </w:r>
    </w:p>
    <w:p w:rsidR="00EE2FE4" w:rsidRDefault="00ED683B">
      <w:pPr>
        <w:pStyle w:val="Style31"/>
        <w:keepNext/>
        <w:keepLines/>
        <w:shd w:val="clear" w:color="auto" w:fill="auto"/>
        <w:spacing w:line="240" w:lineRule="auto"/>
        <w:ind w:firstLine="760"/>
        <w:jc w:val="both"/>
      </w:pPr>
      <w:bookmarkStart w:id="41" w:name="bookmark41"/>
      <w:bookmarkStart w:id="42" w:name="bookmark42"/>
      <w:bookmarkStart w:id="43" w:name="bookmark43"/>
      <w:r>
        <w:t>1. Živelní pojištění</w:t>
      </w:r>
      <w:bookmarkEnd w:id="41"/>
      <w:bookmarkEnd w:id="42"/>
      <w:bookmarkEnd w:id="43"/>
    </w:p>
    <w:p w:rsidR="00EE2FE4" w:rsidRDefault="00ED683B">
      <w:pPr>
        <w:pStyle w:val="Style11"/>
        <w:shd w:val="clear" w:color="auto" w:fill="auto"/>
        <w:tabs>
          <w:tab w:val="left" w:leader="dot" w:pos="9435"/>
        </w:tabs>
        <w:spacing w:line="240" w:lineRule="auto"/>
        <w:ind w:left="1040"/>
      </w:pPr>
      <w:proofErr w:type="spellStart"/>
      <w:r>
        <w:t>Flexa</w:t>
      </w:r>
      <w:proofErr w:type="spellEnd"/>
      <w:r>
        <w:t xml:space="preserve"> </w:t>
      </w:r>
      <w:r>
        <w:tab/>
        <w:t>46.083,-Kč.</w:t>
      </w:r>
    </w:p>
    <w:p w:rsidR="00EE2FE4" w:rsidRDefault="00ED683B">
      <w:pPr>
        <w:pStyle w:val="Style11"/>
        <w:shd w:val="clear" w:color="auto" w:fill="auto"/>
        <w:tabs>
          <w:tab w:val="left" w:leader="dot" w:pos="9446"/>
        </w:tabs>
        <w:spacing w:line="240" w:lineRule="auto"/>
        <w:ind w:left="1040"/>
      </w:pPr>
      <w:r>
        <w:t>Zemětřesení</w:t>
      </w:r>
      <w:r>
        <w:tab/>
        <w:t>11.513,- Kč.</w:t>
      </w:r>
    </w:p>
    <w:p w:rsidR="00EE2FE4" w:rsidRDefault="00ED683B">
      <w:pPr>
        <w:pStyle w:val="Style11"/>
        <w:shd w:val="clear" w:color="auto" w:fill="auto"/>
        <w:tabs>
          <w:tab w:val="left" w:leader="dot" w:pos="9446"/>
        </w:tabs>
        <w:spacing w:line="240" w:lineRule="auto"/>
        <w:ind w:left="1040"/>
      </w:pPr>
      <w:r>
        <w:lastRenderedPageBreak/>
        <w:t>Sesuv půdy, zřícení skal a zemin</w:t>
      </w:r>
      <w:r>
        <w:tab/>
        <w:t>34.564,- Kč.</w:t>
      </w:r>
    </w:p>
    <w:p w:rsidR="00EE2FE4" w:rsidRDefault="00ED683B">
      <w:pPr>
        <w:pStyle w:val="Style31"/>
        <w:keepNext/>
        <w:keepLines/>
        <w:shd w:val="clear" w:color="auto" w:fill="auto"/>
        <w:tabs>
          <w:tab w:val="left" w:leader="dot" w:pos="9404"/>
        </w:tabs>
        <w:spacing w:after="240" w:line="240" w:lineRule="auto"/>
        <w:ind w:firstLine="580"/>
        <w:jc w:val="both"/>
      </w:pPr>
      <w:bookmarkStart w:id="44" w:name="bookmark44"/>
      <w:bookmarkStart w:id="45" w:name="bookmark45"/>
      <w:bookmarkStart w:id="46" w:name="bookmark46"/>
      <w:r>
        <w:t>Celkové roční pojistné činí</w:t>
      </w:r>
      <w:r>
        <w:tab/>
        <w:t>92.160,- Kč.</w:t>
      </w:r>
      <w:bookmarkEnd w:id="44"/>
      <w:bookmarkEnd w:id="45"/>
      <w:bookmarkEnd w:id="46"/>
    </w:p>
    <w:p w:rsidR="00EE2FE4" w:rsidRDefault="00ED683B">
      <w:pPr>
        <w:pStyle w:val="Style11"/>
        <w:numPr>
          <w:ilvl w:val="0"/>
          <w:numId w:val="2"/>
        </w:numPr>
        <w:shd w:val="clear" w:color="auto" w:fill="auto"/>
        <w:tabs>
          <w:tab w:val="left" w:pos="957"/>
        </w:tabs>
        <w:ind w:left="920" w:hanging="320"/>
        <w:jc w:val="both"/>
      </w:pPr>
      <w:bookmarkStart w:id="47" w:name="bookmark47"/>
      <w:bookmarkEnd w:id="47"/>
      <w:r>
        <w:t>Pojistné se považuje za zaplacené okamžikem připsání příslušné částky pojistného na účet pojišťovacího makléře, je-li placena prostřednictvím peněžního ústavu.</w:t>
      </w:r>
    </w:p>
    <w:p w:rsidR="00EE2FE4" w:rsidRDefault="00ED683B">
      <w:pPr>
        <w:pStyle w:val="Style11"/>
        <w:numPr>
          <w:ilvl w:val="0"/>
          <w:numId w:val="2"/>
        </w:numPr>
        <w:shd w:val="clear" w:color="auto" w:fill="auto"/>
        <w:tabs>
          <w:tab w:val="left" w:pos="957"/>
        </w:tabs>
        <w:spacing w:after="0"/>
        <w:ind w:firstLine="580"/>
        <w:jc w:val="both"/>
      </w:pPr>
      <w:bookmarkStart w:id="48" w:name="bookmark48"/>
      <w:bookmarkEnd w:id="48"/>
      <w:r>
        <w:t>Způsob zaplacení pojistného:</w:t>
      </w:r>
    </w:p>
    <w:p w:rsidR="00EE2FE4" w:rsidRDefault="00ED683B">
      <w:pPr>
        <w:pStyle w:val="Style11"/>
        <w:shd w:val="clear" w:color="auto" w:fill="auto"/>
        <w:spacing w:after="0"/>
        <w:ind w:firstLine="920"/>
        <w:jc w:val="both"/>
      </w:pPr>
      <w:r>
        <w:t xml:space="preserve">Pojistné je pojistným běžným a bude placeno </w:t>
      </w:r>
      <w:r>
        <w:rPr>
          <w:b/>
          <w:bCs/>
        </w:rPr>
        <w:t xml:space="preserve">za pololetní pojistná období </w:t>
      </w:r>
      <w:r>
        <w:t>k datu a v částkách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1634"/>
      </w:tblGrid>
      <w:tr w:rsidR="00EE2FE4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Datum: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Částka:</w:t>
            </w:r>
          </w:p>
        </w:tc>
      </w:tr>
      <w:tr w:rsidR="00EE2FE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01. 07. 2023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46.080,- Kč</w:t>
            </w:r>
          </w:p>
        </w:tc>
      </w:tr>
      <w:tr w:rsidR="00EE2FE4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01. 01. 2024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FE4" w:rsidRDefault="00ED683B">
            <w:pPr>
              <w:pStyle w:val="Style1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46.080,- Kč</w:t>
            </w:r>
          </w:p>
        </w:tc>
      </w:tr>
    </w:tbl>
    <w:p w:rsidR="00EE2FE4" w:rsidRDefault="00EE2FE4">
      <w:pPr>
        <w:spacing w:after="139" w:line="1" w:lineRule="exact"/>
      </w:pPr>
    </w:p>
    <w:p w:rsidR="00EE2FE4" w:rsidRDefault="00ED683B">
      <w:pPr>
        <w:pStyle w:val="Style11"/>
        <w:shd w:val="clear" w:color="auto" w:fill="auto"/>
        <w:ind w:left="920" w:firstLine="20"/>
        <w:jc w:val="both"/>
      </w:pPr>
      <w:r>
        <w:t xml:space="preserve">V následujících pojistných letech bude pojistné placeno za pololetní pojistná období vždy </w:t>
      </w:r>
      <w:r>
        <w:rPr>
          <w:b/>
          <w:bCs/>
        </w:rPr>
        <w:t>k datu 1.7. a 1.1. kalendářního roku.</w:t>
      </w:r>
    </w:p>
    <w:p w:rsidR="00EE2FE4" w:rsidRDefault="00ED683B" w:rsidP="00ED683B">
      <w:pPr>
        <w:pStyle w:val="Style11"/>
        <w:numPr>
          <w:ilvl w:val="0"/>
          <w:numId w:val="2"/>
        </w:numPr>
        <w:shd w:val="clear" w:color="auto" w:fill="auto"/>
        <w:tabs>
          <w:tab w:val="left" w:pos="957"/>
        </w:tabs>
        <w:spacing w:after="600"/>
        <w:ind w:left="920" w:hanging="320"/>
        <w:jc w:val="both"/>
      </w:pPr>
      <w:bookmarkStart w:id="49" w:name="bookmark49"/>
      <w:bookmarkEnd w:id="49"/>
      <w:r>
        <w:t xml:space="preserve">Pojistné bude placeno prostřednictvím peněžního ústavu na účet pojišťovacího makléře č.                                 </w:t>
      </w:r>
      <w:r>
        <w:t xml:space="preserve">pod variabilním symbolem </w:t>
      </w:r>
      <w:r w:rsidRPr="00ED683B">
        <w:rPr>
          <w:b/>
          <w:bCs/>
        </w:rPr>
        <w:t xml:space="preserve">0013863517 </w:t>
      </w:r>
      <w:r>
        <w:t>(číslo pojistné smlouvy).</w:t>
      </w:r>
    </w:p>
    <w:p w:rsidR="00EE2FE4" w:rsidRDefault="00ED683B">
      <w:pPr>
        <w:pStyle w:val="Style31"/>
        <w:keepNext/>
        <w:keepLines/>
        <w:shd w:val="clear" w:color="auto" w:fill="auto"/>
        <w:spacing w:after="0" w:line="276" w:lineRule="auto"/>
        <w:jc w:val="center"/>
      </w:pPr>
      <w:bookmarkStart w:id="50" w:name="bookmark52"/>
      <w:r>
        <w:rPr>
          <w:u w:val="single"/>
        </w:rPr>
        <w:t xml:space="preserve">Článek </w:t>
      </w:r>
      <w:r>
        <w:rPr>
          <w:u w:val="single"/>
          <w:lang w:val="en-US" w:eastAsia="en-US" w:bidi="en-US"/>
        </w:rPr>
        <w:t>III.</w:t>
      </w:r>
      <w:bookmarkEnd w:id="50"/>
    </w:p>
    <w:p w:rsidR="00EE2FE4" w:rsidRDefault="00ED683B">
      <w:pPr>
        <w:pStyle w:val="Style31"/>
        <w:keepNext/>
        <w:keepLines/>
        <w:shd w:val="clear" w:color="auto" w:fill="auto"/>
        <w:spacing w:after="240" w:line="276" w:lineRule="auto"/>
        <w:jc w:val="center"/>
      </w:pPr>
      <w:bookmarkStart w:id="51" w:name="bookmark50"/>
      <w:bookmarkStart w:id="52" w:name="bookmark51"/>
      <w:bookmarkStart w:id="53" w:name="bookmark53"/>
      <w:r>
        <w:rPr>
          <w:u w:val="single"/>
        </w:rPr>
        <w:t>Závěrečná ustanovení dodatku pojistné smlouvy</w:t>
      </w:r>
      <w:bookmarkEnd w:id="51"/>
      <w:bookmarkEnd w:id="52"/>
      <w:bookmarkEnd w:id="53"/>
    </w:p>
    <w:p w:rsidR="00EE2FE4" w:rsidRDefault="00ED683B">
      <w:pPr>
        <w:pStyle w:val="Style11"/>
        <w:numPr>
          <w:ilvl w:val="0"/>
          <w:numId w:val="4"/>
        </w:numPr>
        <w:shd w:val="clear" w:color="auto" w:fill="auto"/>
        <w:tabs>
          <w:tab w:val="left" w:pos="957"/>
        </w:tabs>
        <w:ind w:firstLine="580"/>
        <w:jc w:val="both"/>
      </w:pPr>
      <w:bookmarkStart w:id="54" w:name="bookmark54"/>
      <w:bookmarkEnd w:id="54"/>
      <w:r>
        <w:t>Datum počátku účinnosti tohoto d</w:t>
      </w:r>
      <w:r>
        <w:t xml:space="preserve">odatku pojistné smlouvy: </w:t>
      </w:r>
      <w:r>
        <w:rPr>
          <w:b/>
          <w:bCs/>
        </w:rPr>
        <w:t>01. 07. 2023</w:t>
      </w:r>
    </w:p>
    <w:p w:rsidR="00EE2FE4" w:rsidRDefault="00ED683B">
      <w:pPr>
        <w:pStyle w:val="Style11"/>
        <w:numPr>
          <w:ilvl w:val="0"/>
          <w:numId w:val="4"/>
        </w:numPr>
        <w:shd w:val="clear" w:color="auto" w:fill="auto"/>
        <w:tabs>
          <w:tab w:val="left" w:pos="957"/>
        </w:tabs>
        <w:ind w:firstLine="580"/>
        <w:jc w:val="both"/>
      </w:pPr>
      <w:bookmarkStart w:id="55" w:name="bookmark55"/>
      <w:bookmarkEnd w:id="55"/>
      <w:r>
        <w:t xml:space="preserve">Datum konce pojištění: </w:t>
      </w:r>
      <w:r>
        <w:rPr>
          <w:b/>
          <w:bCs/>
        </w:rPr>
        <w:t>30. 06. 2024</w:t>
      </w:r>
    </w:p>
    <w:p w:rsidR="00EE2FE4" w:rsidRDefault="00ED683B">
      <w:pPr>
        <w:pStyle w:val="Style11"/>
        <w:numPr>
          <w:ilvl w:val="0"/>
          <w:numId w:val="4"/>
        </w:numPr>
        <w:shd w:val="clear" w:color="auto" w:fill="auto"/>
        <w:tabs>
          <w:tab w:val="left" w:pos="957"/>
        </w:tabs>
        <w:ind w:left="920" w:hanging="320"/>
        <w:jc w:val="both"/>
      </w:pPr>
      <w:bookmarkStart w:id="56" w:name="bookmark56"/>
      <w:bookmarkEnd w:id="56"/>
      <w:r>
        <w:rPr>
          <w:b/>
          <w:bCs/>
        </w:rPr>
        <w:t xml:space="preserve">Pojištění se prodlužuje vždy na další rok, </w:t>
      </w:r>
      <w:r>
        <w:t>pokud pojistník nebo pojistitel nesdělí písemně druhému účastníku smlouvy, nejméně 6 týdnů před uplynutím pojistného roku, že na dalším poj</w:t>
      </w:r>
      <w:r>
        <w:t>ištění nemá zájem.</w:t>
      </w:r>
    </w:p>
    <w:p w:rsidR="00EE2FE4" w:rsidRDefault="00ED683B">
      <w:pPr>
        <w:pStyle w:val="Style31"/>
        <w:keepNext/>
        <w:keepLines/>
        <w:numPr>
          <w:ilvl w:val="0"/>
          <w:numId w:val="4"/>
        </w:numPr>
        <w:shd w:val="clear" w:color="auto" w:fill="auto"/>
        <w:tabs>
          <w:tab w:val="left" w:pos="957"/>
        </w:tabs>
        <w:spacing w:line="276" w:lineRule="auto"/>
        <w:ind w:left="920" w:hanging="320"/>
        <w:jc w:val="both"/>
      </w:pPr>
      <w:bookmarkStart w:id="57" w:name="bookmark59"/>
      <w:bookmarkStart w:id="58" w:name="bookmark57"/>
      <w:bookmarkStart w:id="59" w:name="bookmark58"/>
      <w:bookmarkStart w:id="60" w:name="bookmark60"/>
      <w:bookmarkEnd w:id="57"/>
      <w:r>
        <w:t>Ostatní ustanovení pojistné smlouvy v platném znění nedotčená obsahem tohoto dodatku se nemění a zůstávají nadále v platnosti.</w:t>
      </w:r>
      <w:bookmarkEnd w:id="58"/>
      <w:bookmarkEnd w:id="59"/>
      <w:bookmarkEnd w:id="60"/>
    </w:p>
    <w:p w:rsidR="00EE2FE4" w:rsidRDefault="00ED683B">
      <w:pPr>
        <w:pStyle w:val="Style11"/>
        <w:numPr>
          <w:ilvl w:val="0"/>
          <w:numId w:val="4"/>
        </w:numPr>
        <w:shd w:val="clear" w:color="auto" w:fill="auto"/>
        <w:tabs>
          <w:tab w:val="left" w:pos="957"/>
        </w:tabs>
        <w:ind w:left="920" w:hanging="320"/>
        <w:jc w:val="both"/>
      </w:pPr>
      <w:bookmarkStart w:id="61" w:name="bookmark61"/>
      <w:bookmarkEnd w:id="61"/>
      <w:r>
        <w:t>Pro případ, že se na pojistníka při uzavírání smluv vztahuje zákon č. 340/2015 Sb. v platném znění, se smluvní</w:t>
      </w:r>
      <w:r>
        <w:t xml:space="preserve"> strany dohodly, že pokud tato Smlouva podléhá povinnosti uveřejnění podle zákona č. 340/2015 Sb., o zvláštních podmínkách účinnosti některých smluv, uveřejňování těchto smluv a o registru smluv (zákon o registru smluv), je tuto Smlouvu povinen uveřejnit p</w:t>
      </w:r>
      <w:r>
        <w:t>ojistník, a to ve lhůtě a způsobem stanoveným tímto zákonem. Pojistník je dále povinen při registraci smlouvy zadat do příslušného formuláře datovou schránku 3v8dkek tak, aby mohl být pojistitel informován správcem registru smluv o zadání smlouvy do tohoto</w:t>
      </w:r>
      <w:r>
        <w:t xml:space="preserve"> registru. Pojistník je rovněž povinen při zaslání smlouvy správci registru smluv zajistit, aby byly ze zveřejňovaného znění Smlouvy odstraněny veškeré informace, které se dle zákona č. 106/1999 Sb., o svobodném přístupu k informacím, nezveřejňují.</w:t>
      </w:r>
    </w:p>
    <w:p w:rsidR="00EE2FE4" w:rsidRDefault="00ED683B">
      <w:pPr>
        <w:pStyle w:val="Style11"/>
        <w:shd w:val="clear" w:color="auto" w:fill="auto"/>
        <w:ind w:left="920" w:firstLine="20"/>
        <w:jc w:val="both"/>
      </w:pPr>
      <w:r>
        <w:t>Smluvní</w:t>
      </w:r>
      <w:r>
        <w:t xml:space="preserve"> strany se dále dohodly, že ode dne nabytí účinnosti smlouvy jejím zveřejněním v registru se účinky pojištění, včetně práv a povinností z něj vyplývajících, vztahují i na období od data uvedeného jako počátek pojištění (resp. od data uvedeného jako počátek</w:t>
      </w:r>
      <w:r>
        <w:t xml:space="preserve"> změn provedených dodatkem, jde-li o účinky dodatku) do budoucna.</w:t>
      </w:r>
    </w:p>
    <w:p w:rsidR="00EE2FE4" w:rsidRDefault="00ED683B">
      <w:pPr>
        <w:pStyle w:val="Style11"/>
        <w:shd w:val="clear" w:color="auto" w:fill="auto"/>
        <w:ind w:left="920" w:firstLine="20"/>
        <w:jc w:val="both"/>
      </w:pPr>
      <w:r>
        <w:t>Dodatek nabývá platnosti dnem jejího podpisu poslední ze smluvních stran a účinnosti zveřejněním v Registru smluv, pokud této účinnosti dle příslušných ustanovení dodatku nenabude později.</w:t>
      </w:r>
      <w:r>
        <w:br w:type="page"/>
      </w:r>
    </w:p>
    <w:p w:rsidR="00EE2FE4" w:rsidRDefault="00ED683B">
      <w:pPr>
        <w:pStyle w:val="Style11"/>
        <w:numPr>
          <w:ilvl w:val="0"/>
          <w:numId w:val="4"/>
        </w:numPr>
        <w:shd w:val="clear" w:color="auto" w:fill="auto"/>
        <w:tabs>
          <w:tab w:val="left" w:pos="804"/>
        </w:tabs>
        <w:spacing w:after="120" w:line="283" w:lineRule="auto"/>
        <w:ind w:left="800" w:hanging="360"/>
      </w:pPr>
      <w:bookmarkStart w:id="62" w:name="bookmark62"/>
      <w:bookmarkEnd w:id="62"/>
      <w:r>
        <w:lastRenderedPageBreak/>
        <w:t>Tento dodatek byl vypracován ve 3 stejnopisech, pojistník obdrží 1 vyhotovení, pojišťovací makléř obdrží 1 vyhotovení a pojistitel si ponechá 1 vyhotovení. Tento dodatek obsahuje 5 stran a 1 přílohu.</w:t>
      </w:r>
    </w:p>
    <w:p w:rsidR="00EE2FE4" w:rsidRDefault="00ED683B">
      <w:pPr>
        <w:pStyle w:val="Style11"/>
        <w:numPr>
          <w:ilvl w:val="0"/>
          <w:numId w:val="4"/>
        </w:numPr>
        <w:shd w:val="clear" w:color="auto" w:fill="auto"/>
        <w:tabs>
          <w:tab w:val="left" w:pos="804"/>
        </w:tabs>
        <w:spacing w:after="120" w:line="283" w:lineRule="auto"/>
        <w:ind w:firstLine="440"/>
      </w:pPr>
      <w:bookmarkStart w:id="63" w:name="bookmark63"/>
      <w:bookmarkEnd w:id="63"/>
      <w:r>
        <w:t>Přílohy:</w:t>
      </w:r>
    </w:p>
    <w:p w:rsidR="00ED683B" w:rsidRDefault="00ED683B" w:rsidP="00ED683B">
      <w:pPr>
        <w:pStyle w:val="Style11"/>
        <w:numPr>
          <w:ilvl w:val="0"/>
          <w:numId w:val="5"/>
        </w:numPr>
        <w:shd w:val="clear" w:color="auto" w:fill="auto"/>
        <w:spacing w:after="2040" w:line="283" w:lineRule="auto"/>
      </w:pPr>
      <w:r>
        <w:t xml:space="preserve">Pověření                                </w:t>
      </w:r>
      <w:proofErr w:type="gramStart"/>
      <w:r>
        <w:t xml:space="preserve">  </w:t>
      </w:r>
      <w:r>
        <w:t>,</w:t>
      </w:r>
      <w:proofErr w:type="gramEnd"/>
      <w:r>
        <w:t xml:space="preserve"> ekonomického ředitele</w:t>
      </w:r>
    </w:p>
    <w:p w:rsidR="00ED683B" w:rsidRDefault="00ED683B" w:rsidP="00ED683B">
      <w:pPr>
        <w:pStyle w:val="Style11"/>
        <w:shd w:val="clear" w:color="auto" w:fill="auto"/>
        <w:spacing w:after="2040" w:line="283" w:lineRule="auto"/>
        <w:ind w:left="1160"/>
      </w:pPr>
    </w:p>
    <w:p w:rsidR="00EE2FE4" w:rsidRDefault="00ED683B">
      <w:pPr>
        <w:pStyle w:val="Style4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margin">
                  <wp:posOffset>2226945</wp:posOffset>
                </wp:positionV>
                <wp:extent cx="391160" cy="2127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FE4" w:rsidRDefault="00EE2FE4">
                            <w:pPr>
                              <w:pStyle w:val="Style21"/>
                              <w:shd w:val="clear" w:color="auto" w:fill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63.1pt;margin-top:175.35pt;width:30.8pt;height:16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" filled="f" stroked="f">
                <v:textbox inset="0,0,0,0">
                  <w:txbxContent>
                    <w:p w:rsidR="00EE2FE4" w:rsidRDefault="00EE2FE4">
                      <w:pPr>
                        <w:pStyle w:val="Style21"/>
                        <w:shd w:val="clear" w:color="auto" w:fill="auto"/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5553710</wp:posOffset>
                </wp:positionH>
                <wp:positionV relativeFrom="margin">
                  <wp:posOffset>2857500</wp:posOffset>
                </wp:positionV>
                <wp:extent cx="214630" cy="14414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FE4" w:rsidRDefault="00EE2FE4">
                            <w:pPr>
                              <w:pStyle w:val="Style21"/>
                              <w:shd w:val="clear" w:color="auto" w:fill="auto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437.3pt;margin-top:225pt;width:16.9pt;height:1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" filled="f" stroked="f">
                <v:textbox inset="0,0,0,0">
                  <w:txbxContent>
                    <w:p w:rsidR="00EE2FE4" w:rsidRDefault="00EE2FE4">
                      <w:pPr>
                        <w:pStyle w:val="Style21"/>
                        <w:shd w:val="clear" w:color="auto" w:fill="auto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 </w:t>
      </w:r>
    </w:p>
    <w:p w:rsidR="00EE2FE4" w:rsidRDefault="00ED683B">
      <w:pPr>
        <w:pStyle w:val="Style11"/>
        <w:shd w:val="clear" w:color="auto" w:fill="auto"/>
        <w:spacing w:after="0" w:line="240" w:lineRule="auto"/>
        <w:ind w:left="4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margin">
                  <wp:posOffset>3041015</wp:posOffset>
                </wp:positionV>
                <wp:extent cx="1353185" cy="1511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FE4" w:rsidRDefault="00ED683B">
                            <w:pPr>
                              <w:pStyle w:val="Style1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Mostě dne 08. 06.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0.300000000000004pt;margin-top:239.45000000000002pt;width:106.55pt;height:11.9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Mostě dne 08. 06. 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Česká podnikatelská pojišťovna, a.s., </w:t>
      </w:r>
      <w:r>
        <w:rPr>
          <w:lang w:val="de-DE" w:eastAsia="de-DE" w:bidi="de-DE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EE2FE4" w:rsidRDefault="00ED683B">
      <w:pPr>
        <w:pStyle w:val="Style11"/>
        <w:shd w:val="clear" w:color="auto" w:fill="auto"/>
        <w:spacing w:after="0" w:line="240" w:lineRule="auto"/>
        <w:jc w:val="right"/>
      </w:pPr>
      <w:r>
        <w:t xml:space="preserve">vedoucí oddělení korporátní klientely vedoucí referátu </w:t>
      </w:r>
      <w:proofErr w:type="gramStart"/>
      <w:r>
        <w:t>podnikatelských  rizik</w:t>
      </w:r>
      <w:proofErr w:type="gramEnd"/>
    </w:p>
    <w:p w:rsidR="00ED683B" w:rsidRDefault="00ED683B">
      <w:pPr>
        <w:pStyle w:val="Style11"/>
        <w:shd w:val="clear" w:color="auto" w:fill="auto"/>
        <w:spacing w:after="0" w:line="240" w:lineRule="auto"/>
        <w:jc w:val="right"/>
      </w:pPr>
    </w:p>
    <w:p w:rsidR="00ED683B" w:rsidRDefault="00ED683B">
      <w:pPr>
        <w:pStyle w:val="Style11"/>
        <w:shd w:val="clear" w:color="auto" w:fill="auto"/>
        <w:spacing w:after="0" w:line="240" w:lineRule="auto"/>
        <w:jc w:val="right"/>
      </w:pPr>
    </w:p>
    <w:p w:rsidR="00ED683B" w:rsidRDefault="00ED683B">
      <w:pPr>
        <w:pStyle w:val="Style11"/>
        <w:shd w:val="clear" w:color="auto" w:fill="auto"/>
        <w:spacing w:after="0" w:line="240" w:lineRule="auto"/>
        <w:jc w:val="right"/>
      </w:pPr>
    </w:p>
    <w:p w:rsidR="00ED683B" w:rsidRDefault="00ED683B">
      <w:pPr>
        <w:pStyle w:val="Style11"/>
        <w:shd w:val="clear" w:color="auto" w:fill="auto"/>
        <w:spacing w:after="0" w:line="240" w:lineRule="auto"/>
        <w:jc w:val="right"/>
      </w:pPr>
    </w:p>
    <w:p w:rsidR="00ED683B" w:rsidRDefault="00ED683B">
      <w:pPr>
        <w:pStyle w:val="Style11"/>
        <w:shd w:val="clear" w:color="auto" w:fill="auto"/>
        <w:spacing w:after="0" w:line="240" w:lineRule="auto"/>
        <w:jc w:val="right"/>
      </w:pPr>
    </w:p>
    <w:p w:rsidR="00ED683B" w:rsidRDefault="00ED683B">
      <w:pPr>
        <w:pStyle w:val="Style11"/>
        <w:shd w:val="clear" w:color="auto" w:fill="auto"/>
        <w:spacing w:after="0" w:line="240" w:lineRule="auto"/>
        <w:jc w:val="right"/>
      </w:pPr>
    </w:p>
    <w:p w:rsidR="00ED683B" w:rsidRDefault="00ED683B">
      <w:pPr>
        <w:pStyle w:val="Style11"/>
        <w:shd w:val="clear" w:color="auto" w:fill="auto"/>
        <w:spacing w:after="0" w:line="240" w:lineRule="auto"/>
        <w:jc w:val="right"/>
      </w:pPr>
    </w:p>
    <w:p w:rsidR="00EE2FE4" w:rsidRDefault="00ED683B" w:rsidP="00ED683B">
      <w:pPr>
        <w:pStyle w:val="Style11"/>
        <w:shd w:val="clear" w:color="auto" w:fill="auto"/>
        <w:spacing w:after="0" w:line="240" w:lineRule="auto"/>
        <w:jc w:val="right"/>
        <w:sectPr w:rsidR="00EE2FE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107" w:h="16978"/>
          <w:pgMar w:top="1773" w:right="0" w:bottom="1773" w:left="0" w:header="0" w:footer="3" w:gutter="0"/>
          <w:cols w:space="720"/>
          <w:noEndnote/>
          <w:docGrid w:linePitch="360"/>
        </w:sectPr>
      </w:pPr>
      <w:r>
        <w:t xml:space="preserve">V Chomutově 27.6.2023                                                                                                                                                                     </w:t>
      </w:r>
      <w:bookmarkStart w:id="64" w:name="_GoBack"/>
      <w:bookmarkEnd w:id="64"/>
      <w:r>
        <w:t xml:space="preserve">           …..</w:t>
      </w:r>
    </w:p>
    <w:p w:rsidR="00EE2FE4" w:rsidRDefault="00ED683B">
      <w:pPr>
        <w:pStyle w:val="Style21"/>
        <w:framePr w:w="2372" w:h="742" w:wrap="none" w:vAnchor="text" w:hAnchor="page" w:x="7230" w:y="158"/>
        <w:shd w:val="clear" w:color="auto" w:fill="auto"/>
        <w:tabs>
          <w:tab w:val="left" w:pos="576"/>
        </w:tabs>
        <w:spacing w:after="40"/>
        <w:rPr>
          <w:sz w:val="15"/>
          <w:szCs w:val="15"/>
        </w:rPr>
      </w:pPr>
      <w:r>
        <w:rPr>
          <w:sz w:val="15"/>
          <w:szCs w:val="15"/>
        </w:rPr>
        <w:lastRenderedPageBreak/>
        <w:tab/>
      </w:r>
    </w:p>
    <w:p w:rsidR="00EE2FE4" w:rsidRDefault="00EE2FE4">
      <w:pPr>
        <w:pStyle w:val="Style21"/>
        <w:framePr w:w="2372" w:h="742" w:wrap="none" w:vAnchor="text" w:hAnchor="page" w:x="7230" w:y="158"/>
        <w:shd w:val="clear" w:color="auto" w:fill="auto"/>
        <w:spacing w:after="40"/>
      </w:pPr>
    </w:p>
    <w:p w:rsidR="00EE2FE4" w:rsidRDefault="00EE2FE4" w:rsidP="00ED683B">
      <w:pPr>
        <w:pStyle w:val="Style21"/>
        <w:framePr w:w="299" w:h="209" w:wrap="none" w:vAnchor="text" w:hAnchor="page" w:x="8039" w:y="839"/>
        <w:shd w:val="clear" w:color="auto" w:fill="auto"/>
      </w:pPr>
    </w:p>
    <w:p w:rsidR="00EE2FE4" w:rsidRDefault="00ED683B" w:rsidP="00ED683B">
      <w:pPr>
        <w:pStyle w:val="Style43"/>
        <w:keepNext/>
        <w:keepLines/>
        <w:shd w:val="clear" w:color="auto" w:fill="auto"/>
        <w:jc w:val="left"/>
      </w:pPr>
      <w:bookmarkStart w:id="65" w:name="bookmark64"/>
      <w:bookmarkStart w:id="66" w:name="bookmark65"/>
      <w:bookmarkStart w:id="67" w:name="bookmark66"/>
      <w:r>
        <w:t>POVĚŘENÍ</w:t>
      </w:r>
      <w:bookmarkEnd w:id="65"/>
      <w:bookmarkEnd w:id="66"/>
      <w:bookmarkEnd w:id="67"/>
    </w:p>
    <w:p w:rsidR="00EE2FE4" w:rsidRDefault="00ED683B">
      <w:pPr>
        <w:pStyle w:val="Style39"/>
        <w:shd w:val="clear" w:color="auto" w:fill="auto"/>
        <w:spacing w:after="620"/>
        <w:jc w:val="both"/>
      </w:pPr>
      <w:r>
        <w:t xml:space="preserve">Já, </w:t>
      </w:r>
      <w:r>
        <w:rPr>
          <w:lang w:val="sk-SK" w:eastAsia="sk-SK" w:bidi="sk-SK"/>
        </w:rPr>
        <w:t xml:space="preserve">niže </w:t>
      </w:r>
      <w:r>
        <w:t>podepsaný</w:t>
      </w:r>
      <w:proofErr w:type="gramStart"/>
      <w:r>
        <w:t xml:space="preserve">, </w:t>
      </w:r>
      <w:r>
        <w:t>,</w:t>
      </w:r>
      <w:proofErr w:type="gramEnd"/>
      <w:r>
        <w:t xml:space="preserve"> </w:t>
      </w:r>
      <w:r>
        <w:rPr>
          <w:lang w:val="sk-SK" w:eastAsia="sk-SK" w:bidi="sk-SK"/>
        </w:rPr>
        <w:t xml:space="preserve">generálni </w:t>
      </w:r>
      <w:r>
        <w:t xml:space="preserve">ředitel Povodí Ohře státní podnik, </w:t>
      </w:r>
    </w:p>
    <w:p w:rsidR="00EE2FE4" w:rsidRDefault="00ED683B">
      <w:pPr>
        <w:pStyle w:val="Style9"/>
        <w:shd w:val="clear" w:color="auto" w:fill="auto"/>
        <w:spacing w:after="1120" w:line="240" w:lineRule="auto"/>
        <w:ind w:firstLine="0"/>
        <w:jc w:val="center"/>
      </w:pPr>
      <w:r>
        <w:t>pověřuji</w:t>
      </w:r>
    </w:p>
    <w:p w:rsidR="00ED683B" w:rsidRDefault="00ED683B">
      <w:pPr>
        <w:pStyle w:val="Style39"/>
        <w:shd w:val="clear" w:color="auto" w:fill="auto"/>
        <w:jc w:val="both"/>
        <w:rPr>
          <w:b/>
          <w:bCs/>
        </w:rPr>
      </w:pPr>
      <w:r>
        <w:rPr>
          <w:b/>
          <w:bCs/>
        </w:rPr>
        <w:t xml:space="preserve">, </w:t>
      </w:r>
      <w:r>
        <w:t xml:space="preserve">investičního ředitele Povodí Ohře, státní podnik, </w:t>
      </w:r>
      <w:r>
        <w:rPr>
          <w:b/>
          <w:bCs/>
        </w:rPr>
        <w:t>I</w:t>
      </w:r>
    </w:p>
    <w:p w:rsidR="00EE2FE4" w:rsidRDefault="00ED683B">
      <w:pPr>
        <w:pStyle w:val="Style39"/>
        <w:shd w:val="clear" w:color="auto" w:fill="auto"/>
        <w:jc w:val="both"/>
      </w:pPr>
      <w:r>
        <w:rPr>
          <w:b/>
          <w:bCs/>
        </w:rPr>
        <w:t xml:space="preserve">, </w:t>
      </w:r>
      <w:r>
        <w:t xml:space="preserve">ekonomického ředitele Povodí Ohře, státní podnik, </w:t>
      </w:r>
    </w:p>
    <w:p w:rsidR="00EE2FE4" w:rsidRDefault="00ED683B">
      <w:pPr>
        <w:pStyle w:val="Style39"/>
        <w:shd w:val="clear" w:color="auto" w:fill="auto"/>
        <w:spacing w:line="286" w:lineRule="auto"/>
        <w:jc w:val="both"/>
      </w:pPr>
      <w:r>
        <w:rPr>
          <w:b/>
          <w:bCs/>
        </w:rPr>
        <w:t xml:space="preserve">, </w:t>
      </w:r>
      <w:r>
        <w:t>technického ředitele Povodí Ohře, státní podnik</w:t>
      </w:r>
    </w:p>
    <w:p w:rsidR="00EE2FE4" w:rsidRDefault="00ED683B">
      <w:pPr>
        <w:pStyle w:val="Style39"/>
        <w:shd w:val="clear" w:color="auto" w:fill="auto"/>
        <w:spacing w:after="620" w:line="283" w:lineRule="auto"/>
        <w:jc w:val="both"/>
      </w:pPr>
      <w:r>
        <w:t>aby podepisovali smlouvy a dohody uzavírané Povodím Ohře, státní podnik, vyjma těch, u kterých si to vyhradím</w:t>
      </w:r>
    </w:p>
    <w:p w:rsidR="00EE2FE4" w:rsidRDefault="00ED683B">
      <w:pPr>
        <w:pStyle w:val="Style39"/>
        <w:shd w:val="clear" w:color="auto" w:fill="auto"/>
        <w:spacing w:after="620"/>
        <w:jc w:val="both"/>
      </w:pPr>
      <w:r>
        <w:t>Toto p</w:t>
      </w:r>
      <w:r>
        <w:t xml:space="preserve">ověřeni je účinné počínaje dnem 20 března 2021, zároveň </w:t>
      </w:r>
      <w:proofErr w:type="spellStart"/>
      <w:r>
        <w:t>ruši</w:t>
      </w:r>
      <w:proofErr w:type="spellEnd"/>
      <w:r>
        <w:t xml:space="preserve"> od tohoto data pověření odborných ředitelů s datem účinnosti od 1 ledna 2021 z téhož dne</w:t>
      </w:r>
    </w:p>
    <w:p w:rsidR="00EE2FE4" w:rsidRDefault="00ED683B">
      <w:pPr>
        <w:pStyle w:val="Style39"/>
        <w:shd w:val="clear" w:color="auto" w:fill="auto"/>
        <w:spacing w:line="240" w:lineRule="auto"/>
        <w:jc w:val="both"/>
      </w:pPr>
      <w:r>
        <w:t>V Chomutově dne 20 března 2021</w:t>
      </w:r>
    </w:p>
    <w:p w:rsidR="00ED683B" w:rsidRDefault="00ED683B">
      <w:pPr>
        <w:pStyle w:val="Style39"/>
        <w:shd w:val="clear" w:color="auto" w:fill="auto"/>
        <w:spacing w:line="240" w:lineRule="auto"/>
        <w:jc w:val="both"/>
      </w:pPr>
    </w:p>
    <w:p w:rsidR="00ED683B" w:rsidRDefault="00ED683B">
      <w:pPr>
        <w:pStyle w:val="Style39"/>
        <w:shd w:val="clear" w:color="auto" w:fill="auto"/>
        <w:spacing w:line="240" w:lineRule="auto"/>
        <w:jc w:val="both"/>
      </w:pPr>
    </w:p>
    <w:p w:rsidR="00EE2FE4" w:rsidRDefault="00EE2FE4">
      <w:pPr>
        <w:jc w:val="center"/>
        <w:rPr>
          <w:sz w:val="2"/>
          <w:szCs w:val="2"/>
        </w:rPr>
      </w:pPr>
    </w:p>
    <w:p w:rsidR="00EE2FE4" w:rsidRDefault="00EE2FE4">
      <w:pPr>
        <w:spacing w:after="159" w:line="1" w:lineRule="exact"/>
      </w:pPr>
    </w:p>
    <w:p w:rsidR="00EE2FE4" w:rsidRDefault="00ED683B">
      <w:pPr>
        <w:pStyle w:val="Style39"/>
        <w:shd w:val="clear" w:color="auto" w:fill="auto"/>
        <w:spacing w:after="0" w:line="293" w:lineRule="auto"/>
      </w:pPr>
      <w:r>
        <w:t>generální ředitel</w:t>
      </w:r>
    </w:p>
    <w:sectPr w:rsidR="00EE2FE4">
      <w:headerReference w:type="default" r:id="rId14"/>
      <w:footerReference w:type="default" r:id="rId15"/>
      <w:pgSz w:w="12582" w:h="17309"/>
      <w:pgMar w:top="2761" w:right="2314" w:bottom="2761" w:left="2143" w:header="2333" w:footer="23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683B">
      <w:r>
        <w:separator/>
      </w:r>
    </w:p>
  </w:endnote>
  <w:endnote w:type="continuationSeparator" w:id="0">
    <w:p w:rsidR="00000000" w:rsidRDefault="00ED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21012B87" w:usb1="01010101" w:usb2="01010101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E4" w:rsidRDefault="00EE2FE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E4" w:rsidRDefault="00ED683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3379470</wp:posOffset>
              </wp:positionH>
              <wp:positionV relativeFrom="page">
                <wp:posOffset>10210800</wp:posOffset>
              </wp:positionV>
              <wp:extent cx="187325" cy="755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2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FE4" w:rsidRDefault="00ED683B">
                          <w:pPr>
                            <w:pStyle w:val="Style26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- 2 -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66.10000000000002pt;margin-top:804.pt;width:14.75pt;height:5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- 2 -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E4" w:rsidRDefault="00EE2F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E4" w:rsidRDefault="00EE2FE4"/>
  </w:footnote>
  <w:footnote w:type="continuationSeparator" w:id="0">
    <w:p w:rsidR="00EE2FE4" w:rsidRDefault="00EE2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E4" w:rsidRDefault="00ED683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659765</wp:posOffset>
              </wp:positionV>
              <wp:extent cx="3232150" cy="2628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FE4" w:rsidRDefault="00EE2FE4">
                          <w:pPr>
                            <w:pStyle w:val="Style26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91.5pt;margin-top:51.95pt;width:254.5pt;height:20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" filled="f" stroked="f">
              <v:textbox style="mso-fit-shape-to-text:t" inset="0,0,0,0">
                <w:txbxContent>
                  <w:p w:rsidR="00EE2FE4" w:rsidRDefault="00EE2FE4">
                    <w:pPr>
                      <w:pStyle w:val="Style26"/>
                      <w:shd w:val="clear" w:color="auto" w:fill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E4" w:rsidRDefault="00ED683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3418205</wp:posOffset>
              </wp:positionH>
              <wp:positionV relativeFrom="page">
                <wp:posOffset>657225</wp:posOffset>
              </wp:positionV>
              <wp:extent cx="3232150" cy="2673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0" cy="267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FE4" w:rsidRDefault="00ED683B">
                          <w:pPr>
                            <w:pStyle w:val="Style26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sk-SK" w:eastAsia="sk-SK" w:bidi="sk-SK"/>
                            </w:rPr>
                            <w:t xml:space="preserve">Česká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podnikatelská pojišťovna, a.s.,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de-DE" w:eastAsia="de-DE" w:bidi="de-DE"/>
                            </w:rPr>
                            <w:t xml:space="preserve">Vienna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Insurance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Group</w:t>
                          </w:r>
                        </w:p>
                        <w:p w:rsidR="00EE2FE4" w:rsidRDefault="00ED683B">
                          <w:pPr>
                            <w:pStyle w:val="Style26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D10 k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PS 0013863517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69.14999999999998pt;margin-top:51.75pt;width:254.5pt;height:21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sk-SK" w:eastAsia="sk-SK" w:bidi="sk-SK"/>
                      </w:rPr>
                      <w:t xml:space="preserve">Česká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podnikatelská pojišťovna, a.s.,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de-DE" w:eastAsia="de-DE" w:bidi="de-DE"/>
                      </w:rPr>
                      <w:t xml:space="preserve">Vienna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Insurance Group</w:t>
                    </w:r>
                  </w:p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D10 k PS 0013863517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E4" w:rsidRDefault="00EE2F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76B"/>
    <w:multiLevelType w:val="hybridMultilevel"/>
    <w:tmpl w:val="D0606DB8"/>
    <w:lvl w:ilvl="0" w:tplc="0FA8E69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23E7A34"/>
    <w:multiLevelType w:val="multilevel"/>
    <w:tmpl w:val="F4FAB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F0051"/>
    <w:multiLevelType w:val="multilevel"/>
    <w:tmpl w:val="938A9F2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552630"/>
    <w:multiLevelType w:val="multilevel"/>
    <w:tmpl w:val="936054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3A6E86"/>
    <w:multiLevelType w:val="multilevel"/>
    <w:tmpl w:val="98EC34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E4"/>
    <w:rsid w:val="00ED683B"/>
    <w:rsid w:val="00E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D7298"/>
  <w15:docId w15:val="{8EE5D152-FE17-4FA7-9EFB-2B5E4780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/>
      <w:strike w:val="0"/>
      <w:color w:val="652A48"/>
      <w:sz w:val="82"/>
      <w:szCs w:val="82"/>
      <w:u w:val="singl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3E4DB0"/>
      <w:sz w:val="13"/>
      <w:szCs w:val="13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outlineLvl w:val="0"/>
    </w:pPr>
    <w:rPr>
      <w:rFonts w:ascii="Arial" w:eastAsia="Arial" w:hAnsi="Arial" w:cs="Arial"/>
      <w:smallCaps/>
      <w:color w:val="652A48"/>
      <w:sz w:val="82"/>
      <w:szCs w:val="82"/>
      <w:u w:val="single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62" w:lineRule="auto"/>
      <w:ind w:firstLine="6500"/>
    </w:pPr>
    <w:rPr>
      <w:rFonts w:ascii="Arial" w:eastAsia="Arial" w:hAnsi="Arial" w:cs="Arial"/>
      <w:color w:val="3E4DB0"/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420"/>
      <w:ind w:firstLine="420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95" w:lineRule="auto"/>
      <w:ind w:firstLine="230"/>
    </w:pPr>
    <w:rPr>
      <w:rFonts w:ascii="Arial" w:eastAsia="Arial" w:hAnsi="Arial" w:cs="Arial"/>
      <w:b/>
      <w:bCs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4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Style14">
    <w:name w:val="Style 14"/>
    <w:basedOn w:val="Normln"/>
    <w:link w:val="CharStyle15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14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Style21">
    <w:name w:val="Style 21"/>
    <w:basedOn w:val="Normln"/>
    <w:link w:val="CharStyle2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Style26">
    <w:name w:val="Style 26"/>
    <w:basedOn w:val="Normln"/>
    <w:link w:val="CharStyle27"/>
    <w:pPr>
      <w:shd w:val="clear" w:color="auto" w:fill="FFFFFF"/>
    </w:pPr>
    <w:rPr>
      <w:sz w:val="20"/>
      <w:szCs w:val="20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140" w:line="271" w:lineRule="auto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after="420" w:line="290" w:lineRule="auto"/>
    </w:pPr>
    <w:rPr>
      <w:rFonts w:ascii="Arial" w:eastAsia="Arial" w:hAnsi="Arial" w:cs="Arial"/>
      <w:sz w:val="20"/>
      <w:szCs w:val="20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after="680"/>
      <w:jc w:val="center"/>
      <w:outlineLvl w:val="1"/>
    </w:pPr>
    <w:rPr>
      <w:rFonts w:ascii="Arial" w:eastAsia="Arial" w:hAnsi="Arial" w:cs="Arial"/>
      <w:i/>
      <w:iCs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ED6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3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D68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h@poh.cz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pp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1668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Sineo25823062712400</vt:lpstr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Sineo25823062712400</dc:title>
  <dc:subject/>
  <dc:creator>Slabyhoudová Pavla</dc:creator>
  <cp:keywords/>
  <cp:lastModifiedBy>Slabyhoudová Pavla</cp:lastModifiedBy>
  <cp:revision>2</cp:revision>
  <dcterms:created xsi:type="dcterms:W3CDTF">2023-06-27T12:21:00Z</dcterms:created>
  <dcterms:modified xsi:type="dcterms:W3CDTF">2023-06-27T12:21:00Z</dcterms:modified>
</cp:coreProperties>
</file>