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:rsidR="001A1392" w:rsidRPr="001A1392" w:rsidRDefault="001A1392" w:rsidP="001A1392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  <w:r w:rsidRPr="001A1392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 xml:space="preserve">Smlouva o poskytnutí dotace </w:t>
      </w:r>
    </w:p>
    <w:p w:rsidR="001A1392" w:rsidRPr="001A1392" w:rsidRDefault="001A1392" w:rsidP="001A1392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color w:val="FFFFFF"/>
          <w:sz w:val="16"/>
          <w:szCs w:val="16"/>
          <w:lang w:eastAsia="cs-CZ"/>
        </w:rPr>
      </w:pPr>
      <w:r w:rsidRPr="001A1392">
        <w:rPr>
          <w:rFonts w:ascii="Arial" w:eastAsiaTheme="minorEastAsia" w:hAnsi="Arial" w:cs="Arial"/>
          <w:color w:val="FFFFFF"/>
          <w:sz w:val="16"/>
          <w:szCs w:val="16"/>
          <w:lang w:eastAsia="cs-CZ"/>
        </w:rPr>
        <w:t xml:space="preserve">48472476_DOMINO </w:t>
      </w:r>
      <w:proofErr w:type="spellStart"/>
      <w:r w:rsidRPr="001A1392">
        <w:rPr>
          <w:rFonts w:ascii="Arial" w:eastAsiaTheme="minorEastAsia" w:hAnsi="Arial" w:cs="Arial"/>
          <w:color w:val="FFFFFF"/>
          <w:sz w:val="16"/>
          <w:szCs w:val="16"/>
          <w:lang w:eastAsia="cs-CZ"/>
        </w:rPr>
        <w:t>cz</w:t>
      </w:r>
      <w:proofErr w:type="spellEnd"/>
      <w:r w:rsidRPr="001A1392">
        <w:rPr>
          <w:rFonts w:ascii="Arial" w:eastAsiaTheme="minorEastAsia" w:hAnsi="Arial" w:cs="Arial"/>
          <w:color w:val="FFFFFF"/>
          <w:sz w:val="16"/>
          <w:szCs w:val="16"/>
          <w:lang w:eastAsia="cs-CZ"/>
        </w:rPr>
        <w:t xml:space="preserve">, o. p. </w:t>
      </w:r>
      <w:proofErr w:type="gramStart"/>
      <w:r w:rsidRPr="001A1392">
        <w:rPr>
          <w:rFonts w:ascii="Arial" w:eastAsiaTheme="minorEastAsia" w:hAnsi="Arial" w:cs="Arial"/>
          <w:color w:val="FFFFFF"/>
          <w:sz w:val="16"/>
          <w:szCs w:val="16"/>
          <w:lang w:eastAsia="cs-CZ"/>
        </w:rPr>
        <w:t>s._SOC01-23/018</w:t>
      </w:r>
      <w:proofErr w:type="gramEnd"/>
    </w:p>
    <w:p w:rsidR="001A1392" w:rsidRPr="001A1392" w:rsidRDefault="001A1392" w:rsidP="001A1392">
      <w:pPr>
        <w:tabs>
          <w:tab w:val="clear" w:pos="851"/>
          <w:tab w:val="left" w:pos="8928"/>
        </w:tabs>
        <w:autoSpaceDE w:val="0"/>
        <w:autoSpaceDN w:val="0"/>
        <w:adjustRightInd w:val="0"/>
        <w:spacing w:after="120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  <w:r w:rsidRPr="001A1392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>č. D/3346/2023/SOC</w:t>
      </w:r>
    </w:p>
    <w:p w:rsidR="001A1392" w:rsidRPr="001A1392" w:rsidRDefault="001A1392" w:rsidP="001A1392">
      <w:pPr>
        <w:tabs>
          <w:tab w:val="clear" w:pos="851"/>
          <w:tab w:val="left" w:pos="8928"/>
        </w:tabs>
        <w:autoSpaceDE w:val="0"/>
        <w:autoSpaceDN w:val="0"/>
        <w:adjustRightInd w:val="0"/>
        <w:spacing w:before="72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sz w:val="24"/>
          <w:szCs w:val="24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(uzavřená dle § 159 a násl. zákona č. 500/2004 Sb., správní řád, ve znění pozdějších předpisů)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mezi: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7484"/>
      </w:tblGrid>
      <w:tr w:rsidR="001A1392" w:rsidRPr="001A1392" w:rsidTr="001D3CD4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1A1392" w:rsidRPr="001A1392" w:rsidRDefault="001A1392" w:rsidP="001A1392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A139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Poskytovatel dotace: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A1392" w:rsidRPr="001A1392" w:rsidRDefault="001A1392" w:rsidP="001A1392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A139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Zlínský kraj</w:t>
            </w:r>
          </w:p>
          <w:p w:rsidR="001A1392" w:rsidRPr="001A1392" w:rsidRDefault="001A1392" w:rsidP="001A1392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A139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se sídlem ve Zlíně, tř. T. Bati 21, PSČ 761 90</w:t>
            </w:r>
          </w:p>
          <w:p w:rsidR="001A1392" w:rsidRPr="001A1392" w:rsidRDefault="001A1392" w:rsidP="001A1392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A139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zastupuje: Bc. Hana Ančincová, statutární náměstkyně hejtmana Zlínského kraje, po pověření hejtmanem Zlínského kraje Ing. Radimem Holišem, ze dne </w:t>
            </w:r>
            <w:proofErr w:type="gramStart"/>
            <w:r w:rsidRPr="001A139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5.4.2023</w:t>
            </w:r>
            <w:proofErr w:type="gramEnd"/>
          </w:p>
          <w:p w:rsidR="001A1392" w:rsidRPr="001A1392" w:rsidRDefault="001A1392" w:rsidP="001A1392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A139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IČO: 70891320</w:t>
            </w:r>
          </w:p>
          <w:p w:rsidR="001A1392" w:rsidRPr="001A1392" w:rsidRDefault="001A1392" w:rsidP="001A1392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A139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bankovní spojení: Česká spořitelna, a. s. Zlín, 1827552/0800 </w:t>
            </w:r>
          </w:p>
          <w:p w:rsidR="001A1392" w:rsidRPr="001A1392" w:rsidRDefault="001A1392" w:rsidP="001A1392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A139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(dále jen „</w:t>
            </w:r>
            <w:r w:rsidRPr="001A1392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poskytovatel</w:t>
            </w:r>
            <w:r w:rsidRPr="001A139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“)</w:t>
            </w:r>
          </w:p>
        </w:tc>
      </w:tr>
    </w:tbl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left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a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left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7342"/>
      </w:tblGrid>
      <w:tr w:rsidR="001A1392" w:rsidRPr="001A1392" w:rsidTr="001D3CD4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1A1392" w:rsidRPr="001A1392" w:rsidRDefault="001A1392" w:rsidP="001A1392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A139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Příjemce dotace:</w:t>
            </w:r>
          </w:p>
        </w:tc>
        <w:tc>
          <w:tcPr>
            <w:tcW w:w="7342" w:type="dxa"/>
            <w:tcBorders>
              <w:top w:val="nil"/>
              <w:left w:val="nil"/>
              <w:bottom w:val="nil"/>
              <w:right w:val="nil"/>
            </w:tcBorders>
          </w:tcPr>
          <w:p w:rsidR="001A1392" w:rsidRPr="001A1392" w:rsidRDefault="001A1392" w:rsidP="001A1392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</w:pPr>
            <w:r w:rsidRPr="001A1392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 xml:space="preserve">DOMINO </w:t>
            </w:r>
            <w:proofErr w:type="spellStart"/>
            <w:r w:rsidRPr="001A1392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cz</w:t>
            </w:r>
            <w:proofErr w:type="spellEnd"/>
            <w:r w:rsidRPr="001A1392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, o. p. s.</w:t>
            </w:r>
          </w:p>
          <w:p w:rsidR="001A1392" w:rsidRPr="001A1392" w:rsidRDefault="001A1392" w:rsidP="001A1392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A139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sídlo: třída Tomáše Bati 3244, 76001 Zlín</w:t>
            </w:r>
          </w:p>
          <w:p w:rsidR="001A1392" w:rsidRPr="001A1392" w:rsidRDefault="001A1392" w:rsidP="001A1392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A139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typ příjemce: PRÁVNICKÁ OSOBA - Obecně prospěšná společnost</w:t>
            </w:r>
          </w:p>
          <w:p w:rsidR="001A1392" w:rsidRPr="001A1392" w:rsidRDefault="001A1392" w:rsidP="001A1392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A139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IČO: 48472476</w:t>
            </w:r>
          </w:p>
          <w:p w:rsidR="001A1392" w:rsidRPr="001A1392" w:rsidRDefault="001A1392" w:rsidP="001A1392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A139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bankovní spojení: MONETA Money Bank, a. s., 159924328/0600</w:t>
            </w:r>
          </w:p>
          <w:p w:rsidR="001A1392" w:rsidRPr="001A1392" w:rsidRDefault="001A1392" w:rsidP="001A1392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A139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zastupuje: Bc. Michaela Slavíková, ředitelka</w:t>
            </w:r>
          </w:p>
          <w:p w:rsidR="001A1392" w:rsidRPr="001A1392" w:rsidRDefault="001A1392" w:rsidP="001A1392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A139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zapsaný: Krajský soud v Brně, oddíl O, vložka 677</w:t>
            </w:r>
          </w:p>
          <w:p w:rsidR="001A1392" w:rsidRPr="001A1392" w:rsidRDefault="001A1392" w:rsidP="001A1392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A139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(dále jen „</w:t>
            </w:r>
            <w:r w:rsidRPr="001A1392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příjemce</w:t>
            </w:r>
            <w:r w:rsidRPr="001A139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“)</w:t>
            </w:r>
          </w:p>
        </w:tc>
      </w:tr>
    </w:tbl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b/>
          <w:sz w:val="20"/>
          <w:szCs w:val="24"/>
          <w:lang w:eastAsia="cs-CZ"/>
        </w:rPr>
      </w:pPr>
    </w:p>
    <w:p w:rsidR="001A1392" w:rsidRPr="001A1392" w:rsidRDefault="001A1392" w:rsidP="001A1392">
      <w:pPr>
        <w:keepNext/>
        <w:widowControl w:val="0"/>
        <w:tabs>
          <w:tab w:val="clear" w:pos="851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b/>
          <w:sz w:val="20"/>
          <w:szCs w:val="24"/>
          <w:lang w:eastAsia="cs-CZ"/>
        </w:rPr>
        <w:t>1.  Předmět smlouvy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1.1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 xml:space="preserve">Poskytovatel se zavazuje poskytnout příjemci </w:t>
      </w: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neinvestiční</w:t>
      </w:r>
      <w:r w:rsidRPr="001A1392">
        <w:rPr>
          <w:rFonts w:ascii="Arial" w:eastAsiaTheme="minorEastAsia" w:hAnsi="Arial" w:cs="Arial"/>
          <w:i/>
          <w:iCs/>
          <w:color w:val="5B9BD5"/>
          <w:sz w:val="16"/>
          <w:szCs w:val="16"/>
          <w:lang w:eastAsia="cs-CZ"/>
        </w:rPr>
        <w:t xml:space="preserve"> </w:t>
      </w:r>
      <w:proofErr w:type="gramStart"/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dotaci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 z Fondu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Zlínského kraje (dále jen „</w:t>
      </w: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dotace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“) do výše </w:t>
      </w: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53</w:t>
      </w:r>
      <w:r w:rsidR="00003D8F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 xml:space="preserve"> </w:t>
      </w: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000,00 Kč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, (slovy: </w:t>
      </w:r>
      <w:proofErr w:type="spell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padesáttřitisícekorunčeských</w:t>
      </w:r>
      <w:proofErr w:type="spell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 Kč), současně však </w:t>
      </w: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maximálně 70 % celkových způsobilých výdajů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na realizaci projektu: </w:t>
      </w: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TERAPEUTICKÝ POBYT PRO RODINY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(dále jen „</w:t>
      </w:r>
      <w:r w:rsidRPr="001A1392">
        <w:rPr>
          <w:rFonts w:ascii="Arial" w:eastAsiaTheme="minorEastAsia" w:hAnsi="Arial" w:cs="Arial"/>
          <w:bCs/>
          <w:sz w:val="20"/>
          <w:szCs w:val="20"/>
          <w:lang w:eastAsia="cs-CZ"/>
        </w:rPr>
        <w:t>projekt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“), evidovaného pod registračním číslem žádosti o poskytnutí dotace </w:t>
      </w: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SOC01-23/018</w:t>
      </w:r>
      <w:r w:rsidRPr="001A1392">
        <w:rPr>
          <w:rFonts w:ascii="Arial" w:eastAsiaTheme="minorEastAsia" w:hAnsi="Arial" w:cs="Arial"/>
          <w:bCs/>
          <w:sz w:val="20"/>
          <w:szCs w:val="20"/>
          <w:lang w:eastAsia="cs-CZ"/>
        </w:rPr>
        <w:t>, který je blíže popsán v žádosti o poskytnutí dotace.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1.2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Dotace je poskytována na základě programu na podporu sociálně zdravotních aktivit SOC01-22, schváleného Radou Zlínského kraje dne </w:t>
      </w: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19.12.2022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usnesením č. 1070/R37/22 (dále jen „</w:t>
      </w: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program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“).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1.3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Příjemce se zavazuje zrealizovat projekt tak, jak je popsán v žádosti o poskytnutí dotace a v souladu se všemi podmínkami vyhlášeného programu.</w:t>
      </w:r>
    </w:p>
    <w:p w:rsidR="001A1392" w:rsidRPr="001A1392" w:rsidRDefault="001A1392" w:rsidP="001A1392">
      <w:pPr>
        <w:keepNext/>
        <w:widowControl w:val="0"/>
        <w:tabs>
          <w:tab w:val="clear" w:pos="851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b/>
          <w:sz w:val="20"/>
          <w:szCs w:val="24"/>
          <w:lang w:eastAsia="cs-CZ"/>
        </w:rPr>
        <w:t>2.  Doba realizace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2.1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 xml:space="preserve">Doba realizace začíná dnem </w:t>
      </w: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01.01.2023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2.2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Doba realizace končí dnem </w:t>
      </w: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30.11.2023</w:t>
      </w:r>
      <w:proofErr w:type="gramEnd"/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2.3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 xml:space="preserve">Způsobilé výdaje musí příjemci vzniknout v době realizace a musí jím být uhrazeny způsobem specifikovaným v odst. 5.2. </w:t>
      </w:r>
    </w:p>
    <w:p w:rsidR="001A1392" w:rsidRPr="001A1392" w:rsidRDefault="001A1392" w:rsidP="001A1392">
      <w:pPr>
        <w:keepNext/>
        <w:widowControl w:val="0"/>
        <w:tabs>
          <w:tab w:val="clear" w:pos="851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b/>
          <w:sz w:val="20"/>
          <w:szCs w:val="24"/>
          <w:lang w:eastAsia="cs-CZ"/>
        </w:rPr>
        <w:t>3.  Monitorovací indikátory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76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3.1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Během doby realizace se příjemce zavazuje naplnit monitorovací indikátor projektu, jehož minimální závazná hodnota je uvedena v následující tabulce, a to nejpozději k datu ukončení doby realizace:</w:t>
      </w:r>
    </w:p>
    <w:tbl>
      <w:tblPr>
        <w:tblW w:w="4610" w:type="pct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07"/>
        <w:gridCol w:w="1674"/>
        <w:gridCol w:w="3082"/>
      </w:tblGrid>
      <w:tr w:rsidR="001A1392" w:rsidRPr="001A1392" w:rsidTr="001D3CD4">
        <w:trPr>
          <w:trHeight w:val="426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1A1392" w:rsidRPr="001A1392" w:rsidRDefault="001A1392" w:rsidP="001A1392">
            <w:pPr>
              <w:widowControl w:val="0"/>
              <w:tabs>
                <w:tab w:val="clear" w:pos="851"/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snapToGrid w:val="0"/>
                <w:sz w:val="16"/>
                <w:szCs w:val="16"/>
                <w:lang w:eastAsia="cs-CZ"/>
              </w:rPr>
            </w:pPr>
            <w:r w:rsidRPr="001A1392">
              <w:rPr>
                <w:rFonts w:ascii="Arial" w:eastAsia="Times New Roman" w:hAnsi="Arial" w:cs="Arial"/>
                <w:b/>
                <w:snapToGrid w:val="0"/>
                <w:sz w:val="16"/>
                <w:szCs w:val="16"/>
                <w:lang w:eastAsia="cs-CZ"/>
              </w:rPr>
              <w:lastRenderedPageBreak/>
              <w:t>MONITOROVACÍ INDIKÁTORY - VÝSTUPY PROJEKTU</w:t>
            </w:r>
          </w:p>
        </w:tc>
      </w:tr>
      <w:tr w:rsidR="001A1392" w:rsidRPr="001A1392" w:rsidTr="001D3CD4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2255" w:type="pct"/>
            <w:shd w:val="clear" w:color="auto" w:fill="C0C0C0"/>
            <w:vAlign w:val="center"/>
          </w:tcPr>
          <w:p w:rsidR="001A1392" w:rsidRPr="001A1392" w:rsidRDefault="001A1392" w:rsidP="001A1392">
            <w:pPr>
              <w:widowControl w:val="0"/>
              <w:tabs>
                <w:tab w:val="clear" w:pos="851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</w:pPr>
            <w:r w:rsidRPr="001A1392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966" w:type="pct"/>
            <w:shd w:val="clear" w:color="auto" w:fill="C0C0C0"/>
            <w:vAlign w:val="center"/>
          </w:tcPr>
          <w:p w:rsidR="001A1392" w:rsidRPr="001A1392" w:rsidRDefault="001A1392" w:rsidP="001A1392">
            <w:pPr>
              <w:widowControl w:val="0"/>
              <w:tabs>
                <w:tab w:val="clear" w:pos="851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jc w:val="center"/>
              <w:rPr>
                <w:rFonts w:ascii="Arial" w:eastAsiaTheme="minorEastAsia" w:hAnsi="Arial" w:cs="Arial"/>
                <w:snapToGrid w:val="0"/>
                <w:sz w:val="20"/>
                <w:szCs w:val="20"/>
                <w:lang w:eastAsia="cs-CZ"/>
              </w:rPr>
            </w:pPr>
            <w:r w:rsidRPr="001A1392">
              <w:rPr>
                <w:rFonts w:ascii="Arial" w:eastAsiaTheme="minorEastAsia" w:hAnsi="Arial" w:cs="Arial"/>
                <w:snapToGrid w:val="0"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779" w:type="pct"/>
            <w:shd w:val="clear" w:color="auto" w:fill="C0C0C0"/>
          </w:tcPr>
          <w:p w:rsidR="001A1392" w:rsidRPr="001A1392" w:rsidRDefault="001A1392" w:rsidP="001A1392">
            <w:pPr>
              <w:widowControl w:val="0"/>
              <w:tabs>
                <w:tab w:val="clear" w:pos="851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</w:pPr>
            <w:r w:rsidRPr="001A1392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minimální závazná hodnota</w:t>
            </w:r>
          </w:p>
        </w:tc>
      </w:tr>
      <w:tr w:rsidR="001A1392" w:rsidRPr="001A1392" w:rsidTr="001D3CD4">
        <w:tblPrEx>
          <w:tblCellMar>
            <w:left w:w="108" w:type="dxa"/>
            <w:right w:w="108" w:type="dxa"/>
          </w:tblCellMar>
        </w:tblPrEx>
        <w:tc>
          <w:tcPr>
            <w:tcW w:w="2255" w:type="pct"/>
            <w:vAlign w:val="center"/>
          </w:tcPr>
          <w:p w:rsidR="001A1392" w:rsidRPr="001A1392" w:rsidRDefault="001A1392" w:rsidP="001A1392">
            <w:pPr>
              <w:widowControl w:val="0"/>
              <w:tabs>
                <w:tab w:val="clear" w:pos="851"/>
              </w:tabs>
              <w:autoSpaceDE w:val="0"/>
              <w:autoSpaceDN w:val="0"/>
              <w:adjustRightInd w:val="0"/>
              <w:spacing w:before="120" w:after="120" w:line="240" w:lineRule="auto"/>
              <w:ind w:firstLine="0"/>
              <w:contextualSpacing w:val="0"/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</w:pPr>
            <w:r w:rsidRPr="001A1392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Dítě na 1 den pobytu</w:t>
            </w:r>
          </w:p>
        </w:tc>
        <w:tc>
          <w:tcPr>
            <w:tcW w:w="966" w:type="pct"/>
            <w:vAlign w:val="center"/>
          </w:tcPr>
          <w:p w:rsidR="001A1392" w:rsidRPr="001A1392" w:rsidRDefault="001A1392" w:rsidP="001A1392">
            <w:pPr>
              <w:widowControl w:val="0"/>
              <w:tabs>
                <w:tab w:val="clear" w:pos="851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</w:pPr>
            <w:r w:rsidRPr="001A1392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779" w:type="pct"/>
            <w:vAlign w:val="center"/>
          </w:tcPr>
          <w:p w:rsidR="001A1392" w:rsidRPr="001A1392" w:rsidRDefault="001A1392" w:rsidP="001A1392">
            <w:pPr>
              <w:widowControl w:val="0"/>
              <w:tabs>
                <w:tab w:val="clear" w:pos="851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</w:pPr>
            <w:r w:rsidRPr="001A1392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cs-CZ"/>
              </w:rPr>
              <w:t>22 dětí na 7 dnů</w:t>
            </w:r>
          </w:p>
        </w:tc>
      </w:tr>
    </w:tbl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12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3.2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 xml:space="preserve">Částečné nenaplnění kteréhokoliv monitorovacího indikátoru uvedeného v tabulce v předchozím odstavci, </w:t>
      </w: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maximálně však o 5 %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, zůstane-li zachován účel a smysl projektu, nebude považováno za porušení podmínek smlouvy. V případě překročení uvedené tolerance částečného nenaplnění monitorovacích indikátorů, se jedná o podstatné nenaplnění monitorovacích indikátorů. 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3.3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 xml:space="preserve">V případě částečného nenaplnění monitorovacího indikátoru, dochází k poklesu výše dotace, a to o částku odpovídající součinu paušální sazby (maximální částky na jeden monitorovací indikátor) a počtu jednotek nesplněného monitorovacího indikátoru. V případě krácení dotace při částečném nenaplnění monitorovacího indikátoru dle výše uvedených pravidel, může klesnout minimální výše dotace na projekt pod finanční limit stanovený v bodě </w:t>
      </w: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4.4. programu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(</w:t>
      </w:r>
      <w:proofErr w:type="spell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tj</w:t>
      </w:r>
      <w:proofErr w:type="spell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10.000 Kč).</w:t>
      </w:r>
      <w:r w:rsidRPr="001A1392">
        <w:rPr>
          <w:rFonts w:ascii="Arial" w:eastAsiaTheme="minorEastAsia" w:hAnsi="Arial" w:cs="Arial"/>
          <w:b/>
          <w:bCs/>
          <w:spacing w:val="-10"/>
          <w:kern w:val="28"/>
          <w:sz w:val="28"/>
          <w:szCs w:val="28"/>
          <w:lang w:eastAsia="cs-CZ"/>
        </w:rPr>
        <w:t xml:space="preserve"> </w:t>
      </w:r>
    </w:p>
    <w:p w:rsidR="001A1392" w:rsidRPr="001A1392" w:rsidRDefault="001A1392" w:rsidP="001A1392">
      <w:pPr>
        <w:keepNext/>
        <w:widowControl w:val="0"/>
        <w:tabs>
          <w:tab w:val="clear" w:pos="851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b/>
          <w:sz w:val="20"/>
          <w:szCs w:val="24"/>
          <w:lang w:eastAsia="cs-CZ"/>
        </w:rPr>
        <w:t>4.  Financování projektu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4.1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 xml:space="preserve">Dotace bude příjemci poskytnuta na účet uvedený v záhlaví této smlouvy následujícím způsobem, a to </w:t>
      </w: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 30 pracovních dnů po schválení Závěrečné zprávy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s vyúčtováním dotace předložené příjemcem dle čl. 4.4.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b/>
          <w:bCs/>
          <w:color w:val="0070C0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4.2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</w: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Konečná výše dotace vychází z finančního limitu na jednotku monitorovacího indikátoru stanovenou v podmínkách programu, která je paušální sazbou, a současně nepřesahuje 70 %</w:t>
      </w:r>
      <w:r w:rsidRPr="001A1392">
        <w:rPr>
          <w:rFonts w:ascii="Arial" w:eastAsiaTheme="minorEastAsia" w:hAnsi="Arial" w:cs="Arial"/>
          <w:color w:val="0070C0"/>
          <w:sz w:val="20"/>
          <w:szCs w:val="20"/>
          <w:lang w:eastAsia="cs-CZ"/>
        </w:rPr>
        <w:t xml:space="preserve"> </w:t>
      </w: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celkových způsobilých výdajů projektu.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120" w:line="240" w:lineRule="auto"/>
        <w:ind w:left="567" w:firstLine="0"/>
        <w:contextualSpacing w:val="0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 xml:space="preserve">Dotace bude příjemci poskytnuta ve výši uvedené v čl. 1 odst. 1.1 pouze za předpokladu, že příjemce naplní závazný monitorovací indikátor uvedený v čl. 3. odst. 3.1, a současně bude dodržena procentní hranice celkových způsobilých výdajů. 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120" w:line="240" w:lineRule="auto"/>
        <w:ind w:left="567"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Předpokládané celkové způsobilé výdaje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projektu činí </w:t>
      </w:r>
      <w:r w:rsidRPr="001A1392">
        <w:rPr>
          <w:rFonts w:ascii="Arial" w:eastAsiaTheme="minorEastAsia" w:hAnsi="Arial" w:cs="Arial"/>
          <w:b/>
          <w:sz w:val="20"/>
          <w:szCs w:val="20"/>
          <w:lang w:eastAsia="cs-CZ"/>
        </w:rPr>
        <w:t>106</w:t>
      </w:r>
      <w:r w:rsidR="00CB0CD9">
        <w:rPr>
          <w:rFonts w:ascii="Arial" w:eastAsiaTheme="minorEastAsia" w:hAnsi="Arial" w:cs="Arial"/>
          <w:b/>
          <w:sz w:val="20"/>
          <w:szCs w:val="20"/>
          <w:lang w:eastAsia="cs-CZ"/>
        </w:rPr>
        <w:t xml:space="preserve"> </w:t>
      </w:r>
      <w:r w:rsidRPr="001A1392">
        <w:rPr>
          <w:rFonts w:ascii="Arial" w:eastAsiaTheme="minorEastAsia" w:hAnsi="Arial" w:cs="Arial"/>
          <w:b/>
          <w:sz w:val="20"/>
          <w:szCs w:val="20"/>
          <w:lang w:eastAsia="cs-CZ"/>
        </w:rPr>
        <w:t>160,00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Kč. Pokud </w:t>
      </w: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skutečné celkové způsobilé výdaje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projektu překročí výši předpokládaných celkových způsobilých výdajů uvedenou v předchozí větě, uhradí příjemce částku tohoto překročení z vlastních zdrojů. </w:t>
      </w:r>
    </w:p>
    <w:p w:rsidR="001A1392" w:rsidRPr="001A1392" w:rsidRDefault="001A1392" w:rsidP="001A1392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560"/>
          <w:tab w:val="left" w:pos="8928"/>
        </w:tabs>
        <w:autoSpaceDE w:val="0"/>
        <w:autoSpaceDN w:val="0"/>
        <w:adjustRightInd w:val="0"/>
        <w:spacing w:before="60" w:line="240" w:lineRule="auto"/>
        <w:ind w:left="567" w:firstLine="0"/>
        <w:contextualSpacing w:val="0"/>
        <w:rPr>
          <w:rFonts w:ascii="Arial" w:eastAsiaTheme="minorEastAsia" w:hAnsi="Arial" w:cs="Arial"/>
          <w:i/>
          <w:iCs/>
          <w:color w:val="7030A0"/>
          <w:sz w:val="16"/>
          <w:szCs w:val="16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Poklesnou-li skutečné celkové způsobilé výdaje projektu tak, že by peněžitá výše dotace uvedená v čl. I. odst. 1.1 činila více než 70 %</w:t>
      </w:r>
      <w:r w:rsidRPr="001A1392">
        <w:rPr>
          <w:rFonts w:ascii="Arial" w:eastAsiaTheme="minorEastAsia" w:hAnsi="Arial" w:cs="Arial"/>
          <w:i/>
          <w:iCs/>
          <w:color w:val="0070C0"/>
          <w:sz w:val="20"/>
          <w:szCs w:val="20"/>
          <w:lang w:eastAsia="cs-CZ"/>
        </w:rPr>
        <w:t xml:space="preserve"> 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ze skutečných celkových způsobilých výdajů, poklesne výše dotace uvedená v odst. 1.1 tak, aby zůstala zachována požadovaná maximální procentní výše dotace </w:t>
      </w:r>
      <w:r w:rsidRPr="001A1392">
        <w:rPr>
          <w:rFonts w:ascii="Arial" w:eastAsiaTheme="minorEastAsia" w:hAnsi="Arial" w:cs="Arial"/>
          <w:sz w:val="20"/>
          <w:szCs w:val="24"/>
          <w:lang w:eastAsia="cs-CZ"/>
        </w:rPr>
        <w:t xml:space="preserve">a zároveň může klesnout minimální výše dotace na projekt pod finanční limit stanovený v bodě </w:t>
      </w:r>
      <w:proofErr w:type="gramStart"/>
      <w:r w:rsidRPr="001A1392">
        <w:rPr>
          <w:rFonts w:ascii="Arial" w:eastAsiaTheme="minorEastAsia" w:hAnsi="Arial" w:cs="Arial"/>
          <w:sz w:val="20"/>
          <w:szCs w:val="24"/>
          <w:lang w:eastAsia="cs-CZ"/>
        </w:rPr>
        <w:t>4.4. programu</w:t>
      </w:r>
      <w:proofErr w:type="gramEnd"/>
      <w:r w:rsidRPr="001A1392">
        <w:rPr>
          <w:rFonts w:ascii="Arial" w:eastAsiaTheme="minorEastAsia" w:hAnsi="Arial" w:cs="Arial"/>
          <w:sz w:val="20"/>
          <w:szCs w:val="24"/>
          <w:lang w:eastAsia="cs-CZ"/>
        </w:rPr>
        <w:t xml:space="preserve"> (</w:t>
      </w:r>
      <w:proofErr w:type="spellStart"/>
      <w:r w:rsidRPr="001A1392">
        <w:rPr>
          <w:rFonts w:ascii="Arial" w:eastAsiaTheme="minorEastAsia" w:hAnsi="Arial" w:cs="Arial"/>
          <w:sz w:val="20"/>
          <w:szCs w:val="24"/>
          <w:lang w:eastAsia="cs-CZ"/>
        </w:rPr>
        <w:t>tj</w:t>
      </w:r>
      <w:proofErr w:type="spellEnd"/>
      <w:r w:rsidRPr="001A1392">
        <w:rPr>
          <w:rFonts w:ascii="Arial" w:eastAsiaTheme="minorEastAsia" w:hAnsi="Arial" w:cs="Arial"/>
          <w:sz w:val="20"/>
          <w:szCs w:val="24"/>
          <w:lang w:eastAsia="cs-CZ"/>
        </w:rPr>
        <w:t xml:space="preserve"> 10.000 Kč).</w:t>
      </w:r>
      <w:r w:rsidRPr="001A1392" w:rsidDel="00C0468B">
        <w:rPr>
          <w:rFonts w:ascii="Arial" w:eastAsiaTheme="minorEastAsia" w:hAnsi="Arial" w:cs="Arial"/>
          <w:sz w:val="20"/>
          <w:szCs w:val="24"/>
          <w:lang w:eastAsia="cs-CZ"/>
        </w:rPr>
        <w:t xml:space="preserve"> 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 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4.3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 xml:space="preserve"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100 % skutečných celkových způsobilých výdajů. 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4.4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 xml:space="preserve">Po ukončení doby realizace dle odst. 2.2 je příjemce povinen předložit Odboru sociálních věcí Krajského úřadu Zlínského kraje </w:t>
      </w: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závěrečnou zprávu, a to nejpozději do </w:t>
      </w:r>
      <w:proofErr w:type="gramStart"/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30.11.2023</w:t>
      </w:r>
      <w:proofErr w:type="gramEnd"/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4.5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 xml:space="preserve">Závěrečnou zprávou se rozumí předložení formuláře s vyplněnou tabulkou s výčtem všech celkových způsobilých výdajů projektu, a předložení všech potřebných dokladů uvedených ve </w:t>
      </w: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formuláři závěrečné zprávy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ve výši dotace a dokladů prokazujících jejich úhradu (tj. výpisy z bankovního účtu, výdajové a příjmové pokladní doklady).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firstLine="0"/>
        <w:contextualSpacing w:val="0"/>
        <w:rPr>
          <w:rFonts w:ascii="Arial" w:eastAsiaTheme="minorEastAsia" w:hAnsi="Arial" w:cs="Arial"/>
          <w:sz w:val="24"/>
          <w:szCs w:val="24"/>
          <w:lang w:eastAsia="cs-CZ"/>
        </w:rPr>
      </w:pP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Formulář závěrečné zprávy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bude příjemci zaslán kontaktní osobou poskytovatele nejpozději do </w:t>
      </w:r>
      <w:proofErr w:type="gramStart"/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31.08.2023</w:t>
      </w:r>
      <w:proofErr w:type="gramEnd"/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4.6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V případě, že poskytovatel neshledá v předložené Závěrečné zprávě nedostatky či nesrovnalosti, schválí ji do 30 pracovních dnů ode dne jejího předložení. Budou-li shledány nedostatky či nesrovnalosti, bude příjemce v této lhůtě poskytovatelem vyzván k jejich odstranění, a to do 20 pracovních dnů ode dne doručení výzvy. V případě, že příjemce v této lhůtě nedostatky či nesrovnalosti neodstraní, bude opětovně poskytovatelem vyzván k jejich odstranění v náhradní lhůtě, tj. do 20 pracovních dnů ode dne doručení výzvy příjemci.</w:t>
      </w:r>
    </w:p>
    <w:p w:rsidR="001A1392" w:rsidRPr="001A1392" w:rsidRDefault="001A1392" w:rsidP="001A1392">
      <w:pPr>
        <w:keepNext/>
        <w:widowControl w:val="0"/>
        <w:tabs>
          <w:tab w:val="clear" w:pos="851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b/>
          <w:sz w:val="20"/>
          <w:szCs w:val="24"/>
          <w:lang w:eastAsia="cs-CZ"/>
        </w:rPr>
        <w:lastRenderedPageBreak/>
        <w:t>5.  Podmínky použití dotace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5.1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Příjemce je oprávněn použít dotaci pouze k účelu uvedenému v čl. 1.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5.2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</w: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Způsobilými výdaji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jsou proplacená plnění, jež souvisejí s účelem, na který je dotace poskytnuta, a vyhovují zásadám účelnosti, efektivnosti a hospodárnosti podle zákona č. 320/2001 Sb., o finanční kontrole, ve znění pozdějších předpisů. Pro ověření způsobilosti mzdových výdajů je potřebné doložit výkazy práce, ze kterých bude patrný rozsah práce pro daný projekt. Způsobilé výdaje musí příjemci vzniknout v době realizace a být jím v této době i uhrazeny.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5.3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</w: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Nezpůsobilými výdaji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jsou zejména: </w:t>
      </w:r>
    </w:p>
    <w:p w:rsidR="001A1392" w:rsidRPr="001A1392" w:rsidRDefault="001A1392" w:rsidP="001A1392">
      <w:pPr>
        <w:widowControl w:val="0"/>
        <w:numPr>
          <w:ilvl w:val="0"/>
          <w:numId w:val="5"/>
        </w:numPr>
        <w:tabs>
          <w:tab w:val="clear" w:pos="851"/>
          <w:tab w:val="num" w:pos="1512"/>
        </w:tabs>
        <w:autoSpaceDE w:val="0"/>
        <w:autoSpaceDN w:val="0"/>
        <w:adjustRightInd w:val="0"/>
        <w:spacing w:beforeLines="60" w:before="144" w:afterLines="60" w:after="144" w:line="240" w:lineRule="auto"/>
        <w:ind w:left="1512"/>
        <w:contextualSpacing w:val="0"/>
        <w:jc w:val="left"/>
        <w:rPr>
          <w:rFonts w:ascii="Arial" w:eastAsiaTheme="minorEastAsia" w:hAnsi="Arial" w:cs="Arial"/>
          <w:i/>
          <w:color w:val="0070C0"/>
          <w:sz w:val="16"/>
          <w:szCs w:val="16"/>
          <w:lang w:eastAsia="cs-CZ"/>
        </w:rPr>
      </w:pPr>
      <w:r w:rsidRPr="001A1392">
        <w:rPr>
          <w:rFonts w:ascii="Arial" w:eastAsiaTheme="minorEastAsia" w:hAnsi="Arial" w:cs="Arial"/>
          <w:sz w:val="20"/>
          <w:szCs w:val="24"/>
          <w:lang w:eastAsia="cs-CZ"/>
        </w:rPr>
        <w:t>v čase a místě neobvyklé mzdy a platy</w:t>
      </w:r>
    </w:p>
    <w:p w:rsidR="001A1392" w:rsidRPr="001A1392" w:rsidRDefault="001A1392" w:rsidP="001A1392">
      <w:pPr>
        <w:widowControl w:val="0"/>
        <w:numPr>
          <w:ilvl w:val="0"/>
          <w:numId w:val="5"/>
        </w:numPr>
        <w:tabs>
          <w:tab w:val="clear" w:pos="851"/>
          <w:tab w:val="num" w:pos="1512"/>
        </w:tabs>
        <w:autoSpaceDE w:val="0"/>
        <w:autoSpaceDN w:val="0"/>
        <w:adjustRightInd w:val="0"/>
        <w:spacing w:beforeLines="60" w:before="144" w:afterLines="60" w:after="144" w:line="240" w:lineRule="auto"/>
        <w:ind w:left="1512"/>
        <w:contextualSpacing w:val="0"/>
        <w:jc w:val="left"/>
        <w:rPr>
          <w:rFonts w:ascii="Arial" w:eastAsiaTheme="minorEastAsia" w:hAnsi="Arial" w:cs="Arial"/>
          <w:i/>
          <w:color w:val="0070C0"/>
          <w:sz w:val="16"/>
          <w:szCs w:val="16"/>
          <w:lang w:eastAsia="cs-CZ"/>
        </w:rPr>
      </w:pPr>
      <w:r w:rsidRPr="001A1392">
        <w:rPr>
          <w:rFonts w:ascii="Arial" w:eastAsiaTheme="minorEastAsia" w:hAnsi="Arial" w:cs="Arial"/>
          <w:sz w:val="20"/>
          <w:szCs w:val="24"/>
          <w:lang w:eastAsia="cs-CZ"/>
        </w:rPr>
        <w:t xml:space="preserve">ubytování, které není určeno pro cílovou skupinu </w:t>
      </w:r>
    </w:p>
    <w:p w:rsidR="001A1392" w:rsidRPr="001A1392" w:rsidRDefault="001A1392" w:rsidP="001A1392">
      <w:pPr>
        <w:widowControl w:val="0"/>
        <w:numPr>
          <w:ilvl w:val="0"/>
          <w:numId w:val="5"/>
        </w:numPr>
        <w:tabs>
          <w:tab w:val="clear" w:pos="851"/>
          <w:tab w:val="num" w:pos="1512"/>
        </w:tabs>
        <w:autoSpaceDE w:val="0"/>
        <w:autoSpaceDN w:val="0"/>
        <w:adjustRightInd w:val="0"/>
        <w:spacing w:beforeLines="60" w:before="144" w:afterLines="60" w:after="144" w:line="240" w:lineRule="auto"/>
        <w:ind w:left="1512"/>
        <w:contextualSpacing w:val="0"/>
        <w:jc w:val="left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4"/>
          <w:lang w:eastAsia="cs-CZ"/>
        </w:rPr>
        <w:t xml:space="preserve">ostatní osobní výdaje 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(tj. odměny poskytované podle zvláštních právních předpisů v případech, kdy nevzniká pracovní vztah k zaměstnavateli; odměny za využití vynálezů, průmyslových vzorů, aj.; odměny podle předpisů o autorském právu; odměny z veřejných a užších soutěží a veřejných příslibů; odstupné poskytované při skončení pracovního poměru; odchodné; odměny členům orgánů společnosti a družstva hrazené z nákladů i ze zisku; částky, které zaměstnavatel refunduje jiným zaměstnavatelům k úhradě plnění zahrnovaných do OON) s výjimkou odměn z dohod o pracích konaných mimo pracovní poměr dle zákona č. 262/2006 Sb.</w:t>
      </w:r>
    </w:p>
    <w:p w:rsidR="001A1392" w:rsidRPr="001A1392" w:rsidRDefault="001A1392" w:rsidP="001A1392">
      <w:pPr>
        <w:widowControl w:val="0"/>
        <w:numPr>
          <w:ilvl w:val="0"/>
          <w:numId w:val="5"/>
        </w:numPr>
        <w:tabs>
          <w:tab w:val="clear" w:pos="851"/>
          <w:tab w:val="num" w:pos="1512"/>
        </w:tabs>
        <w:autoSpaceDE w:val="0"/>
        <w:autoSpaceDN w:val="0"/>
        <w:adjustRightInd w:val="0"/>
        <w:spacing w:beforeLines="60" w:before="144" w:afterLines="60" w:after="144" w:line="240" w:lineRule="auto"/>
        <w:ind w:left="1512"/>
        <w:contextualSpacing w:val="0"/>
        <w:jc w:val="left"/>
        <w:rPr>
          <w:rFonts w:ascii="Arial" w:eastAsiaTheme="minorEastAsia" w:hAnsi="Arial" w:cs="Arial"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sz w:val="20"/>
          <w:szCs w:val="24"/>
          <w:lang w:eastAsia="cs-CZ"/>
        </w:rPr>
        <w:t xml:space="preserve">výdaje na zaměstnance, ke kterým nejsou zaměstnavatelé povinni dle zvláštních právních předpisů (příspěvky na penzijní/životní pojištění, příspěvky na rekreaci, 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stravenky</w:t>
      </w:r>
      <w:r w:rsidRPr="001A1392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 w:rsidRPr="001A1392">
        <w:rPr>
          <w:rFonts w:ascii="Arial" w:eastAsiaTheme="minorEastAsia" w:hAnsi="Arial" w:cs="Arial"/>
          <w:sz w:val="20"/>
          <w:szCs w:val="24"/>
          <w:lang w:eastAsia="cs-CZ"/>
        </w:rPr>
        <w:t xml:space="preserve">apod.) </w:t>
      </w:r>
    </w:p>
    <w:p w:rsidR="001A1392" w:rsidRPr="001A1392" w:rsidRDefault="001A1392" w:rsidP="001A1392">
      <w:pPr>
        <w:widowControl w:val="0"/>
        <w:numPr>
          <w:ilvl w:val="0"/>
          <w:numId w:val="5"/>
        </w:numPr>
        <w:tabs>
          <w:tab w:val="clear" w:pos="851"/>
          <w:tab w:val="num" w:pos="1512"/>
        </w:tabs>
        <w:autoSpaceDE w:val="0"/>
        <w:autoSpaceDN w:val="0"/>
        <w:adjustRightInd w:val="0"/>
        <w:spacing w:beforeLines="60" w:before="144" w:afterLines="60" w:after="144" w:line="240" w:lineRule="auto"/>
        <w:ind w:left="1512"/>
        <w:contextualSpacing w:val="0"/>
        <w:jc w:val="left"/>
        <w:rPr>
          <w:rFonts w:ascii="Arial" w:eastAsiaTheme="minorEastAsia" w:hAnsi="Arial" w:cs="Arial"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sz w:val="20"/>
          <w:szCs w:val="24"/>
          <w:lang w:eastAsia="cs-CZ"/>
        </w:rPr>
        <w:t xml:space="preserve">výdaje na pořádání workshopů, </w:t>
      </w:r>
      <w:proofErr w:type="spellStart"/>
      <w:r w:rsidRPr="001A1392">
        <w:rPr>
          <w:rFonts w:ascii="Arial" w:eastAsiaTheme="minorEastAsia" w:hAnsi="Arial" w:cs="Arial"/>
          <w:sz w:val="20"/>
          <w:szCs w:val="24"/>
          <w:lang w:eastAsia="cs-CZ"/>
        </w:rPr>
        <w:t>teambuildingů</w:t>
      </w:r>
      <w:proofErr w:type="spellEnd"/>
      <w:r w:rsidRPr="001A1392">
        <w:rPr>
          <w:rFonts w:ascii="Arial" w:eastAsiaTheme="minorEastAsia" w:hAnsi="Arial" w:cs="Arial"/>
          <w:sz w:val="20"/>
          <w:szCs w:val="24"/>
          <w:lang w:eastAsia="cs-CZ"/>
        </w:rPr>
        <w:t xml:space="preserve">, výjezdních zasedání apod. </w:t>
      </w:r>
    </w:p>
    <w:p w:rsidR="001A1392" w:rsidRPr="001A1392" w:rsidRDefault="001A1392" w:rsidP="001A1392">
      <w:pPr>
        <w:widowControl w:val="0"/>
        <w:numPr>
          <w:ilvl w:val="0"/>
          <w:numId w:val="5"/>
        </w:numPr>
        <w:tabs>
          <w:tab w:val="clear" w:pos="851"/>
          <w:tab w:val="num" w:pos="1512"/>
        </w:tabs>
        <w:autoSpaceDE w:val="0"/>
        <w:autoSpaceDN w:val="0"/>
        <w:adjustRightInd w:val="0"/>
        <w:spacing w:beforeLines="60" w:before="144" w:afterLines="60" w:after="144" w:line="240" w:lineRule="auto"/>
        <w:ind w:left="1512"/>
        <w:contextualSpacing w:val="0"/>
        <w:jc w:val="left"/>
        <w:rPr>
          <w:rFonts w:ascii="Arial" w:eastAsiaTheme="minorEastAsia" w:hAnsi="Arial" w:cs="Arial"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sz w:val="20"/>
          <w:szCs w:val="24"/>
          <w:lang w:eastAsia="cs-CZ"/>
        </w:rPr>
        <w:t>výdaje na školení a kurzy, které nejsou určeny pro cílovou skupinu</w:t>
      </w:r>
    </w:p>
    <w:p w:rsidR="001A1392" w:rsidRPr="001A1392" w:rsidRDefault="001A1392" w:rsidP="001A1392">
      <w:pPr>
        <w:widowControl w:val="0"/>
        <w:numPr>
          <w:ilvl w:val="0"/>
          <w:numId w:val="5"/>
        </w:numPr>
        <w:tabs>
          <w:tab w:val="clear" w:pos="851"/>
          <w:tab w:val="num" w:pos="1512"/>
        </w:tabs>
        <w:autoSpaceDE w:val="0"/>
        <w:autoSpaceDN w:val="0"/>
        <w:adjustRightInd w:val="0"/>
        <w:spacing w:beforeLines="60" w:before="144" w:afterLines="60" w:after="144" w:line="240" w:lineRule="auto"/>
        <w:ind w:left="1512"/>
        <w:contextualSpacing w:val="0"/>
        <w:jc w:val="left"/>
        <w:rPr>
          <w:rFonts w:ascii="Arial" w:eastAsiaTheme="minorEastAsia" w:hAnsi="Arial" w:cs="Arial"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sz w:val="20"/>
          <w:szCs w:val="24"/>
          <w:lang w:eastAsia="cs-CZ"/>
        </w:rPr>
        <w:t>dlužný úrok, pokuty a finanční sankce</w:t>
      </w:r>
    </w:p>
    <w:p w:rsidR="001A1392" w:rsidRPr="001A1392" w:rsidRDefault="001A1392" w:rsidP="001A1392">
      <w:pPr>
        <w:widowControl w:val="0"/>
        <w:numPr>
          <w:ilvl w:val="0"/>
          <w:numId w:val="5"/>
        </w:numPr>
        <w:tabs>
          <w:tab w:val="clear" w:pos="851"/>
          <w:tab w:val="num" w:pos="1512"/>
        </w:tabs>
        <w:autoSpaceDE w:val="0"/>
        <w:autoSpaceDN w:val="0"/>
        <w:adjustRightInd w:val="0"/>
        <w:spacing w:beforeLines="60" w:before="144" w:afterLines="60" w:after="144" w:line="240" w:lineRule="auto"/>
        <w:ind w:left="1512"/>
        <w:contextualSpacing w:val="0"/>
        <w:jc w:val="left"/>
        <w:rPr>
          <w:rFonts w:ascii="Arial" w:eastAsiaTheme="minorEastAsia" w:hAnsi="Arial" w:cs="Arial"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sz w:val="20"/>
          <w:szCs w:val="24"/>
          <w:lang w:eastAsia="cs-CZ"/>
        </w:rPr>
        <w:t xml:space="preserve">výdaje na přípravné studie nebo jiné přípravné činnosti včetně zpracování Žádosti </w:t>
      </w:r>
    </w:p>
    <w:p w:rsidR="001A1392" w:rsidRPr="001A1392" w:rsidRDefault="001A1392" w:rsidP="001A1392">
      <w:pPr>
        <w:widowControl w:val="0"/>
        <w:numPr>
          <w:ilvl w:val="0"/>
          <w:numId w:val="5"/>
        </w:numPr>
        <w:tabs>
          <w:tab w:val="clear" w:pos="851"/>
          <w:tab w:val="num" w:pos="1512"/>
        </w:tabs>
        <w:autoSpaceDE w:val="0"/>
        <w:autoSpaceDN w:val="0"/>
        <w:adjustRightInd w:val="0"/>
        <w:spacing w:beforeLines="60" w:before="144" w:afterLines="60" w:after="144" w:line="240" w:lineRule="auto"/>
        <w:ind w:left="1512"/>
        <w:contextualSpacing w:val="0"/>
        <w:jc w:val="left"/>
        <w:rPr>
          <w:rFonts w:ascii="Arial" w:eastAsiaTheme="minorEastAsia" w:hAnsi="Arial" w:cs="Arial"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sz w:val="20"/>
          <w:szCs w:val="24"/>
          <w:lang w:eastAsia="cs-CZ"/>
        </w:rPr>
        <w:t>pořízení nebo technické zhodnocení dlouhodobého hmotného a nehmotného majetku (dlouhodobým hmotným majetkem se rozumí majetek, jehož doba použitelnosti je delší než jeden rok a jehož ocenění převyšuje částku 40 tis. Kč; dlouhodobým nehmotným majetkem se rozumí majetek, jehož doba použitelnosti je delší než jeden rok a jehož ocenění převyšuje částku 60 tis. Kč)</w:t>
      </w:r>
    </w:p>
    <w:p w:rsidR="001A1392" w:rsidRPr="001A1392" w:rsidRDefault="001A1392" w:rsidP="001A1392">
      <w:pPr>
        <w:widowControl w:val="0"/>
        <w:numPr>
          <w:ilvl w:val="0"/>
          <w:numId w:val="5"/>
        </w:numPr>
        <w:tabs>
          <w:tab w:val="clear" w:pos="851"/>
          <w:tab w:val="num" w:pos="1512"/>
        </w:tabs>
        <w:autoSpaceDE w:val="0"/>
        <w:autoSpaceDN w:val="0"/>
        <w:adjustRightInd w:val="0"/>
        <w:spacing w:beforeLines="60" w:before="144" w:afterLines="60" w:after="144" w:line="240" w:lineRule="auto"/>
        <w:ind w:left="1512"/>
        <w:contextualSpacing w:val="0"/>
        <w:jc w:val="left"/>
        <w:rPr>
          <w:rFonts w:ascii="Arial" w:eastAsiaTheme="minorEastAsia" w:hAnsi="Arial" w:cs="Arial"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sz w:val="20"/>
          <w:szCs w:val="24"/>
          <w:lang w:eastAsia="cs-CZ"/>
        </w:rPr>
        <w:t>oprava majetku</w:t>
      </w:r>
    </w:p>
    <w:p w:rsidR="001A1392" w:rsidRPr="001A1392" w:rsidRDefault="001A1392" w:rsidP="001A1392">
      <w:pPr>
        <w:widowControl w:val="0"/>
        <w:numPr>
          <w:ilvl w:val="0"/>
          <w:numId w:val="5"/>
        </w:numPr>
        <w:tabs>
          <w:tab w:val="clear" w:pos="851"/>
          <w:tab w:val="num" w:pos="1512"/>
        </w:tabs>
        <w:autoSpaceDE w:val="0"/>
        <w:autoSpaceDN w:val="0"/>
        <w:adjustRightInd w:val="0"/>
        <w:spacing w:beforeLines="60" w:before="144" w:afterLines="60" w:after="144" w:line="240" w:lineRule="auto"/>
        <w:ind w:left="1512"/>
        <w:contextualSpacing w:val="0"/>
        <w:jc w:val="left"/>
        <w:rPr>
          <w:rFonts w:ascii="Arial" w:eastAsiaTheme="minorEastAsia" w:hAnsi="Arial" w:cs="Arial"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sz w:val="20"/>
          <w:szCs w:val="24"/>
          <w:lang w:eastAsia="cs-CZ"/>
        </w:rPr>
        <w:t>výdaje na publicitu Zlínského kraje</w:t>
      </w:r>
    </w:p>
    <w:p w:rsidR="001A1392" w:rsidRPr="001A1392" w:rsidRDefault="001A1392" w:rsidP="001A1392">
      <w:pPr>
        <w:widowControl w:val="0"/>
        <w:numPr>
          <w:ilvl w:val="0"/>
          <w:numId w:val="5"/>
        </w:numPr>
        <w:tabs>
          <w:tab w:val="clear" w:pos="851"/>
          <w:tab w:val="num" w:pos="1512"/>
        </w:tabs>
        <w:autoSpaceDE w:val="0"/>
        <w:autoSpaceDN w:val="0"/>
        <w:adjustRightInd w:val="0"/>
        <w:spacing w:beforeLines="60" w:before="144" w:afterLines="60" w:after="144" w:line="240" w:lineRule="auto"/>
        <w:ind w:left="1512"/>
        <w:contextualSpacing w:val="0"/>
        <w:jc w:val="left"/>
        <w:rPr>
          <w:rFonts w:ascii="Arial" w:eastAsiaTheme="minorEastAsia" w:hAnsi="Arial" w:cs="Arial"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sz w:val="20"/>
          <w:szCs w:val="24"/>
          <w:lang w:eastAsia="cs-CZ"/>
        </w:rPr>
        <w:t>daň silniční, daň z nemovitých věcí, daň z nabytí nemovitých věcí, poplatek za znečištění ovzduší, televizní a rozhlasový poplatek atp.</w:t>
      </w:r>
    </w:p>
    <w:p w:rsidR="001A1392" w:rsidRPr="001A1392" w:rsidRDefault="001A1392" w:rsidP="001A1392">
      <w:pPr>
        <w:widowControl w:val="0"/>
        <w:numPr>
          <w:ilvl w:val="0"/>
          <w:numId w:val="5"/>
        </w:numPr>
        <w:tabs>
          <w:tab w:val="clear" w:pos="851"/>
          <w:tab w:val="num" w:pos="1512"/>
        </w:tabs>
        <w:autoSpaceDE w:val="0"/>
        <w:autoSpaceDN w:val="0"/>
        <w:adjustRightInd w:val="0"/>
        <w:spacing w:beforeLines="60" w:before="144" w:afterLines="60" w:after="144" w:line="240" w:lineRule="auto"/>
        <w:ind w:left="1512"/>
        <w:contextualSpacing w:val="0"/>
        <w:jc w:val="left"/>
        <w:rPr>
          <w:rFonts w:ascii="Arial" w:eastAsiaTheme="minorEastAsia" w:hAnsi="Arial" w:cs="Arial"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sz w:val="20"/>
          <w:szCs w:val="24"/>
          <w:lang w:eastAsia="cs-CZ"/>
        </w:rPr>
        <w:t xml:space="preserve">výdaje na občerstvení, výdaje na stravu v rámci ubytování 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(mimo výdaje na projekty, z nichž je zřejmé, že tyto výdaje jsou přímo předmětem jejich opatření např. pro děti na aktivity konané v rámci akce, projektu, pro oceňované dárce krve)</w:t>
      </w:r>
    </w:p>
    <w:p w:rsidR="001A1392" w:rsidRPr="001A1392" w:rsidRDefault="001A1392" w:rsidP="001A1392">
      <w:pPr>
        <w:widowControl w:val="0"/>
        <w:numPr>
          <w:ilvl w:val="0"/>
          <w:numId w:val="5"/>
        </w:numPr>
        <w:tabs>
          <w:tab w:val="clear" w:pos="851"/>
          <w:tab w:val="num" w:pos="1512"/>
        </w:tabs>
        <w:autoSpaceDE w:val="0"/>
        <w:autoSpaceDN w:val="0"/>
        <w:adjustRightInd w:val="0"/>
        <w:spacing w:beforeLines="60" w:before="144" w:afterLines="60" w:after="144" w:line="240" w:lineRule="auto"/>
        <w:ind w:left="1512"/>
        <w:contextualSpacing w:val="0"/>
        <w:jc w:val="left"/>
        <w:rPr>
          <w:rFonts w:ascii="Arial" w:eastAsiaTheme="minorEastAsia" w:hAnsi="Arial" w:cs="Arial"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sz w:val="20"/>
          <w:szCs w:val="24"/>
          <w:lang w:eastAsia="cs-CZ"/>
        </w:rPr>
        <w:t xml:space="preserve">peněžité a věcné dary 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(to neplatí, pokud jde o odměny pro účastníky v rámci podporované akce, projektu a pro oceňované dárce krve)</w:t>
      </w:r>
    </w:p>
    <w:p w:rsidR="001A1392" w:rsidRPr="001A1392" w:rsidRDefault="001A1392" w:rsidP="001A1392">
      <w:pPr>
        <w:widowControl w:val="0"/>
        <w:numPr>
          <w:ilvl w:val="0"/>
          <w:numId w:val="5"/>
        </w:numPr>
        <w:tabs>
          <w:tab w:val="clear" w:pos="851"/>
          <w:tab w:val="num" w:pos="1512"/>
        </w:tabs>
        <w:autoSpaceDE w:val="0"/>
        <w:autoSpaceDN w:val="0"/>
        <w:adjustRightInd w:val="0"/>
        <w:spacing w:beforeLines="60" w:before="144" w:afterLines="60" w:after="144" w:line="240" w:lineRule="auto"/>
        <w:ind w:left="1512"/>
        <w:contextualSpacing w:val="0"/>
        <w:jc w:val="left"/>
        <w:rPr>
          <w:rFonts w:ascii="Arial" w:eastAsiaTheme="minorEastAsia" w:hAnsi="Arial" w:cs="Arial"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sz w:val="20"/>
          <w:szCs w:val="24"/>
          <w:lang w:eastAsia="cs-CZ"/>
        </w:rPr>
        <w:t>úhrada cestovních náhrad zaměstnancům v pracovním poměru a osobám (zaměstnancům), s nimiž je sjednána dohoda o pracích konaných mimo pracovní poměr</w:t>
      </w:r>
    </w:p>
    <w:p w:rsidR="001A1392" w:rsidRPr="001A1392" w:rsidRDefault="001A1392" w:rsidP="001A1392">
      <w:pPr>
        <w:widowControl w:val="0"/>
        <w:numPr>
          <w:ilvl w:val="0"/>
          <w:numId w:val="5"/>
        </w:numPr>
        <w:tabs>
          <w:tab w:val="clear" w:pos="851"/>
          <w:tab w:val="num" w:pos="1512"/>
        </w:tabs>
        <w:autoSpaceDE w:val="0"/>
        <w:autoSpaceDN w:val="0"/>
        <w:adjustRightInd w:val="0"/>
        <w:spacing w:beforeLines="60" w:before="144" w:afterLines="60" w:after="144" w:line="240" w:lineRule="auto"/>
        <w:ind w:left="1512"/>
        <w:contextualSpacing w:val="0"/>
        <w:jc w:val="left"/>
        <w:rPr>
          <w:rFonts w:ascii="Arial" w:eastAsiaTheme="minorEastAsia" w:hAnsi="Arial" w:cs="Arial"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sz w:val="20"/>
          <w:szCs w:val="24"/>
          <w:lang w:eastAsia="cs-CZ"/>
        </w:rPr>
        <w:t>nájemné prostor a kanceláří, ve kterých je provozována administrativní činnost organizace</w:t>
      </w:r>
    </w:p>
    <w:p w:rsidR="001A1392" w:rsidRPr="001A1392" w:rsidRDefault="001A1392" w:rsidP="001A1392">
      <w:pPr>
        <w:widowControl w:val="0"/>
        <w:numPr>
          <w:ilvl w:val="0"/>
          <w:numId w:val="5"/>
        </w:numPr>
        <w:tabs>
          <w:tab w:val="clear" w:pos="851"/>
          <w:tab w:val="num" w:pos="1512"/>
        </w:tabs>
        <w:autoSpaceDE w:val="0"/>
        <w:autoSpaceDN w:val="0"/>
        <w:adjustRightInd w:val="0"/>
        <w:spacing w:beforeLines="60" w:before="144" w:afterLines="60" w:after="144" w:line="240" w:lineRule="auto"/>
        <w:ind w:left="1512"/>
        <w:contextualSpacing w:val="0"/>
        <w:jc w:val="left"/>
        <w:rPr>
          <w:rFonts w:ascii="Arial" w:eastAsiaTheme="minorEastAsia" w:hAnsi="Arial" w:cs="Arial"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sz w:val="20"/>
          <w:szCs w:val="24"/>
          <w:lang w:eastAsia="cs-CZ"/>
        </w:rPr>
        <w:t>dotace jiným fyzickým a právnickým osobám</w:t>
      </w:r>
    </w:p>
    <w:p w:rsidR="001A1392" w:rsidRPr="001A1392" w:rsidRDefault="001A1392" w:rsidP="001A1392">
      <w:pPr>
        <w:widowControl w:val="0"/>
        <w:numPr>
          <w:ilvl w:val="0"/>
          <w:numId w:val="5"/>
        </w:numPr>
        <w:tabs>
          <w:tab w:val="clear" w:pos="851"/>
          <w:tab w:val="num" w:pos="1512"/>
        </w:tabs>
        <w:autoSpaceDE w:val="0"/>
        <w:autoSpaceDN w:val="0"/>
        <w:adjustRightInd w:val="0"/>
        <w:spacing w:beforeLines="60" w:before="144" w:afterLines="60" w:after="144" w:line="240" w:lineRule="auto"/>
        <w:ind w:left="1512"/>
        <w:contextualSpacing w:val="0"/>
        <w:jc w:val="left"/>
        <w:rPr>
          <w:rFonts w:ascii="Arial" w:eastAsiaTheme="minorEastAsia" w:hAnsi="Arial" w:cs="Arial"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sz w:val="20"/>
          <w:szCs w:val="24"/>
          <w:lang w:eastAsia="cs-CZ"/>
        </w:rPr>
        <w:t>poskytování úvěrů či půjček</w:t>
      </w:r>
    </w:p>
    <w:p w:rsidR="001A1392" w:rsidRPr="001A1392" w:rsidRDefault="001A1392" w:rsidP="001A1392">
      <w:pPr>
        <w:widowControl w:val="0"/>
        <w:numPr>
          <w:ilvl w:val="0"/>
          <w:numId w:val="5"/>
        </w:numPr>
        <w:tabs>
          <w:tab w:val="clear" w:pos="851"/>
          <w:tab w:val="num" w:pos="1512"/>
        </w:tabs>
        <w:autoSpaceDE w:val="0"/>
        <w:autoSpaceDN w:val="0"/>
        <w:adjustRightInd w:val="0"/>
        <w:spacing w:beforeLines="60" w:before="144" w:afterLines="60" w:after="144" w:line="240" w:lineRule="auto"/>
        <w:ind w:left="1512"/>
        <w:contextualSpacing w:val="0"/>
        <w:jc w:val="left"/>
        <w:rPr>
          <w:rFonts w:ascii="Arial" w:eastAsiaTheme="minorEastAsia" w:hAnsi="Arial" w:cs="Arial"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sz w:val="20"/>
          <w:szCs w:val="24"/>
          <w:lang w:eastAsia="cs-CZ"/>
        </w:rPr>
        <w:lastRenderedPageBreak/>
        <w:t xml:space="preserve">úhrada úroků z prodlení, mank a náhrad škod </w:t>
      </w:r>
    </w:p>
    <w:p w:rsidR="001A1392" w:rsidRPr="001A1392" w:rsidRDefault="001A1392" w:rsidP="001A1392">
      <w:pPr>
        <w:widowControl w:val="0"/>
        <w:numPr>
          <w:ilvl w:val="0"/>
          <w:numId w:val="5"/>
        </w:numPr>
        <w:tabs>
          <w:tab w:val="clear" w:pos="851"/>
          <w:tab w:val="num" w:pos="1512"/>
        </w:tabs>
        <w:autoSpaceDE w:val="0"/>
        <w:autoSpaceDN w:val="0"/>
        <w:adjustRightInd w:val="0"/>
        <w:spacing w:beforeLines="60" w:before="144" w:afterLines="60" w:after="144" w:line="240" w:lineRule="auto"/>
        <w:ind w:left="1512"/>
        <w:contextualSpacing w:val="0"/>
        <w:jc w:val="left"/>
        <w:rPr>
          <w:rFonts w:ascii="Arial" w:eastAsiaTheme="minorEastAsia" w:hAnsi="Arial" w:cs="Arial"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sz w:val="20"/>
          <w:szCs w:val="24"/>
          <w:lang w:eastAsia="cs-CZ"/>
        </w:rPr>
        <w:t>nákup alkoholických nápojů</w:t>
      </w:r>
    </w:p>
    <w:p w:rsidR="001A1392" w:rsidRPr="001A1392" w:rsidRDefault="001A1392" w:rsidP="001A1392">
      <w:pPr>
        <w:widowControl w:val="0"/>
        <w:numPr>
          <w:ilvl w:val="0"/>
          <w:numId w:val="5"/>
        </w:numPr>
        <w:tabs>
          <w:tab w:val="clear" w:pos="851"/>
          <w:tab w:val="num" w:pos="1512"/>
        </w:tabs>
        <w:autoSpaceDE w:val="0"/>
        <w:autoSpaceDN w:val="0"/>
        <w:adjustRightInd w:val="0"/>
        <w:spacing w:beforeLines="60" w:before="144" w:afterLines="60" w:after="144" w:line="240" w:lineRule="auto"/>
        <w:ind w:left="1512"/>
        <w:contextualSpacing w:val="0"/>
        <w:jc w:val="left"/>
        <w:rPr>
          <w:rFonts w:ascii="Arial" w:eastAsiaTheme="minorEastAsia" w:hAnsi="Arial" w:cs="Arial"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sz w:val="20"/>
          <w:szCs w:val="24"/>
          <w:lang w:eastAsia="cs-CZ"/>
        </w:rPr>
        <w:t xml:space="preserve">splátky úvěrů, půjček či leasingu (včetně úroků) </w:t>
      </w:r>
    </w:p>
    <w:p w:rsidR="001A1392" w:rsidRPr="001A1392" w:rsidRDefault="001A1392" w:rsidP="001A1392">
      <w:pPr>
        <w:widowControl w:val="0"/>
        <w:numPr>
          <w:ilvl w:val="0"/>
          <w:numId w:val="5"/>
        </w:numPr>
        <w:tabs>
          <w:tab w:val="clear" w:pos="851"/>
          <w:tab w:val="num" w:pos="1512"/>
        </w:tabs>
        <w:autoSpaceDE w:val="0"/>
        <w:autoSpaceDN w:val="0"/>
        <w:adjustRightInd w:val="0"/>
        <w:spacing w:beforeLines="60" w:before="144" w:afterLines="60" w:after="144" w:line="240" w:lineRule="auto"/>
        <w:ind w:left="1512"/>
        <w:contextualSpacing w:val="0"/>
        <w:jc w:val="left"/>
        <w:rPr>
          <w:rFonts w:ascii="Arial" w:eastAsiaTheme="minorEastAsia" w:hAnsi="Arial" w:cs="Arial"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sz w:val="20"/>
          <w:szCs w:val="24"/>
          <w:lang w:eastAsia="cs-CZ"/>
        </w:rPr>
        <w:t xml:space="preserve">úhrada soudních poplatků </w:t>
      </w:r>
    </w:p>
    <w:p w:rsidR="001A1392" w:rsidRPr="001A1392" w:rsidRDefault="001A1392" w:rsidP="001A1392">
      <w:pPr>
        <w:widowControl w:val="0"/>
        <w:numPr>
          <w:ilvl w:val="0"/>
          <w:numId w:val="5"/>
        </w:numPr>
        <w:tabs>
          <w:tab w:val="clear" w:pos="851"/>
          <w:tab w:val="num" w:pos="1512"/>
        </w:tabs>
        <w:autoSpaceDE w:val="0"/>
        <w:autoSpaceDN w:val="0"/>
        <w:adjustRightInd w:val="0"/>
        <w:spacing w:beforeLines="60" w:before="144" w:afterLines="60" w:after="144" w:line="240" w:lineRule="auto"/>
        <w:ind w:left="1512"/>
        <w:contextualSpacing w:val="0"/>
        <w:jc w:val="left"/>
        <w:rPr>
          <w:rFonts w:ascii="Arial" w:eastAsiaTheme="minorEastAsia" w:hAnsi="Arial" w:cs="Arial"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sz w:val="20"/>
          <w:szCs w:val="24"/>
          <w:lang w:eastAsia="cs-CZ"/>
        </w:rPr>
        <w:t>účetně nedoložitelné výdaje.</w:t>
      </w:r>
    </w:p>
    <w:p w:rsidR="001A1392" w:rsidRPr="001A1392" w:rsidRDefault="001A1392" w:rsidP="00003D8F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5.4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Příjemce je povinen v době realizace 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003D8F">
        <w:rPr>
          <w:rFonts w:ascii="Arial" w:eastAsiaTheme="minorEastAsia" w:hAnsi="Arial" w:cs="Arial"/>
          <w:b/>
          <w:sz w:val="20"/>
          <w:szCs w:val="20"/>
          <w:lang w:eastAsia="cs-CZ"/>
        </w:rPr>
        <w:t>Dotace ZK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“ (označeny musí být již originály dokladů). Příjemce je povinen umožnit poskytovateli na základě jeho požadavku provedení kontroly všech prvotních účetních dokladů za účelem prověření předloženého vyúčtování projektu. Poskytovatel bude vykonávat u příjemce kontrolu vyplývající ze zákona č. 320/2001 Sb., o finanční kontrole, ve znění pozdějších předpisů.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5.5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Ustanovení o dani z přidané hodnoty (dále jen „</w:t>
      </w:r>
      <w:r w:rsidRPr="001A1392">
        <w:rPr>
          <w:rFonts w:ascii="Arial" w:eastAsiaTheme="minorEastAsia" w:hAnsi="Arial" w:cs="Arial"/>
          <w:b/>
          <w:sz w:val="20"/>
          <w:szCs w:val="20"/>
          <w:lang w:eastAsia="cs-CZ"/>
        </w:rPr>
        <w:t>DPH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“) dle zákona č. 235/2004 Sb., o dani z přidané hodnoty, ve znění pozdějších předpisů (dále jen „</w:t>
      </w:r>
      <w:r w:rsidRPr="001A1392">
        <w:rPr>
          <w:rFonts w:ascii="Arial" w:eastAsiaTheme="minorEastAsia" w:hAnsi="Arial" w:cs="Arial"/>
          <w:b/>
          <w:sz w:val="20"/>
          <w:szCs w:val="20"/>
          <w:lang w:eastAsia="cs-CZ"/>
        </w:rPr>
        <w:t>zákon o DPH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“):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5.5.a)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DPH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je pro příjemce způsobilým výdajem, pokud příjemce není plátcem DPH nebo příjemci nevzniká nárok na odpočet DPH;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5.5.b)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v případě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, že výdaje projektu jsou způsobilými výdaji pouze z části, pak je DPH způsobilým výdajem ze stejné části;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5.5.c)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pokud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má příjemce nárok na odpočet v poměrné části nebo dle koeficientu, bude způsobilým výdajem část oprávněně neuplatněné DPH;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5.5.d)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v případě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, že před předložením Závěrečné zprávy dojde ke změně nároku na odpočet, musí příjemce tuto skutečnost promítnout do Závěrečné zprávy. Způsobilým výdajem je pak pouze oprávněně neuplatněná DPH;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5.5.e)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pokud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příjemce není plátcem DPH, ale stane se jím po předložení Závěrečné zprávy, a vznikne mu ve vztahu ke způsobilým výdajům projektu nárok na uplatnění odpočtu DPH, je povinen tuto skutečnost neprodleně oznámit poskytovateli a do 30 dnů od podání přiznání k DPH, v němž si nárokuje odpočet, částku DPH vrátit na účet poskytovatele;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5.5.f)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jestliže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se příjemce stane plátcem DPH v průběhu doby realizace, je povinen tuto skutečnost nejpozději se závěrečnou zprávou oznámit poskytovateli;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5.5.g)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v případech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, kdy je příjemce plátcem DPH a dotace bude použita v rámci ekonomické činnosti pro úhradu výdaje z titulu plnění, pro které je plátce povinen použít režim přenesení daňové povinnosti dle zákona o DPH, a DPH je způsobilým výdajem, doloží příjemce výši DPH poskytovateli vnitřním účetním dokladem s vyčíslením částky DPH, daňovým přiznáním k DPH, kontrolním hlášením a bankovním výpisem.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5.6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Příjemce je povinen do 15 dnů oznámit poskytovateli vstup právnické osoby do likvidace, zahájení insolvenčního řízení, exekučního řízení, či řízení o výkonu rozhodnutí.</w:t>
      </w:r>
      <w:r w:rsidRPr="001A1392">
        <w:rPr>
          <w:rFonts w:ascii="Arial" w:eastAsiaTheme="minorEastAsia" w:hAnsi="Arial" w:cs="Arial"/>
          <w:i/>
          <w:iCs/>
          <w:color w:val="5B9BD5"/>
          <w:sz w:val="16"/>
          <w:szCs w:val="16"/>
          <w:lang w:eastAsia="cs-CZ"/>
        </w:rPr>
        <w:t xml:space="preserve"> 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Příjemce je povinen oznámit poskytovateli přeměnu právnické osoby do 15 dnů ode dne rozhodnutí příslušného orgánu. 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5.7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 xml:space="preserve"> Příjemce je dále povinen: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5.7.a)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zajistit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, aby všechny údaje, které uvádí poskytovateli, byly vždy úplné a pravdivé,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5.7.b)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zabezpečit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archivaci veškeré dokumentace k projektu včetně účetnictví o projektu po dobu 10 let ode dne ukončení doby realizace dle čl. 2.2,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5.7.c)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dohodnout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s dodavateli v rámci projektu fakturační podmínky tak, aby byla doložena účelovost faktur včetně specifikace jednotlivých výdajů,</w:t>
      </w:r>
    </w:p>
    <w:p w:rsidR="001A1392" w:rsidRPr="001A1392" w:rsidRDefault="001A1392" w:rsidP="001A1392">
      <w:pPr>
        <w:keepNext/>
        <w:widowControl w:val="0"/>
        <w:tabs>
          <w:tab w:val="clear" w:pos="851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b/>
          <w:sz w:val="20"/>
          <w:szCs w:val="24"/>
          <w:lang w:eastAsia="cs-CZ"/>
        </w:rPr>
        <w:lastRenderedPageBreak/>
        <w:t>6.  Povinnosti příjemce při zajišťování publicity poskytovatele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6.1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6.2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Příjemce dává uzavřením Smlouvy poskytovateli souhlas se zveřejněním údajů o aktivitě financované z rozpočtu Zlínského kraje.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6.3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 xml:space="preserve">Příjemce získává uzavřením Smlouvy od poskytovatele souhlas s užitím loga Zlínského kraje, které je k dispozici na adrese </w:t>
      </w:r>
      <w:hyperlink r:id="rId7" w:history="1">
        <w:r w:rsidRPr="001A1392">
          <w:rPr>
            <w:rFonts w:ascii="Arial" w:eastAsiaTheme="minorEastAsia" w:hAnsi="Arial" w:cs="Arial"/>
            <w:color w:val="0563C1" w:themeColor="hyperlink"/>
            <w:sz w:val="20"/>
            <w:szCs w:val="20"/>
            <w:u w:val="single"/>
            <w:lang w:eastAsia="cs-CZ"/>
          </w:rPr>
          <w:t>https://www.kr-zlinsky.cz/logo-zlinskeho-kraje-ke-stazeni-cl-3386.html</w:t>
        </w:r>
      </w:hyperlink>
      <w:r w:rsidRPr="001A1392">
        <w:rPr>
          <w:rFonts w:ascii="Arial" w:eastAsiaTheme="minorEastAsia" w:hAnsi="Arial" w:cs="Arial"/>
          <w:sz w:val="20"/>
          <w:szCs w:val="20"/>
          <w:lang w:eastAsia="cs-CZ"/>
        </w:rPr>
        <w:t>. Logo bude umístěno na všech dokumentech souvisejících s realizací projektu, které budou propagovat aktivitu financovanou z rozpočtu Zlínského kraje.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6.4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Příjemce je povinen opatřit veškeré dokumenty související s realizací projektu (tiskové zprávy, plakáty, letáky, brožury, webové stránky, prezentace apod.) logem Zlínského kraje a/nebo formulací: „Název akce“ je financována/spolufinancována Zlínským krajem.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6.5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Příjemce je dále povinen prezentovat poskytovatele s využitím alespoň 1 prostředku komunikace, který doloží v Závěrečné zprávě: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6.5.a)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billboard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(doloží se fotografií a informací o období vyvěšení),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6.5.b)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informační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tabule (nástěnky, apod.), (doloží se kopií informace, která byla uveřejněna s uvedením doby uveřejnění),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6.5.c)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obecní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zpravodaj (doloží se originálem nebo kopií příslušného článku a informací, kdy byl publikován),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6.5.d)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pamětní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deska (doloží se fotografií a informací o datu umístění této desky),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6.5.e)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periodikum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vydávané ve smyslu zákona č. 46/2000 Sb., tiskový zákon, ve znění pozdějších předpisů (doloží se originálem nebo kopií příslušného článku a informací, kdy byl publikován),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6.5.f)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propagační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předměty (doloží se předložením propagačního předmětu),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6.5.g)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regionální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tisk (doloží se originálem či kopií příslušného článku a informací, kdy byl publikován),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6.5.h)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rozhlas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– obecní či regionální/celoplošné vysílání (doloží se přepisem hlášeného textu a informací o datu, kdy byla informace hlášena),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6.5.i)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televizní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informační kanál (doloží se písemnou informací o datu a čase, kdy byla informace v médiu uvedena a text této informace),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6.5.j)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úřední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deska (doloží se kopií informace, která byla uveřejněna, s uvedením doby uveřejnění),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6.5.k)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výroční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zpráva (doloží se originálem nebo kopií této zprávy či její části obsahující prezentaci poskytovatele),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6.5.l)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webové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stránky (doloží se odkazem na příslušné stránky s uvedením, kdy byla informace uveřejněna),</w:t>
      </w:r>
    </w:p>
    <w:p w:rsidR="001A1392" w:rsidRPr="001A1392" w:rsidRDefault="001A1392" w:rsidP="001A1392">
      <w:pPr>
        <w:keepNext/>
        <w:widowControl w:val="0"/>
        <w:tabs>
          <w:tab w:val="clear" w:pos="851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b/>
          <w:sz w:val="20"/>
          <w:szCs w:val="24"/>
          <w:lang w:eastAsia="cs-CZ"/>
        </w:rPr>
        <w:t>7.  Sankce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7.1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V případě porušení rozpočtové kázně ze strany příjemce bude poskytovatel postupovat v souladu s § 22 zákona č. 250/2000 Sb., o rozpočtových pravidlech územních rozpočtů, ve znění pozdějších předpisů (dále jen „</w:t>
      </w:r>
      <w:r w:rsidRPr="001A1392">
        <w:rPr>
          <w:rFonts w:ascii="Arial" w:eastAsiaTheme="minorEastAsia" w:hAnsi="Arial" w:cs="Arial"/>
          <w:b/>
          <w:sz w:val="20"/>
          <w:szCs w:val="20"/>
          <w:lang w:eastAsia="cs-CZ"/>
        </w:rPr>
        <w:t>zákon o rozpočtových pravidlech územních rozpočtů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“).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7.2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 xml:space="preserve">Za </w:t>
      </w: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porušení rozpočtové kázně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dle § 22 zákona o rozpočtových pravidlech územních rozpočtů, za který bude příjemci uložen </w:t>
      </w: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odvod ve výši poskytnuté dotace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, se považuje zejména pokud: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7.2.a)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příjemce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nedodrží účel dotace,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7.2.b)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příjemce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vůbec nedoloží úhrady výdajů,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7.2.c)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dojde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k podstatnému nenaplnění monitorovacího indikátoru dle čl. 3.2,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7.2.d)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příjemce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nepředloží Závěrečnou zprávu ani ve lhůtě 30 pracovních dní po uplynutí lhůty dle čl. 4.4,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7.2.e)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příjemce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poruší povinnost dle čl. 5.7,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lastRenderedPageBreak/>
        <w:t>7.3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 xml:space="preserve">Za </w:t>
      </w: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porušení rozpočtové kázně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dle § 22 zákona o rozpočtových pravidlech územních rozpočtů, za který bude příjemci uložen </w:t>
      </w: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odvod ve výši neoprávněně použitých nebo zadržených peněžních prostředků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, se považuje zejména pokud: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i/>
          <w:iCs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7.3.a)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příjemce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neodstraní nedostatky v předložené Závěrečné zprávě ani v náhradní lhůtě dle čl.  4.6, výše odvodu se v tomto případě rovná výši neoprávněně použitých nebo zadržených peněžních prostředků,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7.3.b)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příjemce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v rozporu s čl. 5.2 uhradí výdaje později než ve lhůtě stanovené pro předložení závěrečné zprávy. Za toto porušení bude příjemci uložen odvod ve výši takto opožděně uhrazené částky způsobilých výdajů. 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7.4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 xml:space="preserve">O </w:t>
      </w: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méně závažné porušení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rozpočtové kázně dle § 22 zákona o rozpočtových pravidlech územních rozpočtů, za které bude příjemci uložen snížený </w:t>
      </w: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odvod ve výši 5 %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z poskytnuté dotace, se jedná v případě, kdy: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7.4.a)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příjemce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předloží Závěrečnou zprávu ve lhůtě do 30 pracovních dní po uplynutí lhůty dle čl.  4.4,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7.4.b)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příjemce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poruší povinnosti dle čl. 6.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7.5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 xml:space="preserve">O </w:t>
      </w: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méně závažné porušení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rozpočtové kázně dle § 22 zákona o rozpočtových pravidlech územních rozpočtů, se dále jedná v případě, kdy: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7.5.a)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příjemce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odstraní nedostatky či nesrovnalosti v závěrečné zprávě až v náhradní lhůtě dle čl. 4.6. Příjemci bude uložen snížený odvod ve výši 5 % z částky dotace, které se týkaly odstraněné nedostatky či nesrovnalosti; pokud takový rozsah nelze stanovit, bude mu uložen odvod ve výši 5% ze schválené dotace, 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7.6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:rsidR="001A1392" w:rsidRPr="001A1392" w:rsidRDefault="001A1392" w:rsidP="001A1392">
      <w:pPr>
        <w:keepNext/>
        <w:widowControl w:val="0"/>
        <w:tabs>
          <w:tab w:val="clear" w:pos="851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b/>
          <w:sz w:val="20"/>
          <w:szCs w:val="24"/>
          <w:lang w:eastAsia="cs-CZ"/>
        </w:rPr>
        <w:t>8.  Změny podmínek smlouvy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8.1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Příjemce může změnit projekt bez předchozího souhlasu poskytovatele za předpokladu, že změny nejsou podstatného charakteru, a za podmínky zachování smyslu a účelu projektu. Nepodstatné změny projektu je příjemce povinen písemně oznámit poskytovateli bez zbytečného odkladu, nejpozději v Závěrečné zprávě. Nepodstatnými změnami jsou: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8.1.a)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změna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adresy nebo sídla příjemce, 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8.1.b)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změna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statutárního orgánu nebo kontaktní osoby,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8.1.c)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změna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názvu příjemce,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8.1.d)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změna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názvu projektu při zachování účelu a všech ostatních parametrů akce/projektu,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8.1.e)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částečné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nenaplnění monitorovacích indikátorů; maximální snížení monitorovacího indikátoru o 5 %, 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8.1.f)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změna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zdrojů nebo výše podílů těchto zdrojů na financování projektu (s výjimkou dotace od Zlínského kraje),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8.1.g)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změna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harmonogramu doby realizace, akce nebo aktivity (změnou harmonogramu nesmí dojít k překročení nejzazšího data doby realizace, akce nebo aktivity stanoveného ve Smlouvě a podpora nebude vyplacena před termínem ukončení doby realizace, akce nebo aktivity),</w:t>
      </w:r>
      <w:r w:rsidRPr="001A1392">
        <w:rPr>
          <w:rFonts w:ascii="Arial" w:eastAsiaTheme="minorEastAsia" w:hAnsi="Arial" w:cs="Arial"/>
          <w:sz w:val="16"/>
          <w:szCs w:val="16"/>
          <w:lang w:eastAsia="cs-CZ"/>
        </w:rPr>
        <w:t xml:space="preserve"> 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8.1.h)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změna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místa realizace akce, projektu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8.2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 xml:space="preserve">Změnu bankovního spojení oznámí příjemce poskytovateli písemně ve lhůtě do 15 dní ode dne, kdy ke změně došlo. Informace o změně účtu příjemce je pro poskytovatele závazná ode dne, kdy byla poskytovateli doručena. 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8.3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V 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 v přiměřené lhůtě, zpravidla minimálně 30 dnů před zasedáním příslušného orgánu kraje tak, aby bylo možné vypracování dodatku. Změny smlouvy je možné provádět pouze během plnění smlouvy a nelze je aplikovat se zpětnou účinností.</w:t>
      </w:r>
    </w:p>
    <w:p w:rsidR="001A1392" w:rsidRPr="001A1392" w:rsidRDefault="001A1392" w:rsidP="001A1392">
      <w:pPr>
        <w:keepNext/>
        <w:widowControl w:val="0"/>
        <w:tabs>
          <w:tab w:val="clear" w:pos="851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b/>
          <w:sz w:val="20"/>
          <w:szCs w:val="24"/>
          <w:lang w:eastAsia="cs-CZ"/>
        </w:rPr>
        <w:lastRenderedPageBreak/>
        <w:t>9.  Ukončení smlouvy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9.1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Smlouvu lze ukončit na základě písemné dohody obou smluvních stran nebo písemnou výpovědí smlouvy, a to za podmínek dále stanovených.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9.2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Poskytovatel je oprávněn vypovědět smlouvu jak před proplacením, tak i po proplacení dotace.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9.3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Výpovědním důvodem je porušení povinností příjemcem stanovených touto smlouvou nebo obecně závaznými právními předpisy. Porušením se rozumí zejména, pokud příjemce: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9.3.a)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nedodrží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účel dotace,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9.3.b)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svým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jednáním poruší rozpočtovou kázeň zejména dle čl. 7.2, ve smyslu zákona o rozpočtových pravidlech územních rozpočtů,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9.3.c)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příjemce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se opozdí s předložením závěrečné zprávy o více než 30 pracovních dnů oproti lhůtě dle čl. 4.4,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9.3.d)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je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9.3.e)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bylo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vůči příjemci zahájeno insolvenční řízení podle zákona č. 182/2006 Sb., o úpadku a způsobech jeho řešení, ve znění pozdějších předpisů, exekuční řízení či řízení o výkonu rozhodnutí,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9.3.f)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uvedl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nepravdivé, neúplné nebo zkreslené údaje, na které se váže uzavření této smlouvy,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9.3.g)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je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v likvidaci,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9.3.h)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změní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právní formu a stane se tak nezpůsobilým příjemcem pro danou oblast podpory,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9.3.i)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neplní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povinnosti stanovené smlouvou, i když byl k jejich nápravě vyzván poskytovatelem; v případě, že příjemce nesplní povinnost ze smlouvy, a toto nesplnění již nelze napravit (např. příjemce nedodrží konečný termín doby realizace) může poskytovatel smlouvu vypovědět i bez učinění předchozí výzvy k nápravě,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304" w:hanging="73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9.3.j)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nenaplní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 xml:space="preserve"> jednotlivý monitorovací indikátor o více než 5 %. 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9.4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9.5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9.6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Výpověď smlouvy musí být učiněna písemně a musí v ní být uvedeny důvody jejího udělení.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9.7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Výpovědní doba činí jeden měsíc a začne běžet od prvního dne měsíce následujícího po měsíci, v němž byla výpověď doručena příjemci. Účinky doručení pro účely této smlouvy však nastávají i tehdy, pokud příjemce svým jednáním nebo opomenutím doručení zmařil.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9.8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9.9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Příjemce je oprávněn tuto smlouvu kdykoliv písemně vypovědět i bez udání důvodů, přičemž výpověď je účinná dnem jejího doručení poskytovateli. V takovém případě je příjemce povinen vrátit poskytnutou částku dotace poskytovateli do 15 dnů ode dne účinnosti výpovědi.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9.10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9.11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Smlouva zaniká také z důvodů uvedených v § 167 odst. 1 písm. b) až e) zákona č. 500/2004 Sb., správní řád, ve znění pozdějších předpisů. Návrh na zrušení smlouvy musí být učiněn písemně a musí v něm být uvedeny důvody, které vedou k zániku smlouvy.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lastRenderedPageBreak/>
        <w:t>9.12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Pokud příjemce ve stanovené lhůtě poskytnuté prostředky nevrátí v souladu s tímto článkem poskytovateli, považují se tyto prostředky za zadržené ve smyslu zákona o rozpočtových pravidlech územních rozpočtů.</w:t>
      </w:r>
    </w:p>
    <w:p w:rsidR="001A1392" w:rsidRPr="001A1392" w:rsidRDefault="001A1392" w:rsidP="001A1392">
      <w:pPr>
        <w:keepNext/>
        <w:widowControl w:val="0"/>
        <w:tabs>
          <w:tab w:val="clear" w:pos="851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4"/>
          <w:lang w:eastAsia="cs-CZ"/>
        </w:rPr>
      </w:pPr>
      <w:r w:rsidRPr="001A1392">
        <w:rPr>
          <w:rFonts w:ascii="Arial" w:eastAsiaTheme="minorEastAsia" w:hAnsi="Arial" w:cs="Arial"/>
          <w:b/>
          <w:sz w:val="20"/>
          <w:szCs w:val="24"/>
          <w:lang w:eastAsia="cs-CZ"/>
        </w:rPr>
        <w:t>10.  Závěrečná ustanovení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10.1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 xml:space="preserve">Jako kontaktní místo poskytovatele se pro účely této smlouvy stanovuje: Krajský úřad Zlínského kraje, odbor sociálních věcí, Jana Lajzová, tel.: 577 043 328, e-mail: </w:t>
      </w:r>
      <w:r w:rsidR="00436CD0" w:rsidRPr="00FB744D">
        <w:rPr>
          <w:rFonts w:ascii="Arial" w:eastAsiaTheme="minorEastAsia" w:hAnsi="Arial" w:cs="Arial"/>
          <w:sz w:val="20"/>
          <w:szCs w:val="20"/>
          <w:lang w:eastAsia="cs-CZ"/>
        </w:rPr>
        <w:t>jana.lajzova@</w:t>
      </w:r>
      <w:r w:rsidR="00436CD0">
        <w:rPr>
          <w:rFonts w:ascii="Arial" w:eastAsiaTheme="minorEastAsia" w:hAnsi="Arial" w:cs="Arial"/>
          <w:sz w:val="20"/>
          <w:szCs w:val="20"/>
          <w:lang w:eastAsia="cs-CZ"/>
        </w:rPr>
        <w:t>zlinskykraj</w:t>
      </w:r>
      <w:r w:rsidR="00436CD0" w:rsidRPr="00FB744D">
        <w:rPr>
          <w:rFonts w:ascii="Arial" w:eastAsiaTheme="minorEastAsia" w:hAnsi="Arial" w:cs="Arial"/>
          <w:sz w:val="20"/>
          <w:szCs w:val="20"/>
          <w:lang w:eastAsia="cs-CZ"/>
        </w:rPr>
        <w:t>.cz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10.2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V případě rozporu mezi skutečnostmi uvedenými v programu a ustanoveními této smlouvy, se přednostně aplikují ustanovení této smlouvy.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10.3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Právní vztahy, které nejsou přímo upraveny touto smlouvou, se řídí příslušnými ustanoveními zákona č. 500/2004 Sb., správní řád, ve znění pozdějších předpisů, zákona o rozpočtových pravidlech územních rozpočtů a dalšími obecně závaznými předpisy.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10.4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Tato smlouva byla uzavřena na základě svobodné vůle, nebyla uzavřena v tísni za nápadně nevýhodných podmínek.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10.5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>Smlouva je vyhotovena ve čtyřech stejnopisech, z nichž každý má platnost originálu. Tři vyhotovení obdrží poskytovatel a jedno vyhotovení obdrží příjemce.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10.6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 xml:space="preserve">Smlouva podléhá zveřejnění v registru smluv v souladu se zákonem č. 340/2015 Sb., zákon o registru smluv, ve znění pozdějších předpisů. Smluvní strany se dohodly, že poskytovatel odešle v zákonné lhůtě smlouvu k řádnému uveřejnění do registru smluv. O uveřejnění smlouvy bude příjemce bezodkladně informován. 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10.7</w:t>
      </w:r>
      <w:r w:rsidRPr="001A1392">
        <w:rPr>
          <w:rFonts w:ascii="Arial" w:eastAsiaTheme="minorEastAsia" w:hAnsi="Arial" w:cs="Arial"/>
          <w:sz w:val="20"/>
          <w:szCs w:val="20"/>
          <w:lang w:eastAsia="cs-CZ"/>
        </w:rPr>
        <w:tab/>
        <w:t xml:space="preserve">Tato smlouva nabývá účinnosti dnem zveřejnění v registru smluv. 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:rsidR="001A1392" w:rsidRPr="001A1392" w:rsidRDefault="001A1392" w:rsidP="001A1392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23 zákona č. 129/2000 Sb., o krajích, ve znění pozdějších předpisů</w:t>
      </w:r>
    </w:p>
    <w:p w:rsidR="001A1392" w:rsidRPr="001A1392" w:rsidRDefault="001A1392" w:rsidP="001A1392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Schváleno orgánem kraje: Rada Zlínského kraje</w:t>
      </w:r>
    </w:p>
    <w:p w:rsidR="001A1392" w:rsidRPr="001A1392" w:rsidRDefault="001A1392" w:rsidP="001A1392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Datum jednání a číslo usnesení: </w:t>
      </w:r>
      <w:proofErr w:type="gramStart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3.4.2023</w:t>
      </w:r>
      <w:proofErr w:type="gramEnd"/>
      <w:r w:rsidRPr="001A1392">
        <w:rPr>
          <w:rFonts w:ascii="Arial" w:eastAsiaTheme="minorEastAsia" w:hAnsi="Arial" w:cs="Arial"/>
          <w:sz w:val="20"/>
          <w:szCs w:val="20"/>
          <w:lang w:eastAsia="cs-CZ"/>
        </w:rPr>
        <w:t>, č. usnesení 0315/R08/23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:rsidR="001A1392" w:rsidRPr="001A1392" w:rsidRDefault="001A1392" w:rsidP="001A1392">
      <w:pPr>
        <w:widowControl w:val="0"/>
        <w:tabs>
          <w:tab w:val="clear" w:pos="851"/>
          <w:tab w:val="left" w:pos="4820"/>
        </w:tabs>
        <w:autoSpaceDE w:val="0"/>
        <w:autoSpaceDN w:val="0"/>
        <w:adjustRightInd w:val="0"/>
        <w:spacing w:before="120" w:line="240" w:lineRule="auto"/>
        <w:ind w:firstLine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1A1392">
        <w:rPr>
          <w:rFonts w:ascii="Arial" w:eastAsia="Times New Roman" w:hAnsi="Arial" w:cs="Arial"/>
          <w:sz w:val="20"/>
          <w:szCs w:val="20"/>
          <w:lang w:eastAsia="cs-CZ"/>
        </w:rPr>
        <w:t xml:space="preserve">Zlín, dne </w:t>
      </w:r>
      <w:r w:rsidR="006A4E0F">
        <w:rPr>
          <w:rFonts w:ascii="Arial" w:eastAsia="Times New Roman" w:hAnsi="Arial" w:cs="Arial"/>
          <w:sz w:val="20"/>
          <w:szCs w:val="20"/>
          <w:lang w:eastAsia="cs-CZ"/>
        </w:rPr>
        <w:t>19.06.2023</w:t>
      </w:r>
      <w:r w:rsidRPr="001A1392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Zlín, dne </w:t>
      </w:r>
      <w:r w:rsidR="006A4E0F">
        <w:rPr>
          <w:rFonts w:ascii="Arial" w:eastAsia="Times New Roman" w:hAnsi="Arial" w:cs="Arial"/>
          <w:sz w:val="20"/>
          <w:szCs w:val="20"/>
          <w:lang w:eastAsia="cs-CZ"/>
        </w:rPr>
        <w:t>09.06.2023</w:t>
      </w:r>
      <w:bookmarkStart w:id="0" w:name="_GoBack"/>
      <w:bookmarkEnd w:id="0"/>
    </w:p>
    <w:p w:rsidR="001A1392" w:rsidRPr="001A1392" w:rsidRDefault="001A1392" w:rsidP="001A1392">
      <w:pPr>
        <w:widowControl w:val="0"/>
        <w:tabs>
          <w:tab w:val="clear" w:pos="851"/>
          <w:tab w:val="left" w:pos="4820"/>
        </w:tabs>
        <w:autoSpaceDE w:val="0"/>
        <w:autoSpaceDN w:val="0"/>
        <w:adjustRightInd w:val="0"/>
        <w:spacing w:before="120" w:line="240" w:lineRule="auto"/>
        <w:ind w:firstLine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1A1392">
        <w:rPr>
          <w:rFonts w:ascii="Arial" w:eastAsia="Times New Roman" w:hAnsi="Arial" w:cs="Arial"/>
          <w:sz w:val="20"/>
          <w:szCs w:val="20"/>
          <w:lang w:eastAsia="cs-CZ"/>
        </w:rPr>
        <w:t>za poskytovatele</w:t>
      </w:r>
      <w:r w:rsidRPr="001A1392">
        <w:rPr>
          <w:rFonts w:ascii="Arial" w:eastAsia="Times New Roman" w:hAnsi="Arial" w:cs="Arial"/>
          <w:sz w:val="20"/>
          <w:szCs w:val="20"/>
          <w:lang w:eastAsia="cs-CZ"/>
        </w:rPr>
        <w:tab/>
        <w:t>za příjemce</w:t>
      </w:r>
    </w:p>
    <w:p w:rsidR="001A1392" w:rsidRPr="001A1392" w:rsidRDefault="001A1392" w:rsidP="001A1392">
      <w:pPr>
        <w:widowControl w:val="0"/>
        <w:tabs>
          <w:tab w:val="clear" w:pos="851"/>
          <w:tab w:val="left" w:pos="4820"/>
        </w:tabs>
        <w:autoSpaceDE w:val="0"/>
        <w:autoSpaceDN w:val="0"/>
        <w:adjustRightInd w:val="0"/>
        <w:spacing w:before="120" w:line="240" w:lineRule="auto"/>
        <w:ind w:firstLine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1A1392" w:rsidRPr="001A1392" w:rsidRDefault="001A1392" w:rsidP="001A1392">
      <w:pPr>
        <w:widowControl w:val="0"/>
        <w:tabs>
          <w:tab w:val="clear" w:pos="851"/>
          <w:tab w:val="left" w:pos="4820"/>
        </w:tabs>
        <w:autoSpaceDE w:val="0"/>
        <w:autoSpaceDN w:val="0"/>
        <w:adjustRightInd w:val="0"/>
        <w:spacing w:before="120" w:line="240" w:lineRule="auto"/>
        <w:ind w:firstLine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1A1392" w:rsidRPr="001A1392" w:rsidRDefault="001A1392" w:rsidP="001A1392">
      <w:pPr>
        <w:widowControl w:val="0"/>
        <w:tabs>
          <w:tab w:val="clear" w:pos="851"/>
          <w:tab w:val="left" w:pos="4820"/>
        </w:tabs>
        <w:autoSpaceDE w:val="0"/>
        <w:autoSpaceDN w:val="0"/>
        <w:adjustRightInd w:val="0"/>
        <w:spacing w:before="120" w:line="240" w:lineRule="auto"/>
        <w:ind w:firstLine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1A1392" w:rsidRPr="001A1392" w:rsidRDefault="001A1392" w:rsidP="001A1392">
      <w:pPr>
        <w:widowControl w:val="0"/>
        <w:tabs>
          <w:tab w:val="clear" w:pos="851"/>
          <w:tab w:val="left" w:pos="4820"/>
        </w:tabs>
        <w:autoSpaceDE w:val="0"/>
        <w:autoSpaceDN w:val="0"/>
        <w:adjustRightInd w:val="0"/>
        <w:spacing w:before="120" w:line="240" w:lineRule="auto"/>
        <w:ind w:firstLine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1A1392" w:rsidRPr="001A1392" w:rsidRDefault="001A1392" w:rsidP="001A1392">
      <w:pPr>
        <w:widowControl w:val="0"/>
        <w:tabs>
          <w:tab w:val="clear" w:pos="851"/>
          <w:tab w:val="left" w:pos="4820"/>
        </w:tabs>
        <w:autoSpaceDE w:val="0"/>
        <w:autoSpaceDN w:val="0"/>
        <w:adjustRightInd w:val="0"/>
        <w:spacing w:before="120" w:line="240" w:lineRule="auto"/>
        <w:ind w:firstLine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1A1392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</w:t>
      </w:r>
      <w:r w:rsidRPr="001A1392">
        <w:rPr>
          <w:rFonts w:ascii="Arial" w:eastAsia="Times New Roman" w:hAnsi="Arial" w:cs="Arial"/>
          <w:sz w:val="20"/>
          <w:szCs w:val="20"/>
          <w:lang w:eastAsia="cs-CZ"/>
        </w:rPr>
        <w:tab/>
        <w:t>.........................................</w:t>
      </w:r>
    </w:p>
    <w:p w:rsidR="001A1392" w:rsidRPr="001A1392" w:rsidRDefault="001A1392" w:rsidP="001A1392">
      <w:pPr>
        <w:widowControl w:val="0"/>
        <w:tabs>
          <w:tab w:val="clear" w:pos="851"/>
          <w:tab w:val="left" w:pos="4820"/>
        </w:tabs>
        <w:autoSpaceDE w:val="0"/>
        <w:autoSpaceDN w:val="0"/>
        <w:adjustRightInd w:val="0"/>
        <w:spacing w:before="120" w:line="240" w:lineRule="auto"/>
        <w:ind w:firstLine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v z. Bc. Hana Ančincová</w:t>
      </w:r>
      <w:r w:rsidRPr="001A1392">
        <w:rPr>
          <w:rFonts w:ascii="Arial" w:eastAsia="Times New Roman" w:hAnsi="Arial" w:cs="Arial"/>
          <w:sz w:val="20"/>
          <w:szCs w:val="20"/>
          <w:lang w:eastAsia="cs-CZ"/>
        </w:rPr>
        <w:tab/>
        <w:t>Bc. Michaela Slavíková</w:t>
      </w:r>
    </w:p>
    <w:p w:rsidR="001A1392" w:rsidRPr="001A1392" w:rsidRDefault="001A1392" w:rsidP="001A1392">
      <w:pPr>
        <w:widowControl w:val="0"/>
        <w:tabs>
          <w:tab w:val="clear" w:pos="851"/>
          <w:tab w:val="left" w:pos="4820"/>
        </w:tabs>
        <w:autoSpaceDE w:val="0"/>
        <w:autoSpaceDN w:val="0"/>
        <w:adjustRightInd w:val="0"/>
        <w:spacing w:before="120" w:line="240" w:lineRule="auto"/>
        <w:ind w:firstLine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1A1392">
        <w:rPr>
          <w:rFonts w:ascii="Arial" w:eastAsiaTheme="minorEastAsia" w:hAnsi="Arial" w:cs="Arial"/>
          <w:sz w:val="20"/>
          <w:szCs w:val="20"/>
          <w:lang w:eastAsia="cs-CZ"/>
        </w:rPr>
        <w:t>statutární náměstkyně hejtmana</w:t>
      </w:r>
      <w:r w:rsidRPr="001A1392">
        <w:rPr>
          <w:rFonts w:ascii="Arial" w:eastAsia="Times New Roman" w:hAnsi="Arial" w:cs="Arial"/>
          <w:sz w:val="20"/>
          <w:szCs w:val="20"/>
          <w:lang w:eastAsia="cs-CZ"/>
        </w:rPr>
        <w:tab/>
        <w:t>ředitelka</w:t>
      </w: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:rsidR="001A1392" w:rsidRPr="001A1392" w:rsidRDefault="001A1392" w:rsidP="001A1392">
      <w:pPr>
        <w:tabs>
          <w:tab w:val="clear" w:pos="851"/>
        </w:tabs>
        <w:autoSpaceDE w:val="0"/>
        <w:autoSpaceDN w:val="0"/>
        <w:adjustRightInd w:val="0"/>
        <w:spacing w:before="60" w:after="60"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  <w:sectPr w:rsidR="001A1392" w:rsidRPr="001A1392" w:rsidSect="0035109F">
          <w:footerReference w:type="default" r:id="rId8"/>
          <w:pgSz w:w="12240" w:h="15840"/>
          <w:pgMar w:top="1276" w:right="1417" w:bottom="1276" w:left="1417" w:header="708" w:footer="708" w:gutter="0"/>
          <w:pgNumType w:start="1"/>
          <w:cols w:space="708"/>
          <w:noEndnote/>
        </w:sectPr>
      </w:pPr>
    </w:p>
    <w:p w:rsidR="003A0033" w:rsidRPr="001A1392" w:rsidRDefault="003A0033" w:rsidP="001A1392"/>
    <w:sectPr w:rsidR="003A0033" w:rsidRPr="001A1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C9" w:rsidRDefault="00436CD0">
      <w:pPr>
        <w:spacing w:line="240" w:lineRule="auto"/>
      </w:pPr>
      <w:r>
        <w:separator/>
      </w:r>
    </w:p>
  </w:endnote>
  <w:endnote w:type="continuationSeparator" w:id="0">
    <w:p w:rsidR="001151C9" w:rsidRDefault="00436C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12A" w:rsidRDefault="001A1392" w:rsidP="0035109F">
    <w:pPr>
      <w:pStyle w:val="Zpat"/>
    </w:pPr>
    <w:r w:rsidRPr="00307FDB">
      <w:rPr>
        <w:sz w:val="16"/>
        <w:szCs w:val="16"/>
      </w:rPr>
      <w:fldChar w:fldCharType="begin"/>
    </w:r>
    <w:r w:rsidRPr="00307FDB">
      <w:rPr>
        <w:sz w:val="16"/>
        <w:szCs w:val="16"/>
      </w:rPr>
      <w:instrText>PAGE   \* MERGEFORMAT</w:instrText>
    </w:r>
    <w:r w:rsidRPr="00307FDB">
      <w:rPr>
        <w:sz w:val="16"/>
        <w:szCs w:val="16"/>
      </w:rPr>
      <w:fldChar w:fldCharType="separate"/>
    </w:r>
    <w:r w:rsidR="006A4E0F">
      <w:rPr>
        <w:noProof/>
        <w:sz w:val="16"/>
        <w:szCs w:val="16"/>
      </w:rPr>
      <w:t>9</w:t>
    </w:r>
    <w:r w:rsidRPr="00307FD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C9" w:rsidRDefault="00436CD0">
      <w:pPr>
        <w:spacing w:line="240" w:lineRule="auto"/>
      </w:pPr>
      <w:r>
        <w:separator/>
      </w:r>
    </w:p>
  </w:footnote>
  <w:footnote w:type="continuationSeparator" w:id="0">
    <w:p w:rsidR="001151C9" w:rsidRDefault="00436C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6DD4"/>
    <w:multiLevelType w:val="hybridMultilevel"/>
    <w:tmpl w:val="587E5AA0"/>
    <w:lvl w:ilvl="0" w:tplc="3E12910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hint="default"/>
        <w:color w:val="auto"/>
        <w:sz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  <w:rPr>
        <w:rFonts w:cs="Times New Roman"/>
      </w:rPr>
    </w:lvl>
  </w:abstractNum>
  <w:abstractNum w:abstractNumId="2" w15:restartNumberingAfterBreak="0">
    <w:nsid w:val="1E8D399F"/>
    <w:multiLevelType w:val="hybridMultilevel"/>
    <w:tmpl w:val="D9A88214"/>
    <w:lvl w:ilvl="0" w:tplc="81ECAB0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F2841"/>
    <w:multiLevelType w:val="multilevel"/>
    <w:tmpl w:val="DBC2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92"/>
    <w:rsid w:val="00003D8F"/>
    <w:rsid w:val="00047DA0"/>
    <w:rsid w:val="001151C9"/>
    <w:rsid w:val="0013529D"/>
    <w:rsid w:val="001A1392"/>
    <w:rsid w:val="003A0033"/>
    <w:rsid w:val="00436CD0"/>
    <w:rsid w:val="00443EE3"/>
    <w:rsid w:val="004442A3"/>
    <w:rsid w:val="00551FEB"/>
    <w:rsid w:val="006A4E0F"/>
    <w:rsid w:val="006C65BA"/>
    <w:rsid w:val="00707117"/>
    <w:rsid w:val="008A3194"/>
    <w:rsid w:val="008C7B7E"/>
    <w:rsid w:val="008D62BE"/>
    <w:rsid w:val="008E47EC"/>
    <w:rsid w:val="00CB0CD9"/>
    <w:rsid w:val="00EC7CD3"/>
    <w:rsid w:val="00F3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AD91"/>
  <w15:chartTrackingRefBased/>
  <w15:docId w15:val="{F242B678-7AB3-45C5-9EDE-8FA5E12C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65BA"/>
    <w:pPr>
      <w:tabs>
        <w:tab w:val="left" w:pos="851"/>
      </w:tabs>
      <w:spacing w:after="0" w:line="360" w:lineRule="auto"/>
      <w:ind w:firstLine="851"/>
      <w:contextualSpacing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707117"/>
    <w:pPr>
      <w:keepNext/>
      <w:keepLines/>
      <w:numPr>
        <w:numId w:val="3"/>
      </w:numPr>
      <w:spacing w:after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47EC"/>
    <w:pPr>
      <w:keepNext/>
      <w:keepLines/>
      <w:widowControl w:val="0"/>
      <w:tabs>
        <w:tab w:val="clear" w:pos="851"/>
      </w:tabs>
      <w:autoSpaceDE w:val="0"/>
      <w:autoSpaceDN w:val="0"/>
      <w:adjustRightInd w:val="0"/>
      <w:spacing w:before="40" w:line="240" w:lineRule="auto"/>
      <w:ind w:firstLine="0"/>
      <w:contextualSpacing w:val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7117"/>
    <w:pPr>
      <w:keepNext/>
      <w:keepLines/>
      <w:ind w:firstLine="0"/>
      <w:outlineLvl w:val="2"/>
    </w:pPr>
    <w:rPr>
      <w:rFonts w:eastAsiaTheme="majorEastAsia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7117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E47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07117"/>
    <w:rPr>
      <w:rFonts w:eastAsiaTheme="majorEastAsia" w:cstheme="majorBidi"/>
      <w:b/>
      <w:bCs/>
    </w:rPr>
  </w:style>
  <w:style w:type="paragraph" w:customStyle="1" w:styleId="Nadpisodstavce">
    <w:name w:val="Nadpis_odstavce"/>
    <w:basedOn w:val="Nadpis1"/>
    <w:link w:val="NadpisodstavceChar"/>
    <w:qFormat/>
    <w:rsid w:val="008E47EC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2E74B5" w:themeColor="accent1" w:themeShade="BF"/>
      <w:sz w:val="20"/>
      <w:szCs w:val="20"/>
    </w:rPr>
  </w:style>
  <w:style w:type="character" w:customStyle="1" w:styleId="NadpisodstavceChar">
    <w:name w:val="Nadpis_odstavce Char"/>
    <w:basedOn w:val="Nadpis1Char"/>
    <w:link w:val="Nadpisodstavce"/>
    <w:locked/>
    <w:rsid w:val="008E47EC"/>
    <w:rPr>
      <w:rFonts w:ascii="Arial" w:eastAsiaTheme="majorEastAsia" w:hAnsi="Arial" w:cs="Arial"/>
      <w:b/>
      <w:bCs/>
      <w:color w:val="2E74B5" w:themeColor="accent1" w:themeShade="BF"/>
      <w:sz w:val="20"/>
      <w:szCs w:val="20"/>
    </w:rPr>
  </w:style>
  <w:style w:type="paragraph" w:customStyle="1" w:styleId="odstavec">
    <w:name w:val="odstavec"/>
    <w:basedOn w:val="Normln"/>
    <w:link w:val="odstavecChar"/>
    <w:qFormat/>
    <w:rsid w:val="008E47EC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odstavecChar">
    <w:name w:val="odstavec Char"/>
    <w:basedOn w:val="Standardnpsmoodstavce"/>
    <w:link w:val="odstavec"/>
    <w:locked/>
    <w:rsid w:val="008E47EC"/>
    <w:rPr>
      <w:rFonts w:ascii="Arial" w:hAnsi="Arial" w:cs="Arial"/>
      <w:sz w:val="20"/>
      <w:szCs w:val="20"/>
    </w:rPr>
  </w:style>
  <w:style w:type="paragraph" w:styleId="Zpat">
    <w:name w:val="footer"/>
    <w:aliases w:val="SML_Zápatí_cisla_stranek"/>
    <w:basedOn w:val="Normln"/>
    <w:link w:val="ZpatChar"/>
    <w:uiPriority w:val="99"/>
    <w:unhideWhenUsed/>
    <w:rsid w:val="00551FEB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sz w:val="18"/>
      <w:szCs w:val="18"/>
    </w:rPr>
  </w:style>
  <w:style w:type="character" w:customStyle="1" w:styleId="ZpatChar">
    <w:name w:val="Zápatí Char"/>
    <w:aliases w:val="SML_Zápatí_cisla_stranek Char"/>
    <w:basedOn w:val="Standardnpsmoodstavce"/>
    <w:link w:val="Zpat"/>
    <w:uiPriority w:val="99"/>
    <w:rsid w:val="00551FEB"/>
    <w:rPr>
      <w:rFonts w:ascii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A3194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left"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A3194"/>
    <w:rPr>
      <w:rFonts w:ascii="Arial" w:hAnsi="Arial" w:cs="Arial"/>
      <w:sz w:val="24"/>
      <w:szCs w:val="24"/>
    </w:rPr>
  </w:style>
  <w:style w:type="paragraph" w:customStyle="1" w:styleId="SMLNadpisodstavce">
    <w:name w:val="SML_Nadpis_odstavce"/>
    <w:basedOn w:val="Nadpis1"/>
    <w:link w:val="SMLNadpisodstavceChar"/>
    <w:qFormat/>
    <w:rsid w:val="006C65BA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000000" w:themeColor="text1"/>
      <w:sz w:val="20"/>
      <w:szCs w:val="20"/>
    </w:rPr>
  </w:style>
  <w:style w:type="character" w:customStyle="1" w:styleId="SMLNadpisodstavceChar">
    <w:name w:val="SML_Nadpis_odstavce Char"/>
    <w:basedOn w:val="Nadpis1Char"/>
    <w:link w:val="SMLNadpisodstavce"/>
    <w:locked/>
    <w:rsid w:val="006C65BA"/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paragraph" w:customStyle="1" w:styleId="SMLodstavec">
    <w:name w:val="SML_odstavec"/>
    <w:basedOn w:val="Normln"/>
    <w:link w:val="SMLodstavecChar"/>
    <w:qFormat/>
    <w:rsid w:val="006C65BA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SMLodstavecChar">
    <w:name w:val="SML_odstavec Char"/>
    <w:basedOn w:val="Standardnpsmoodstavce"/>
    <w:link w:val="SMLodstavec"/>
    <w:locked/>
    <w:rsid w:val="006C65BA"/>
    <w:rPr>
      <w:rFonts w:ascii="Arial" w:hAnsi="Arial" w:cs="Arial"/>
      <w:sz w:val="20"/>
      <w:szCs w:val="20"/>
    </w:rPr>
  </w:style>
  <w:style w:type="paragraph" w:customStyle="1" w:styleId="SMLGENEROVANI">
    <w:name w:val="SML_GENEROVANI"/>
    <w:basedOn w:val="Normln"/>
    <w:link w:val="SMLGENEROVANIChar"/>
    <w:qFormat/>
    <w:rsid w:val="006C65BA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bCs/>
      <w:color w:val="FFFFFF" w:themeColor="background1"/>
      <w:sz w:val="16"/>
      <w:szCs w:val="16"/>
    </w:rPr>
  </w:style>
  <w:style w:type="character" w:customStyle="1" w:styleId="SMLGENEROVANIChar">
    <w:name w:val="SML_GENEROVANI Char"/>
    <w:basedOn w:val="Standardnpsmoodstavce"/>
    <w:link w:val="SMLGENEROVANI"/>
    <w:rsid w:val="006C65BA"/>
    <w:rPr>
      <w:rFonts w:ascii="Arial" w:hAnsi="Arial" w:cs="Arial"/>
      <w:bCs/>
      <w:color w:val="FFFFFF" w:themeColor="background1"/>
      <w:sz w:val="16"/>
      <w:szCs w:val="16"/>
    </w:rPr>
  </w:style>
  <w:style w:type="paragraph" w:customStyle="1" w:styleId="SMLhlavickadalsiradky">
    <w:name w:val="SML_hlavicka_dalsi_radky"/>
    <w:basedOn w:val="Normln"/>
    <w:link w:val="SMLhlavickadalsiradky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30" w:line="240" w:lineRule="auto"/>
      <w:ind w:left="255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hlavickadalsiradkyChar">
    <w:name w:val="SML_hlavicka_dalsi_radky Char"/>
    <w:basedOn w:val="Standardnpsmoodstavce"/>
    <w:link w:val="SMLhlavickadalsiradky"/>
    <w:rsid w:val="00443EE3"/>
    <w:rPr>
      <w:rFonts w:ascii="Arial" w:hAnsi="Arial" w:cs="Arial"/>
      <w:sz w:val="20"/>
      <w:szCs w:val="20"/>
    </w:rPr>
  </w:style>
  <w:style w:type="paragraph" w:customStyle="1" w:styleId="SMLhlavickaprvniradek">
    <w:name w:val="SML_hlavicka_prvni_radek"/>
    <w:basedOn w:val="Normln"/>
    <w:link w:val="SMLhlavickaprvniradekChar"/>
    <w:qFormat/>
    <w:rsid w:val="0013529D"/>
    <w:pPr>
      <w:widowControl w:val="0"/>
      <w:tabs>
        <w:tab w:val="clear" w:pos="851"/>
        <w:tab w:val="left" w:pos="426"/>
        <w:tab w:val="left" w:pos="2552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60" w:line="240" w:lineRule="auto"/>
      <w:ind w:left="2552" w:hanging="2552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hlavickaprvniradekChar">
    <w:name w:val="SML_hlavicka_prvni_radek Char"/>
    <w:basedOn w:val="Standardnpsmoodstavce"/>
    <w:link w:val="SMLhlavickaprvniradek"/>
    <w:rsid w:val="0013529D"/>
    <w:rPr>
      <w:rFonts w:ascii="Arial" w:hAnsi="Arial" w:cs="Arial"/>
      <w:b/>
      <w:bCs/>
      <w:sz w:val="20"/>
      <w:szCs w:val="20"/>
    </w:rPr>
  </w:style>
  <w:style w:type="paragraph" w:customStyle="1" w:styleId="SMLodrazky">
    <w:name w:val="SML_odrazky"/>
    <w:basedOn w:val="Normln"/>
    <w:link w:val="SMLodrazkyChar"/>
    <w:qFormat/>
    <w:rsid w:val="00443EE3"/>
    <w:pPr>
      <w:widowControl w:val="0"/>
      <w:tabs>
        <w:tab w:val="clear" w:pos="851"/>
        <w:tab w:val="left" w:pos="709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708" w:hanging="215"/>
      <w:contextualSpacing w:val="0"/>
    </w:pPr>
    <w:rPr>
      <w:rFonts w:ascii="Arial" w:hAnsi="Arial" w:cs="Arial"/>
      <w:sz w:val="20"/>
      <w:szCs w:val="20"/>
    </w:rPr>
  </w:style>
  <w:style w:type="character" w:customStyle="1" w:styleId="SMLodrazkyChar">
    <w:name w:val="SML_odrazky Char"/>
    <w:basedOn w:val="Standardnpsmoodstavce"/>
    <w:link w:val="SMLodrazky"/>
    <w:rsid w:val="00443EE3"/>
    <w:rPr>
      <w:rFonts w:ascii="Arial" w:hAnsi="Arial" w:cs="Arial"/>
      <w:sz w:val="20"/>
      <w:szCs w:val="20"/>
    </w:rPr>
  </w:style>
  <w:style w:type="paragraph" w:customStyle="1" w:styleId="SMLdolozkanadpis">
    <w:name w:val="SML_dolozka_nadpis"/>
    <w:basedOn w:val="Normln"/>
    <w:link w:val="SMLdolozkanadpis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dolozkanadpisChar">
    <w:name w:val="SML_dolozka_nadpis Char"/>
    <w:basedOn w:val="Standardnpsmoodstavce"/>
    <w:link w:val="SMLdolozkanadpis"/>
    <w:rsid w:val="00EC7CD3"/>
    <w:rPr>
      <w:rFonts w:ascii="Arial" w:hAnsi="Arial" w:cs="Arial"/>
      <w:b/>
      <w:bCs/>
      <w:sz w:val="20"/>
      <w:szCs w:val="20"/>
    </w:rPr>
  </w:style>
  <w:style w:type="paragraph" w:customStyle="1" w:styleId="SMLdolozkausneseni">
    <w:name w:val="SML_dolozka_usneseni"/>
    <w:basedOn w:val="Normln"/>
    <w:link w:val="SMLdolozkausneseni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dolozkausneseniChar">
    <w:name w:val="SML_dolozka_usneseni Char"/>
    <w:basedOn w:val="Standardnpsmoodstavce"/>
    <w:link w:val="SMLdolozkausneseni"/>
    <w:rsid w:val="00EC7CD3"/>
    <w:rPr>
      <w:rFonts w:ascii="Arial" w:hAnsi="Arial" w:cs="Arial"/>
      <w:sz w:val="20"/>
      <w:szCs w:val="20"/>
    </w:rPr>
  </w:style>
  <w:style w:type="paragraph" w:customStyle="1" w:styleId="SMLodrazkyDPH">
    <w:name w:val="SML_odrazky_DPH"/>
    <w:basedOn w:val="Normln"/>
    <w:link w:val="SMLodrazkyDPH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1134" w:right="14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odrazkyDPHChar">
    <w:name w:val="SML_odrazky_DPH Char"/>
    <w:basedOn w:val="Standardnpsmoodstavce"/>
    <w:link w:val="SMLodrazkyDPH"/>
    <w:rsid w:val="00443EE3"/>
    <w:rPr>
      <w:rFonts w:ascii="Arial" w:hAnsi="Arial" w:cs="Arial"/>
      <w:sz w:val="20"/>
      <w:szCs w:val="20"/>
    </w:rPr>
  </w:style>
  <w:style w:type="paragraph" w:customStyle="1" w:styleId="SMLodrazkypismena">
    <w:name w:val="SML_odrazky_pismena"/>
    <w:basedOn w:val="Normln"/>
    <w:link w:val="SMLodrazkypismenaChar"/>
    <w:qFormat/>
    <w:rsid w:val="00443EE3"/>
    <w:pPr>
      <w:tabs>
        <w:tab w:val="clear" w:pos="851"/>
        <w:tab w:val="left" w:pos="8928"/>
      </w:tabs>
      <w:autoSpaceDE w:val="0"/>
      <w:autoSpaceDN w:val="0"/>
      <w:adjustRightInd w:val="0"/>
      <w:spacing w:before="20" w:line="240" w:lineRule="auto"/>
      <w:ind w:left="850" w:hanging="357"/>
      <w:contextualSpacing w:val="0"/>
    </w:pPr>
    <w:rPr>
      <w:rFonts w:ascii="Arial" w:hAnsi="Arial" w:cs="Arial"/>
      <w:sz w:val="20"/>
      <w:szCs w:val="20"/>
    </w:rPr>
  </w:style>
  <w:style w:type="character" w:customStyle="1" w:styleId="SMLodrazkypismenaChar">
    <w:name w:val="SML_odrazky_pismena Char"/>
    <w:basedOn w:val="Standardnpsmoodstavce"/>
    <w:link w:val="SMLodrazkypismena"/>
    <w:locked/>
    <w:rsid w:val="00443EE3"/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0C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r-zlinsky.cz/logo-zlinskeho-kraje-ke-stazeni-cl-338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3650</Words>
  <Characters>21537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Pavlíčková Diana</dc:creator>
  <cp:keywords/>
  <dc:description/>
  <cp:lastModifiedBy>Lajzová Jana</cp:lastModifiedBy>
  <cp:revision>5</cp:revision>
  <cp:lastPrinted>2023-05-17T11:41:00Z</cp:lastPrinted>
  <dcterms:created xsi:type="dcterms:W3CDTF">2023-05-16T08:49:00Z</dcterms:created>
  <dcterms:modified xsi:type="dcterms:W3CDTF">2023-06-27T12:09:00Z</dcterms:modified>
</cp:coreProperties>
</file>