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 xml:space="preserve">Smlouva o poskytnutí dotace </w:t>
      </w:r>
    </w:p>
    <w:p w:rsidR="00335F83" w:rsidRPr="00335F83" w:rsidRDefault="00335F83" w:rsidP="00335F83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 w:val="0"/>
        <w:autoSpaceDN w:val="0"/>
        <w:adjustRightInd w:val="0"/>
        <w:spacing w:line="240" w:lineRule="auto"/>
        <w:ind w:firstLine="0"/>
        <w:contextualSpacing w:val="0"/>
        <w:jc w:val="center"/>
        <w:rPr>
          <w:rFonts w:ascii="Arial" w:eastAsiaTheme="minorEastAsia" w:hAnsi="Arial" w:cs="Arial"/>
          <w:color w:val="FFFFFF"/>
          <w:sz w:val="16"/>
          <w:szCs w:val="16"/>
          <w:lang w:eastAsia="cs-CZ"/>
        </w:rPr>
      </w:pPr>
      <w:r w:rsidRPr="00335F83">
        <w:rPr>
          <w:rFonts w:ascii="Arial" w:eastAsiaTheme="minorEastAsia" w:hAnsi="Arial" w:cs="Arial"/>
          <w:color w:val="FFFFFF"/>
          <w:sz w:val="16"/>
          <w:szCs w:val="16"/>
          <w:lang w:eastAsia="cs-CZ"/>
        </w:rPr>
        <w:t>00426326_Oblastní spolek Českého červeného kříže Zlín_SOC01-23/036</w:t>
      </w:r>
    </w:p>
    <w:p w:rsidR="00335F83" w:rsidRPr="00335F83" w:rsidRDefault="00335F83" w:rsidP="00335F83">
      <w:pPr>
        <w:tabs>
          <w:tab w:val="clear" w:pos="851"/>
          <w:tab w:val="left" w:pos="8928"/>
        </w:tabs>
        <w:autoSpaceDE w:val="0"/>
        <w:autoSpaceDN w:val="0"/>
        <w:adjustRightInd w:val="0"/>
        <w:spacing w:after="120"/>
        <w:ind w:firstLine="0"/>
        <w:contextualSpacing w:val="0"/>
        <w:jc w:val="center"/>
        <w:rPr>
          <w:rFonts w:ascii="Arial" w:eastAsiaTheme="minorEastAsia" w:hAnsi="Arial" w:cs="Arial"/>
          <w:b/>
          <w:bCs/>
          <w:sz w:val="28"/>
          <w:szCs w:val="28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8"/>
          <w:szCs w:val="28"/>
          <w:lang w:eastAsia="cs-CZ"/>
        </w:rPr>
        <w:t>č. D/3360/2023/SOC</w:t>
      </w:r>
    </w:p>
    <w:p w:rsidR="00335F83" w:rsidRPr="00335F83" w:rsidRDefault="00335F83" w:rsidP="00335F83">
      <w:pPr>
        <w:tabs>
          <w:tab w:val="clear" w:pos="851"/>
          <w:tab w:val="left" w:pos="8928"/>
        </w:tabs>
        <w:autoSpaceDE w:val="0"/>
        <w:autoSpaceDN w:val="0"/>
        <w:adjustRightInd w:val="0"/>
        <w:spacing w:before="72" w:after="120" w:line="276" w:lineRule="auto"/>
        <w:ind w:firstLine="0"/>
        <w:contextualSpacing w:val="0"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(uzavřená dle § 159 a násl. zákona č. 500/2004 Sb., správní řád, ve znění pozdějších předpisů)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mezi: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7484"/>
      </w:tblGrid>
      <w:tr w:rsidR="00335F83" w:rsidRPr="00335F83" w:rsidTr="001D3CD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Poskytovatel dotace: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35F83" w:rsidRPr="00A80EE7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A80EE7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Zlínský kraj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se sídlem ve Zlíně, tř. T. Bati 21, PSČ 761 90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zastupuje: Bc. Hana Ančincová, statutární náměstkyně hejtmana Zlínského kraje, po pověření hejtmanem Zlínského kraje Ing. Radimem Holišem, ze dne </w:t>
            </w:r>
            <w:proofErr w:type="gramStart"/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5.4.2023</w:t>
            </w:r>
            <w:proofErr w:type="gramEnd"/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70891320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bankovní spojení: Česká spořitelna, a. s. Zlín, 1827552/0800 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jen „</w:t>
            </w:r>
            <w:r w:rsidRPr="00335F8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a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line="276" w:lineRule="auto"/>
        <w:ind w:firstLine="0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7342"/>
      </w:tblGrid>
      <w:tr w:rsidR="00335F83" w:rsidRPr="00335F83" w:rsidTr="001D3CD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Příjemce dotace: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</w:tcPr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Oblastní spolek Českého červeného kříže Zlín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sídlo: Potoky 3314, 76001 Zlín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typ příjemce: PRÁVNICKÁ OSOBA - Pobočný spolek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IČO: 00426326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bankovní spojení: MONETA Money Bank, a. s., 44602724/0600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zastupuje: Anna Vařáková, předsedkyně Oblastní výkonné rady OS ČČK Zlín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zapsaný: Městský soud v Praze, oddíl L, vložka 39627</w:t>
            </w:r>
          </w:p>
          <w:p w:rsidR="00335F83" w:rsidRPr="00335F83" w:rsidRDefault="00335F83" w:rsidP="00335F83">
            <w:pPr>
              <w:tabs>
                <w:tab w:val="clear" w:pos="851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(dále jen „</w:t>
            </w:r>
            <w:r w:rsidRPr="00335F8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příjemce</w:t>
            </w:r>
            <w:r w:rsidRPr="00335F83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“)</w:t>
            </w:r>
          </w:p>
        </w:tc>
      </w:tr>
    </w:tbl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b/>
          <w:sz w:val="20"/>
          <w:szCs w:val="24"/>
          <w:lang w:eastAsia="cs-CZ"/>
        </w:rPr>
      </w:pP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1.  Předmět smlouvy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Poskytovatel se zavazuje poskytnout příjemci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neinvestiční</w:t>
      </w:r>
      <w:r w:rsidRPr="00335F83">
        <w:rPr>
          <w:rFonts w:ascii="Arial" w:eastAsiaTheme="minorEastAsia" w:hAnsi="Arial" w:cs="Arial"/>
          <w:i/>
          <w:iCs/>
          <w:color w:val="5B9BD5"/>
          <w:sz w:val="16"/>
          <w:szCs w:val="16"/>
          <w:lang w:eastAsia="cs-CZ"/>
        </w:rPr>
        <w:t xml:space="preserve"> </w:t>
      </w:r>
      <w:proofErr w:type="gramStart"/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dotaci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 z Fondu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Zlínského kraje (dále jen „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dotace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“) do výše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71</w:t>
      </w:r>
      <w:r w:rsidR="00906716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000,00 Kč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, (slovy: </w:t>
      </w:r>
      <w:proofErr w:type="spell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sedmdesátjedentisíckorunčeských</w:t>
      </w:r>
      <w:proofErr w:type="spell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 Kč), současně však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maximálně 70 % celkových způsobilých výdajů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na realizaci projektu: 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Oceňování bezpříspěvkových dárců krve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(dále jen „</w:t>
      </w:r>
      <w:r w:rsidRPr="00335F83">
        <w:rPr>
          <w:rFonts w:ascii="Arial" w:eastAsiaTheme="minorEastAsia" w:hAnsi="Arial" w:cs="Arial"/>
          <w:bCs/>
          <w:sz w:val="20"/>
          <w:szCs w:val="20"/>
          <w:lang w:eastAsia="cs-CZ"/>
        </w:rPr>
        <w:t>projekt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“), evidovaného pod registračním číslem žádosti o poskytnutí dotace 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SOC01-23/036</w:t>
      </w:r>
      <w:r w:rsidRPr="00335F83">
        <w:rPr>
          <w:rFonts w:ascii="Arial" w:eastAsiaTheme="minorEastAsia" w:hAnsi="Arial" w:cs="Arial"/>
          <w:bCs/>
          <w:sz w:val="20"/>
          <w:szCs w:val="20"/>
          <w:lang w:eastAsia="cs-CZ"/>
        </w:rPr>
        <w:t>, který je blíže popsán v žádosti o poskytnutí dotace.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Dotace je poskytována na základě programu na podporu sociálně zdravotních aktivit SOC01-22, schváleného Radou Zlínského kraje dne </w:t>
      </w: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19.12.2022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usnesením č. 1070/R37/22 (dále jen „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program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“).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se zavazuje zrealizovat projekt tak, jak je popsán v žádosti o poskytnutí dotace a v souladu se všemi podmínkami vyhlášeného programu.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2.  Doba realizace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2.1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Doba realizace začíná dnem </w:t>
      </w: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01.01.2023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2.2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Doba realizace končí dnem </w:t>
      </w: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30.11.2023</w:t>
      </w:r>
      <w:proofErr w:type="gramEnd"/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2.3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Způsobilé výdaje musí příjemci vzniknout v době realizace a musí jím být uhrazeny způsobem specifikovaným v odst. 5.2. 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3.  Monitorovací indikátory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3.1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Během doby realizace se příjemce zavazuje naplnit monitorovací indikátor projektu, jehož minimální závazná hodnota je uvedena v následující tabulce, a to nejpozději k datu ukončení doby realizace:</w:t>
      </w:r>
    </w:p>
    <w:tbl>
      <w:tblPr>
        <w:tblW w:w="4610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7"/>
        <w:gridCol w:w="1674"/>
        <w:gridCol w:w="3082"/>
      </w:tblGrid>
      <w:tr w:rsidR="00335F83" w:rsidRPr="00335F83" w:rsidTr="001D3CD4">
        <w:trPr>
          <w:trHeight w:val="426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  <w:tab w:val="left" w:pos="3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</w:pPr>
            <w:r w:rsidRPr="00335F83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cs-CZ"/>
              </w:rPr>
              <w:lastRenderedPageBreak/>
              <w:t>MONITOROVACÍ INDIKÁTORY - VÝSTUPY PROJEKTU</w:t>
            </w:r>
          </w:p>
        </w:tc>
      </w:tr>
      <w:tr w:rsidR="00335F83" w:rsidRPr="00335F83" w:rsidTr="001D3CD4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255" w:type="pct"/>
            <w:shd w:val="clear" w:color="auto" w:fill="C0C0C0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966" w:type="pct"/>
            <w:shd w:val="clear" w:color="auto" w:fill="C0C0C0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ascii="Arial" w:eastAsiaTheme="minorEastAsia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Theme="minorEastAsia" w:hAnsi="Arial" w:cs="Arial"/>
                <w:snapToGrid w:val="0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1779" w:type="pct"/>
            <w:shd w:val="clear" w:color="auto" w:fill="C0C0C0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  <w:t>minimální závazná hodnota</w:t>
            </w:r>
          </w:p>
        </w:tc>
      </w:tr>
      <w:tr w:rsidR="00335F83" w:rsidRPr="00335F83" w:rsidTr="001D3CD4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2255" w:type="pct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  <w:t>Oceněný dárce</w:t>
            </w:r>
          </w:p>
        </w:tc>
        <w:tc>
          <w:tcPr>
            <w:tcW w:w="966" w:type="pct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79" w:type="pct"/>
            <w:vAlign w:val="center"/>
          </w:tcPr>
          <w:p w:rsidR="00335F83" w:rsidRPr="00335F83" w:rsidRDefault="00335F83" w:rsidP="00335F83">
            <w:pPr>
              <w:widowControl w:val="0"/>
              <w:tabs>
                <w:tab w:val="clear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cs-CZ"/>
              </w:rPr>
            </w:pPr>
            <w:r w:rsidRPr="00335F83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cs-CZ"/>
              </w:rPr>
              <w:t>356 dárců</w:t>
            </w:r>
          </w:p>
        </w:tc>
      </w:tr>
    </w:tbl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12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3.2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Částečné nenaplnění kteréhokoliv monitorovacího indikátoru uvedeného v tabulce v předchozím odstavci,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maximálně však o 5 %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, zůstane-li zachován účel a smysl projektu, nebude považováno za porušení podmínek smlouvy. V případě překročení uvedené tolerance částečného nenaplnění monitorovacích indikátorů, se jedná o podstatné nenaplnění monitorovacích indikátorů.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3.3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V případě částečného nenaplnění monitorovacího indikátoru, dochází k poklesu výše dotace, a to o částku odpovídající součinu paušální sazby (maximální částky na jeden monitorovací indikátor) a počtu jednotek nesplněného monitorovacího indikátoru. V případě krácení dotace při částečném nenaplnění monitorovacího indikátoru dle výše uvedených pravidel, může klesnout minimální výše dotace na projekt pod finanční limit stanovený v bodě </w:t>
      </w: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4.4. programu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(</w:t>
      </w:r>
      <w:proofErr w:type="spell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tj</w:t>
      </w:r>
      <w:proofErr w:type="spell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10.000 Kč).</w:t>
      </w:r>
      <w:r w:rsidRPr="00335F83">
        <w:rPr>
          <w:rFonts w:ascii="Arial" w:eastAsiaTheme="minorEastAsia" w:hAnsi="Arial" w:cs="Arial"/>
          <w:b/>
          <w:bCs/>
          <w:spacing w:val="-10"/>
          <w:kern w:val="28"/>
          <w:sz w:val="28"/>
          <w:szCs w:val="28"/>
          <w:lang w:eastAsia="cs-CZ"/>
        </w:rPr>
        <w:t xml:space="preserve"> 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4.  Financování projektu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Dotace bude příjemci poskytnuta na účet uvedený v záhlaví této smlouvy následujícím způsobem, a to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 30 pracovních dnů po schválení Závěrečné zprávy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 vyúčtováním dotace předložené příjemcem dle čl. 4.4.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b/>
          <w:bCs/>
          <w:color w:val="0070C0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Konečná výše dotace vychází z finančního limitu na jednotku monitorovacího indikátoru stanovenou v podmínkách programu, která je paušální sazbou, a současně nepřesahuje 70 %</w:t>
      </w:r>
      <w:r w:rsidRPr="00335F83">
        <w:rPr>
          <w:rFonts w:ascii="Arial" w:eastAsiaTheme="minorEastAsia" w:hAnsi="Arial" w:cs="Arial"/>
          <w:color w:val="0070C0"/>
          <w:sz w:val="20"/>
          <w:szCs w:val="20"/>
          <w:lang w:eastAsia="cs-CZ"/>
        </w:rPr>
        <w:t xml:space="preserve">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celkových způsobilých výdajů projektu.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120" w:line="240" w:lineRule="auto"/>
        <w:ind w:left="567"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 xml:space="preserve">Dotace bude příjemci poskytnuta ve výši uvedené v čl. 1 odst. 1.1 pouze za předpokladu, že příjemce naplní závazný monitorovací indikátor uvedený v čl. 3. odst. 3.1, a současně bude dodržena procentní hranice celkových způsobilých výdajů.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120" w:line="240" w:lineRule="auto"/>
        <w:ind w:left="567"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Předpokládané celkové způsobilé výdaje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projektu činí </w:t>
      </w:r>
      <w:r w:rsidRPr="00335F83">
        <w:rPr>
          <w:rFonts w:ascii="Arial" w:eastAsiaTheme="minorEastAsia" w:hAnsi="Arial" w:cs="Arial"/>
          <w:b/>
          <w:sz w:val="20"/>
          <w:szCs w:val="20"/>
          <w:lang w:eastAsia="cs-CZ"/>
        </w:rPr>
        <w:t>171</w:t>
      </w:r>
      <w:r w:rsidR="00627FA2">
        <w:rPr>
          <w:rFonts w:ascii="Arial" w:eastAsiaTheme="minorEastAsia" w:hAnsi="Arial" w:cs="Arial"/>
          <w:b/>
          <w:sz w:val="20"/>
          <w:szCs w:val="20"/>
          <w:lang w:eastAsia="cs-CZ"/>
        </w:rPr>
        <w:t xml:space="preserve"> </w:t>
      </w:r>
      <w:r w:rsidRPr="00335F83">
        <w:rPr>
          <w:rFonts w:ascii="Arial" w:eastAsiaTheme="minorEastAsia" w:hAnsi="Arial" w:cs="Arial"/>
          <w:b/>
          <w:sz w:val="20"/>
          <w:szCs w:val="20"/>
          <w:lang w:eastAsia="cs-CZ"/>
        </w:rPr>
        <w:t>700,00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Kč. Pokud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skutečné celkové způsobilé výdaje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projektu překročí výši předpokládaných celkových způsobilých výdajů uvedenou v předchozí větě, uhradí příjemce částku tohoto překročení z vlastních zdrojů. </w:t>
      </w:r>
    </w:p>
    <w:p w:rsidR="00335F83" w:rsidRPr="00335F83" w:rsidRDefault="00335F83" w:rsidP="00335F83">
      <w:pPr>
        <w:widowControl w:val="0"/>
        <w:tabs>
          <w:tab w:val="clear" w:pos="851"/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autoSpaceDE w:val="0"/>
        <w:autoSpaceDN w:val="0"/>
        <w:adjustRightInd w:val="0"/>
        <w:spacing w:before="60" w:line="240" w:lineRule="auto"/>
        <w:ind w:left="567" w:firstLine="0"/>
        <w:contextualSpacing w:val="0"/>
        <w:rPr>
          <w:rFonts w:ascii="Arial" w:eastAsiaTheme="minorEastAsia" w:hAnsi="Arial" w:cs="Arial"/>
          <w:i/>
          <w:iCs/>
          <w:color w:val="7030A0"/>
          <w:sz w:val="16"/>
          <w:szCs w:val="16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Poklesnou-li skutečné celkové způsobilé výdaje projektu tak, že by peněžitá výše dotace uvedená v čl. I. odst. 1.1 činila více než 70 %</w:t>
      </w:r>
      <w:r w:rsidRPr="00335F83">
        <w:rPr>
          <w:rFonts w:ascii="Arial" w:eastAsiaTheme="minorEastAsia" w:hAnsi="Arial" w:cs="Arial"/>
          <w:i/>
          <w:iCs/>
          <w:color w:val="0070C0"/>
          <w:sz w:val="20"/>
          <w:szCs w:val="20"/>
          <w:lang w:eastAsia="cs-CZ"/>
        </w:rPr>
        <w:t xml:space="preserve">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ze skutečných celkových způsobilých výdajů, poklesne výše dotace uvedená v odst. 1.1 tak, aby zůstala zachována požadovaná maximální procentní výše dotace </w:t>
      </w: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a zároveň může klesnout minimální výše dotace na projekt pod finanční limit stanovený v bodě </w:t>
      </w:r>
      <w:proofErr w:type="gramStart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>4.4. programu</w:t>
      </w:r>
      <w:proofErr w:type="gramEnd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 (</w:t>
      </w:r>
      <w:proofErr w:type="spellStart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>tj</w:t>
      </w:r>
      <w:proofErr w:type="spellEnd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 10.000 Kč).</w:t>
      </w:r>
      <w:r w:rsidRPr="00335F83" w:rsidDel="00C0468B">
        <w:rPr>
          <w:rFonts w:ascii="Arial" w:eastAsiaTheme="minorEastAsia" w:hAnsi="Arial" w:cs="Arial"/>
          <w:sz w:val="20"/>
          <w:szCs w:val="24"/>
          <w:lang w:eastAsia="cs-CZ"/>
        </w:rPr>
        <w:t xml:space="preserve">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100 % skutečných celkových způsobilých výdajů.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Po ukončení doby realizace dle odst. 2.2 je příjemce povinen předložit Odboru sociálních věcí Krajského úřadu Zlínského kraje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závěrečnou zprávu, a to nejpozději do </w:t>
      </w:r>
      <w:proofErr w:type="gramStart"/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30.11.2023</w:t>
      </w:r>
      <w:proofErr w:type="gramEnd"/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Závěrečnou zprávou se rozumí předložení formuláře s vyplněnou tabulkou s výčtem všech celkových způsobilých výdajů projektu, a předložení všech potřebných dokladů uvedených ve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formuláři závěrečné zprávy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ve výši dotace a dokladů prokazujících jejich úhradu (tj. výpisy z bankovního účtu, výdajové a příjmové pokladní doklady).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firstLine="0"/>
        <w:contextualSpacing w:val="0"/>
        <w:rPr>
          <w:rFonts w:ascii="Arial" w:eastAsiaTheme="minorEastAsia" w:hAnsi="Arial" w:cs="Arial"/>
          <w:sz w:val="24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Formulář závěrečné zprávy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bude příjemci zaslán kontaktní osobou poskytovatele nejpozději do </w:t>
      </w:r>
      <w:proofErr w:type="gramStart"/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31.08.2023</w:t>
      </w:r>
      <w:proofErr w:type="gramEnd"/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4.6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případě, že poskytovatel neshledá v předložené Závěrečné zprávě nedostatky či nesrovnalosti, schválí ji do 30 pracovních dnů ode dne jejího předložení. Budou-li shledány nedostatky či nesrovnalosti, bude příjemce v této lhůtě poskytovatelem vyzván k jejich odstranění, a to do 20 pracovních dnů ode dne doručení výzvy. V případě, že příjemce v této lhůtě nedostatky či nesrovnalosti neodstraní, bude opětovně poskytovatelem vyzván k jejich odstranění v náhradní lhůtě, tj. do 20 pracovních dnů ode dne doručení výzvy příjemci.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lastRenderedPageBreak/>
        <w:t>5.  Podmínky použití dotace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oprávněn použít dotaci pouze k účelu uvedenému v čl. 1.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Způsobilými výdaji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jsou proplacená plnění, jež souvisejí s účelem, na který je dotace poskytnuta, a vyhovují zásadám účelnosti, efektivnosti a hospodárnosti podle zákona č. 320/2001 Sb., o finanční kontrole, ve znění pozdějších předpisů. Pro ověření způsobilosti mzdových výdajů je potřebné doložit výkazy práce, ze kterých bude patrný rozsah práce pro daný projekt. Způsobilé výdaje musí příjemci vzniknout v době realizace a být jím v této době i uhrazeny.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Nezpůsobilými výdaji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jsou zejména: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i/>
          <w:color w:val="0070C0"/>
          <w:sz w:val="16"/>
          <w:szCs w:val="16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v čase a místě neobvyklé mzdy a platy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i/>
          <w:color w:val="0070C0"/>
          <w:sz w:val="16"/>
          <w:szCs w:val="16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ubytování, které není určeno pro cílovou skupinu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ostatní osobní výdaje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(tj. odměny poskytované podle zvláštních právních předpisů v případech, kdy nevzniká pracovní vztah k zaměstnavateli; 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 ze zisku; částky, které zaměstnavatel refunduje jiným zaměstnavatelům k úhradě plnění zahrnovaných do OON) s výjimkou odměn z dohod o pracích konaných mimo pracovní poměr dle zákona č. 262/2006 Sb.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výdaje na zaměstnance, ke kterým nejsou zaměstnavatelé povinni dle zvláštních právních předpisů (příspěvky na penzijní/životní pojištění, příspěvky na rekreaci,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stravenky</w:t>
      </w:r>
      <w:r w:rsidRPr="00335F83">
        <w:rPr>
          <w:rFonts w:ascii="Arial" w:eastAsiaTheme="minorEastAsia" w:hAnsi="Arial" w:cs="Arial"/>
          <w:sz w:val="24"/>
          <w:szCs w:val="24"/>
          <w:lang w:eastAsia="cs-CZ"/>
        </w:rPr>
        <w:t xml:space="preserve"> </w:t>
      </w: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apod.)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výdaje na pořádání workshopů, </w:t>
      </w:r>
      <w:proofErr w:type="spellStart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>teambuildingů</w:t>
      </w:r>
      <w:proofErr w:type="spellEnd"/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, výjezdních zasedání apod.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výdaje na školení a kurzy, které nejsou určeny pro cílovou skupinu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dlužný úrok, pokuty a finanční sankce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výdaje na přípravné studie nebo jiné přípravné činnosti včetně zpracování Žádosti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pořízení nebo technické zhodnocení dlouhodobého hmotného a nehmotného majetku (dlouhodobým hmotným majetkem se rozumí majetek, jehož doba použitelnosti je delší než jeden rok a jehož ocenění převyšuje částku 40 tis. Kč; dlouhodobým nehmotným majetkem se rozumí majetek, jehož doba použitelnosti je delší než jeden rok a jehož ocenění převyšuje částku 60 tis. Kč)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oprava majetku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výdaje na publicitu Zlínského kraje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daň silniční, daň z nemovitých věcí, daň z nabytí nemovitých věcí, poplatek za znečištění ovzduší, televizní a rozhlasový poplatek atp.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výdaje na občerstvení, výdaje na stravu v rámci ubytování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(mimo výdaje na projekty, z nichž je zřejmé, že tyto výdaje jsou přímo předmětem jejich opatření např. pro děti na aktivity konané v rámci akce, projektu, pro oceňované dárce krve)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peněžité a věcné dary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(to neplatí, pokud jde o odměny pro účastníky v rámci podporované akce, projektu a pro oceňované dárce krve)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úhrada cestovních náhrad zaměstnancům v pracovním poměru a osobám (zaměstnancům), s nimiž je sjednána dohoda o pracích konaných mimo pracovní poměr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nájemné prostor a kanceláří, ve kterých je provozována administrativní činnost organizace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dotace jiným fyzickým a právnickým osobám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poskytování úvěrů či půjček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lastRenderedPageBreak/>
        <w:t xml:space="preserve">úhrada úroků z prodlení, mank a náhrad škod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nákup alkoholických nápojů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splátky úvěrů, půjček či leasingu (včetně úroků)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 xml:space="preserve">úhrada soudních poplatků </w:t>
      </w:r>
    </w:p>
    <w:p w:rsidR="00335F83" w:rsidRPr="00335F83" w:rsidRDefault="00335F83" w:rsidP="00335F83">
      <w:pPr>
        <w:widowControl w:val="0"/>
        <w:numPr>
          <w:ilvl w:val="0"/>
          <w:numId w:val="5"/>
        </w:numPr>
        <w:tabs>
          <w:tab w:val="clear" w:pos="851"/>
          <w:tab w:val="num" w:pos="1512"/>
        </w:tabs>
        <w:autoSpaceDE w:val="0"/>
        <w:autoSpaceDN w:val="0"/>
        <w:adjustRightInd w:val="0"/>
        <w:spacing w:beforeLines="60" w:before="144" w:afterLines="60" w:after="144" w:line="240" w:lineRule="auto"/>
        <w:ind w:left="1512"/>
        <w:contextualSpacing w:val="0"/>
        <w:jc w:val="left"/>
        <w:rPr>
          <w:rFonts w:ascii="Arial" w:eastAsiaTheme="minorEastAsia" w:hAnsi="Arial" w:cs="Arial"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sz w:val="20"/>
          <w:szCs w:val="24"/>
          <w:lang w:eastAsia="cs-CZ"/>
        </w:rPr>
        <w:t>účetně nedoložitelné výdaje.</w:t>
      </w:r>
    </w:p>
    <w:p w:rsidR="00335F83" w:rsidRPr="00335F83" w:rsidRDefault="00335F83" w:rsidP="00906716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povinen v době realizace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E466A">
        <w:rPr>
          <w:rFonts w:ascii="Arial" w:eastAsiaTheme="minorEastAsia" w:hAnsi="Arial" w:cs="Arial"/>
          <w:b/>
          <w:sz w:val="20"/>
          <w:szCs w:val="20"/>
          <w:lang w:eastAsia="cs-CZ"/>
        </w:rPr>
        <w:t>Dotace ZK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 (označeny musí být již originály dokladů). Příjemce je povinen umožnit poskytovateli na základě jeho požadavku provedení kontroly všech prvotních účetních dokladů za účelem prověření předloženého vyúčtování projektu. Poskytovatel bude vykonávat u příjemce kontrolu vyplývající ze zákona č. 320/2001 Sb., o finanční kontrole, ve znění pozdějších předpisů.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Ustanovení o dani z přidané hodnoty (dále jen „</w:t>
      </w:r>
      <w:r w:rsidRPr="00335F83">
        <w:rPr>
          <w:rFonts w:ascii="Arial" w:eastAsiaTheme="minorEastAsia" w:hAnsi="Arial" w:cs="Arial"/>
          <w:b/>
          <w:sz w:val="20"/>
          <w:szCs w:val="20"/>
          <w:lang w:eastAsia="cs-CZ"/>
        </w:rPr>
        <w:t>DPH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“) dle zákona č. 235/2004 Sb., o dani z přidané hodnoty, ve znění pozdějších předpisů (dále jen „</w:t>
      </w:r>
      <w:r w:rsidRPr="00335F83">
        <w:rPr>
          <w:rFonts w:ascii="Arial" w:eastAsiaTheme="minorEastAsia" w:hAnsi="Arial" w:cs="Arial"/>
          <w:b/>
          <w:sz w:val="20"/>
          <w:szCs w:val="20"/>
          <w:lang w:eastAsia="cs-CZ"/>
        </w:rPr>
        <w:t>zákon o DPH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“):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DPH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je pro příjemce způsobilým výdajem, pokud příjemce není plátcem DPH nebo příjemci nevzniká nárok na odpočet DPH;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že výdaje projektu jsou způsobilými výdaji pouze z části, pak je DPH způsobilým výdajem ze stejné části;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pokud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má příjemce nárok na odpočet v poměrné části nebo dle koeficientu, bude způsobilým výdajem část oprávněně neuplatněné DPH;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5.5.d)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že před předložením Závěrečné zprávy dojde ke změně nároku na odpočet, musí příjemce tuto skutečnost promítnout do Závěrečné zprávy. Způsobilým výdajem je pak pouze oprávněně neuplatněná DPH;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5.5.e)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pokud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příjemce není plátcem DPH, ale stane se jím po předložení Závěrečné zprávy, a vznikne mu ve vztahu ke způsobilým výdajům projektu nárok na uplatnění odpočtu DPH, je povinen tuto skutečnost neprodleně oznámit poskytovateli a do 30 dnů od podání přiznání k DPH, v němž si nárokuje odpočet, částku DPH vrátit na účet poskytovatele;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5.5.f)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jestliže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se příjemce stane plátcem DPH v průběhu doby realizace, je povinen tuto skutečnost nejpozději se závěrečnou zprávou oznámit poskytovateli;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5.5.g)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případech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kdy je příjemce plátcem DPH a dotace bude použita v rámci ekonomické činnosti pro úhradu výdaje z titulu plnění, pro které je plátce povinen použít režim přenesení daňové povinnosti dle zákona o DPH, a DPH je způsobilým výdajem, doloží příjemce výši DPH poskytovateli vnitřním účetním dokladem s vyčíslením částky DPH, daňovým přiznáním k DPH, kontrolním hlášením a bankovním výpisem.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5.6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povinen do 15 dnů oznámit poskytovateli vstup právnické osoby do likvidace, zahájení insolvenčního řízení, exekučního řízení, či řízení o výkonu rozhodnutí.</w:t>
      </w:r>
      <w:r w:rsidRPr="00335F83">
        <w:rPr>
          <w:rFonts w:ascii="Arial" w:eastAsiaTheme="minorEastAsia" w:hAnsi="Arial" w:cs="Arial"/>
          <w:i/>
          <w:iCs/>
          <w:color w:val="5B9BD5"/>
          <w:sz w:val="16"/>
          <w:szCs w:val="16"/>
          <w:lang w:eastAsia="cs-CZ"/>
        </w:rPr>
        <w:t xml:space="preserve"> 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Příjemce je povinen oznámit poskytovateli přeměnu právnické osoby do 15 dnů ode dne rozhodnutí příslušného orgánu.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5.7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 Příjemce je dále povinen: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5.7.a)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zajistit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aby všechny údaje, které uvádí poskytovateli, byly vždy úplné a pravdivé,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5.7.b)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zabezpečit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archivaci veškeré dokumentace k projektu včetně účetnictví o projektu po dobu 10 let ode dne ukončení doby realizace dle čl. 2.2,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5.7.c)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dohodnout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 dodavateli v rámci projektu fakturační podmínky tak, aby byla doložena účelovost faktur včetně specifikace jednotlivých výdajů,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lastRenderedPageBreak/>
        <w:t>6.  Povinnosti příjemce při zajišťování publicity poskytovatele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dává uzavřením Smlouvy poskytovateli souhlas se zveřejněním údajů o aktivitě financované z rozpočtu Zlínského kraje.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Příjemce získává uzavřením Smlouvy od poskytovatele souhlas s užitím loga Zlínského kraje, které je k dispozici na adrese </w:t>
      </w:r>
      <w:hyperlink r:id="rId7" w:history="1">
        <w:r w:rsidRPr="00335F83">
          <w:rPr>
            <w:rFonts w:ascii="Arial" w:eastAsiaTheme="minorEastAsia" w:hAnsi="Arial" w:cs="Arial"/>
            <w:color w:val="0563C1" w:themeColor="hyperlink"/>
            <w:sz w:val="20"/>
            <w:szCs w:val="20"/>
            <w:u w:val="single"/>
            <w:lang w:eastAsia="cs-CZ"/>
          </w:rPr>
          <w:t>https://www.kr-zlinsky.cz/logo-zlinskeho-kraje-ke-stazeni-cl-3386.html</w:t>
        </w:r>
      </w:hyperlink>
      <w:r w:rsidRPr="00335F83">
        <w:rPr>
          <w:rFonts w:ascii="Arial" w:eastAsiaTheme="minorEastAsia" w:hAnsi="Arial" w:cs="Arial"/>
          <w:sz w:val="20"/>
          <w:szCs w:val="20"/>
          <w:lang w:eastAsia="cs-CZ"/>
        </w:rPr>
        <w:t>. Logo bude umístěno na všech dokumentech souvisejících s realizací projektu, které budou propagovat aktivitu financovanou z rozpočtu Zlínského kraje.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povinen opatřit veškeré dokumenty související s realizací projektu (tiskové zprávy, plakáty, letáky, brožury, webové stránky, prezentace apod.) logem Zlínského kraje a/nebo formulací: „Název akce“ je financována/spolufinancována Zlínským krajem.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dále povinen prezentovat poskytovatele s využitím alespoň 1 prostředku komunikace, který doloží v Závěrečné zprávě: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billboard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(doloží se fotografií a informací o období vyvěšení),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informační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tabule (nástěnky, apod.), (doloží se kopií informace, která byla uveřejněna s uvedením doby uveřejnění),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obecní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zpravodaj (doloží se originálem nebo kopií příslušného článku a informací, kdy byl publikován),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6.5.d)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pamětní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deska (doloží se fotografií a informací o datu umístění této desky),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6.5.e)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periodikum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vydávané ve smyslu zákona č. 46/2000 Sb., tiskový zákon, ve znění pozdějších předpisů (doloží se originálem nebo kopií příslušného článku a informací, kdy byl publikován),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6.5.f)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propagační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předměty (doloží se předložením propagačního předmětu),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6.5.g)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regionální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tisk (doloží se originálem či kopií příslušného článku a informací, kdy byl publikován),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6.5.h)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rozhlas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– obecní či regionální/celoplošné vysílání (doloží se přepisem hlášeného textu a informací o datu, kdy byla informace hlášena),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6.5.i)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televizní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informační kanál (doloží se písemnou informací o datu a čase, kdy byla informace v médiu uvedena a text této informace),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6.5.j)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úřední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deska (doloží se kopií informace, která byla uveřejněna, s uvedením doby uveřejnění),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6.5.k)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výroční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zpráva (doloží se originálem nebo kopií této zprávy či její části obsahující prezentaci poskytovatele),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6.5.l)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webové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stránky (doloží se odkazem na příslušné stránky s uvedením, kdy byla informace uveřejněna),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7.  Sankce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 porušení rozpočtové kázně ze strany příjemce bude poskytovatel postupovat v souladu s § 22 zákona č. 250/2000 Sb., o rozpočtových pravidlech územních rozpočtů, ve znění pozdějších předpisů (dále jen „</w:t>
      </w:r>
      <w:r w:rsidRPr="00335F83">
        <w:rPr>
          <w:rFonts w:ascii="Arial" w:eastAsiaTheme="minorEastAsia" w:hAnsi="Arial" w:cs="Arial"/>
          <w:b/>
          <w:sz w:val="20"/>
          <w:szCs w:val="20"/>
          <w:lang w:eastAsia="cs-CZ"/>
        </w:rPr>
        <w:t>zákon o rozpočtových pravidlech územních rozpočtů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“).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Za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porušení rozpočtové kázně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dle § 22 zákona o rozpočtových pravidlech územních rozpočtů, za který bude příjemci uložen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odvod ve výši poskytnuté dotace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se považuje zejména pokud: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nedodrží účel dotace,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vůbec nedoloží úhrady výdajů,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dojde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k podstatnému nenaplnění monitorovacího indikátoru dle čl. 3.2,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7.2.d)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nepředloží Závěrečnou zprávu ani ve lhůtě 30 pracovních dní po uplynutí lhůty dle čl. 4.4,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7.2.e)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poruší povinnost dle čl. 5.7,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lastRenderedPageBreak/>
        <w:t>7.3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Za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porušení rozpočtové kázně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dle § 22 zákona o rozpočtových pravidlech územních rozpočtů, za který bude příjemci uložen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odvod ve výši neoprávněně použitých nebo zadržených peněžních prostředků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se považuje zejména pokud: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i/>
          <w:iCs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7.3.a)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neodstraní nedostatky v předložené Závěrečné zprávě ani v náhradní lhůtě dle čl.  4.6, výše odvodu se v tomto případě rovná výši neoprávněně použitých nebo zadržených peněžních prostředků,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7.3.b)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 rozporu s čl. 5.2 uhradí výdaje později než ve lhůtě stanovené pro předložení závěrečné zprávy. Za toto porušení bude příjemci uložen odvod ve výši takto opožděně uhrazené částky způsobilých výdajů.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O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méně závažné porušení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rozpočtové kázně dle § 22 zákona o rozpočtových pravidlech územních rozpočtů, za které bude příjemci uložen snížený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odvod ve výši 5 %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z poskytnuté dotace, se jedná v případě, kdy: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7.4.a)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předloží Závěrečnou zprávu ve lhůtě do 30 pracovních dní po uplynutí lhůty dle čl.  4.4,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7.4.b)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poruší povinnosti dle čl. 6.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O </w:t>
      </w: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méně závažné porušení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rozpočtové kázně dle § 22 zákona o rozpočtových pravidlech územních rozpočtů, se dále jedná v případě, kdy: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7.5.a)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odstraní nedostatky či nesrovnalosti v závěrečné zprávě až v náhradní lhůtě dle čl. 4.6. Příjemci bude uložen snížený odvod ve výši 5 % z částky dotace, které se týkaly odstraněné nedostatky či nesrovnalosti; pokud takový rozsah nelze stanovit, bude mu uložen odvod ve výši 5% ze schválené dotace,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7.6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8.  Změny podmínek smlouvy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může změnit projekt bez předchozího souhlasu poskytovatele za předpokladu, že změny nejsou podstatného charakteru, a za podmínky zachování smyslu a účelu projektu. Nepodstatné změny projektu je příjemce povinen písemně oznámit poskytovateli bez zbytečného odkladu, nejpozději v Závěrečné zprávě. Nepodstatnými změnami jsou: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adresy nebo sídla příjemce,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statutárního orgánu nebo kontaktní osoby,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názvu příjemce,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8.1.d)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názvu projektu při zachování účelu a všech ostatních parametrů akce/projektu,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8.1.e)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částečné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nenaplnění monitorovacích indikátorů; maximální snížení monitorovacího indikátoru o 5 %,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8.1.f)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zdrojů nebo výše podílů těchto zdrojů na financování projektu (s výjimkou dotace od Zlínského kraje),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8.1.g)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harmonogramu doby realizace, akce nebo aktivity (změnou harmonogramu nesmí dojít k překročení nejzazšího data doby realizace, akce nebo aktivity stanoveného ve Smlouvě a podpora nebude vyplacena před termínem ukončení doby realizace, akce nebo aktivity),</w:t>
      </w:r>
      <w:r w:rsidRPr="00335F83">
        <w:rPr>
          <w:rFonts w:ascii="Arial" w:eastAsiaTheme="minorEastAsia" w:hAnsi="Arial" w:cs="Arial"/>
          <w:sz w:val="16"/>
          <w:szCs w:val="16"/>
          <w:lang w:eastAsia="cs-CZ"/>
        </w:rPr>
        <w:t xml:space="preserve">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8.1.h)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změna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místa realizace akce, projektu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Změnu bankovního spojení oznámí příjemce poskytovateli písemně ve lhůtě do 15 dní ode dne, kdy ke změně došlo. Informace o změně účtu příjemce je pro poskytovatele závazná ode dne, kdy byla poskytovateli doručena.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8.3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 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 v přiměřené lhůtě, zpravidla minimálně 30 dnů před zasedáním příslušného orgánu kraje tak, aby bylo možné vypracování dodatku. Změny smlouvy je možné provádět pouze během plnění smlouvy a nelze je aplikovat se zpětnou účinností.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lastRenderedPageBreak/>
        <w:t>9.  Ukončení smlouvy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Smlouvu lze ukončit na základě písemné dohody obou smluvních stran nebo písemnou výpovědí smlouvy, a to za podmínek dále stanovených.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Poskytovatel je oprávněn vypovědět smlouvu jak před proplacením, tak i po proplacení dotace.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Výpovědním důvodem je porušení povinností příjemcem stanovených touto smlouvou nebo obecně závaznými právními předpisy. Porušením se rozumí zejména, pokud příjemce: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9.3.a)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nedodrží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účel dotace,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9.3.b)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svým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jednáním poruší rozpočtovou kázeň zejména dle čl. 7.2, ve smyslu zákona o rozpočtových pravidlech územních rozpočtů,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9.3.c)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se opozdí s předložením závěrečné zprávy o více než 30 pracovních dnů oproti lhůtě dle čl. 4.4,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9.3.d)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je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on sám, případně jako právnická osoba či některá osoba tvořící statutární orgán příjemce odsouzen/a za trestný čin, 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9.3.e)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bylo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vůči příjemci zahájeno insolvenční řízení podle zákona č. 182/2006 Sb., o úpadku a způsobech jeho řešení, ve znění pozdějších předpisů, exekuční řízení či řízení o výkonu rozhodnutí,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9.3.f)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uvedl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nepravdivé, neúplné nebo zkreslené údaje, na které se váže uzavření této smlouvy,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9.3.g)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je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v likvidaci,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9.3.h)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změní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právní formu a stane se tak nezpůsobilým příjemcem pro danou oblast podpory,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9.3.i)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neplní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povinnosti stanovené smlouvou, i když byl k jejich nápravě vyzván poskytovatelem; v případě, že příjemce nesplní povinnost ze smlouvy, a toto nesplnění již nelze napravit (např. příjemce nedodrží konečný termín doby realizace) může poskytovatel smlouvu vypovědět i bez učinění předchozí výzvy k nápravě,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after="60" w:line="240" w:lineRule="auto"/>
        <w:ind w:left="1304" w:hanging="73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9.3.j)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nenaplní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 xml:space="preserve"> jednotlivý monitorovací indikátor o více než 5 %.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9.6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Výpověď smlouvy musí být učiněna písemně a musí v ní být uvedeny důvody jejího udělení.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9.7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Výpovědní doba činí jeden měsíc a začne běžet od prvního dne měsíce následujícího po měsíci, v němž byla výpověď doručena příjemci. Účinky doručení pro účely této smlouvy však nastávají i tehdy, pokud příjemce svým jednáním nebo opomenutím doručení zmařil.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9.8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9.9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Příjemce je oprávněn tuto smlouvu kdykoliv písemně vypovědět i bez udání důvodů, přičemž výpověď je účinná dnem jejího doručení poskytovateli. V takovém případě je příjemce povinen vrátit poskytnutou částku dotace poskytovateli do 15 dnů ode dne účinnosti výpovědi.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9.10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9.11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Smlouva zaniká také z důvodů uvedených v § 167 odst. 1 písm. b) až e) zákona č. 500/2004 Sb., správní řád, ve znění pozdějších předpisů. Návrh na zrušení smlouvy musí být učiněn písemně a musí v něm být uvedeny důvody, které vedou k zániku smlouvy.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lastRenderedPageBreak/>
        <w:t>9.12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Pokud příjemce ve stanovené lhůtě poskytnuté prostředky nevrátí v souladu s tímto článkem poskytovateli, považují se tyto prostředky za zadržené ve smyslu zákona o rozpočtových pravidlech územních rozpočtů.</w:t>
      </w:r>
    </w:p>
    <w:p w:rsidR="00335F83" w:rsidRPr="00335F83" w:rsidRDefault="00335F83" w:rsidP="00335F83">
      <w:pPr>
        <w:keepNext/>
        <w:widowControl w:val="0"/>
        <w:tabs>
          <w:tab w:val="clear" w:pos="851"/>
        </w:tabs>
        <w:autoSpaceDE w:val="0"/>
        <w:autoSpaceDN w:val="0"/>
        <w:adjustRightInd w:val="0"/>
        <w:spacing w:before="240" w:after="120" w:line="240" w:lineRule="auto"/>
        <w:ind w:firstLine="0"/>
        <w:contextualSpacing w:val="0"/>
        <w:jc w:val="center"/>
        <w:rPr>
          <w:rFonts w:ascii="Arial" w:eastAsiaTheme="minorEastAsia" w:hAnsi="Arial" w:cs="Arial"/>
          <w:b/>
          <w:sz w:val="20"/>
          <w:szCs w:val="24"/>
          <w:lang w:eastAsia="cs-CZ"/>
        </w:rPr>
      </w:pPr>
      <w:r w:rsidRPr="00335F83">
        <w:rPr>
          <w:rFonts w:ascii="Arial" w:eastAsiaTheme="minorEastAsia" w:hAnsi="Arial" w:cs="Arial"/>
          <w:b/>
          <w:sz w:val="20"/>
          <w:szCs w:val="24"/>
          <w:lang w:eastAsia="cs-CZ"/>
        </w:rPr>
        <w:t>10.  Závěrečná ustanovení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10.1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Jako kontaktní místo poskytovatele se pro účely této smlouvy stanovuje: Krajský úřad Zlínského kraje, odbor sociálních věcí, Jana Lajzová, tel.: 577 043 328, e-mail: </w:t>
      </w:r>
      <w:r w:rsidR="001A7AFC" w:rsidRPr="00FB744D">
        <w:rPr>
          <w:rFonts w:ascii="Arial" w:eastAsiaTheme="minorEastAsia" w:hAnsi="Arial" w:cs="Arial"/>
          <w:sz w:val="20"/>
          <w:szCs w:val="20"/>
          <w:lang w:eastAsia="cs-CZ"/>
        </w:rPr>
        <w:t>jana.lajzova@</w:t>
      </w:r>
      <w:r w:rsidR="001A7AFC">
        <w:rPr>
          <w:rFonts w:ascii="Arial" w:eastAsiaTheme="minorEastAsia" w:hAnsi="Arial" w:cs="Arial"/>
          <w:sz w:val="20"/>
          <w:szCs w:val="20"/>
          <w:lang w:eastAsia="cs-CZ"/>
        </w:rPr>
        <w:t>zlinskykraj</w:t>
      </w:r>
      <w:r w:rsidR="001A7AFC" w:rsidRPr="00FB744D">
        <w:rPr>
          <w:rFonts w:ascii="Arial" w:eastAsiaTheme="minorEastAsia" w:hAnsi="Arial" w:cs="Arial"/>
          <w:sz w:val="20"/>
          <w:szCs w:val="20"/>
          <w:lang w:eastAsia="cs-CZ"/>
        </w:rPr>
        <w:t>.cz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10.2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V případě rozporu mezi skutečnostmi uvedenými v programu a ustanoveními této smlouvy, se přednostně aplikují ustanovení této smlouvy.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10.3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Právní vztahy, které nejsou přímo upraveny touto smlouvou, se řídí příslušnými ustanoveními zákona č. 500/2004 Sb., správní řád, ve znění pozdějších předpisů, zákona o rozpočtových pravidlech územních rozpočtů a dalšími obecně závaznými předpisy.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10.4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Tato smlouva byla uzavřena na základě svobodné vůle, nebyla uzavřena v tísni za nápadně nevýhodných podmínek.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10.5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>Smlouva je vyhotovena ve čtyřech stejnopisech, z nichž každý má platnost originálu. Tři vyhotovení obdrží poskytovatel a jedno vyhotovení obdrží příjemce.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10.6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Smlouva podléhá zveřejnění v registru smluv v souladu se zákonem č. 340/2015 Sb., zákon o registru smluv, ve znění pozdějších předpisů. Smluvní strany se dohodly, že poskytovatel odešle v zákonné lhůtě smlouvu k řádnému uveřejnění do registru smluv. O uveřejnění smlouvy bude příjemce bezodkladně informován.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left="567" w:hanging="567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10.7</w:t>
      </w:r>
      <w:r w:rsidRPr="00335F83">
        <w:rPr>
          <w:rFonts w:ascii="Arial" w:eastAsiaTheme="minorEastAsia" w:hAnsi="Arial" w:cs="Arial"/>
          <w:sz w:val="20"/>
          <w:szCs w:val="20"/>
          <w:lang w:eastAsia="cs-CZ"/>
        </w:rPr>
        <w:tab/>
        <w:t xml:space="preserve">Tato smlouva nabývá účinnosti dnem zveřejnění v registru smluv. 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40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b/>
          <w:bCs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b/>
          <w:bCs/>
          <w:sz w:val="20"/>
          <w:szCs w:val="20"/>
          <w:lang w:eastAsia="cs-CZ"/>
        </w:rPr>
        <w:t>Doložka dle § 23 zákona č. 129/2000 Sb., o krajích, ve znění pozdějších předpisů</w:t>
      </w:r>
    </w:p>
    <w:p w:rsidR="00335F83" w:rsidRPr="00335F83" w:rsidRDefault="00335F83" w:rsidP="00335F8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Schváleno orgánem kraje: Rada Zlínského kraje</w:t>
      </w:r>
    </w:p>
    <w:p w:rsidR="00335F83" w:rsidRPr="00335F83" w:rsidRDefault="00335F83" w:rsidP="00335F83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851"/>
          <w:tab w:val="left" w:pos="8928"/>
        </w:tabs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Datum jednání a číslo usnesení: </w:t>
      </w:r>
      <w:proofErr w:type="gramStart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3.4.2023</w:t>
      </w:r>
      <w:proofErr w:type="gramEnd"/>
      <w:r w:rsidRPr="00335F83">
        <w:rPr>
          <w:rFonts w:ascii="Arial" w:eastAsiaTheme="minorEastAsia" w:hAnsi="Arial" w:cs="Arial"/>
          <w:sz w:val="20"/>
          <w:szCs w:val="20"/>
          <w:lang w:eastAsia="cs-CZ"/>
        </w:rPr>
        <w:t>, č. usnesení 0315/R08/23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335F83">
        <w:rPr>
          <w:rFonts w:ascii="Arial" w:eastAsia="Times New Roman" w:hAnsi="Arial" w:cs="Arial"/>
          <w:sz w:val="20"/>
          <w:szCs w:val="20"/>
          <w:lang w:eastAsia="cs-CZ"/>
        </w:rPr>
        <w:t xml:space="preserve">Zlín, dne </w:t>
      </w:r>
      <w:r w:rsidR="00AB37FC">
        <w:rPr>
          <w:rFonts w:ascii="Arial" w:eastAsia="Times New Roman" w:hAnsi="Arial" w:cs="Arial"/>
          <w:sz w:val="20"/>
          <w:szCs w:val="20"/>
          <w:lang w:eastAsia="cs-CZ"/>
        </w:rPr>
        <w:t>19.06.2023</w:t>
      </w:r>
      <w:r w:rsidRPr="00335F8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Zlín, dne </w:t>
      </w:r>
      <w:r w:rsidR="00AB37FC">
        <w:rPr>
          <w:rFonts w:ascii="Arial" w:eastAsia="Times New Roman" w:hAnsi="Arial" w:cs="Arial"/>
          <w:sz w:val="20"/>
          <w:szCs w:val="20"/>
          <w:lang w:eastAsia="cs-CZ"/>
        </w:rPr>
        <w:t>08.06.2023</w:t>
      </w:r>
      <w:bookmarkStart w:id="0" w:name="_GoBack"/>
      <w:bookmarkEnd w:id="0"/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335F83">
        <w:rPr>
          <w:rFonts w:ascii="Arial" w:eastAsia="Times New Roman" w:hAnsi="Arial" w:cs="Arial"/>
          <w:sz w:val="20"/>
          <w:szCs w:val="20"/>
          <w:lang w:eastAsia="cs-CZ"/>
        </w:rPr>
        <w:t>za poskytovatele</w:t>
      </w:r>
      <w:r w:rsidRPr="00335F83">
        <w:rPr>
          <w:rFonts w:ascii="Arial" w:eastAsia="Times New Roman" w:hAnsi="Arial" w:cs="Arial"/>
          <w:sz w:val="20"/>
          <w:szCs w:val="20"/>
          <w:lang w:eastAsia="cs-CZ"/>
        </w:rPr>
        <w:tab/>
        <w:t>za příjemce</w:t>
      </w: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335F8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</w:t>
      </w:r>
      <w:r w:rsidRPr="00335F83"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</w:t>
      </w: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v z. Bc. Hana Ančincová</w:t>
      </w:r>
      <w:r w:rsidRPr="00335F83">
        <w:rPr>
          <w:rFonts w:ascii="Arial" w:eastAsia="Times New Roman" w:hAnsi="Arial" w:cs="Arial"/>
          <w:sz w:val="20"/>
          <w:szCs w:val="20"/>
          <w:lang w:eastAsia="cs-CZ"/>
        </w:rPr>
        <w:tab/>
        <w:t>Anna Vařáková</w:t>
      </w:r>
    </w:p>
    <w:p w:rsidR="00335F83" w:rsidRPr="00335F83" w:rsidRDefault="00335F83" w:rsidP="00335F83">
      <w:pPr>
        <w:widowControl w:val="0"/>
        <w:tabs>
          <w:tab w:val="clear" w:pos="851"/>
          <w:tab w:val="left" w:pos="4820"/>
        </w:tabs>
        <w:autoSpaceDE w:val="0"/>
        <w:autoSpaceDN w:val="0"/>
        <w:adjustRightInd w:val="0"/>
        <w:spacing w:before="120" w:line="240" w:lineRule="auto"/>
        <w:ind w:firstLine="0"/>
        <w:contextualSpacing w:val="0"/>
        <w:rPr>
          <w:rFonts w:ascii="Arial" w:eastAsia="Times New Roman" w:hAnsi="Arial" w:cs="Arial"/>
          <w:sz w:val="20"/>
          <w:szCs w:val="20"/>
          <w:lang w:eastAsia="cs-CZ"/>
        </w:rPr>
      </w:pPr>
      <w:r w:rsidRPr="00335F83">
        <w:rPr>
          <w:rFonts w:ascii="Arial" w:eastAsiaTheme="minorEastAsia" w:hAnsi="Arial" w:cs="Arial"/>
          <w:sz w:val="20"/>
          <w:szCs w:val="20"/>
          <w:lang w:eastAsia="cs-CZ"/>
        </w:rPr>
        <w:t>statutární náměstkyně hejtmana</w:t>
      </w:r>
      <w:r w:rsidRPr="00335F83">
        <w:rPr>
          <w:rFonts w:ascii="Arial" w:eastAsia="Times New Roman" w:hAnsi="Arial" w:cs="Arial"/>
          <w:sz w:val="20"/>
          <w:szCs w:val="20"/>
          <w:lang w:eastAsia="cs-CZ"/>
        </w:rPr>
        <w:tab/>
        <w:t>předsedkyně Oblastní výkonné rady OS ČČK Zlín</w:t>
      </w: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</w:pPr>
    </w:p>
    <w:p w:rsidR="00335F83" w:rsidRPr="00335F83" w:rsidRDefault="00335F83" w:rsidP="00335F83">
      <w:pPr>
        <w:tabs>
          <w:tab w:val="clear" w:pos="851"/>
        </w:tabs>
        <w:autoSpaceDE w:val="0"/>
        <w:autoSpaceDN w:val="0"/>
        <w:adjustRightInd w:val="0"/>
        <w:spacing w:before="60" w:after="60" w:line="276" w:lineRule="auto"/>
        <w:ind w:firstLine="0"/>
        <w:contextualSpacing w:val="0"/>
        <w:rPr>
          <w:rFonts w:ascii="Arial" w:eastAsiaTheme="minorEastAsia" w:hAnsi="Arial" w:cs="Arial"/>
          <w:sz w:val="20"/>
          <w:szCs w:val="20"/>
          <w:lang w:eastAsia="cs-CZ"/>
        </w:rPr>
        <w:sectPr w:rsidR="00335F83" w:rsidRPr="00335F83" w:rsidSect="0035109F">
          <w:footerReference w:type="default" r:id="rId8"/>
          <w:pgSz w:w="12240" w:h="15840"/>
          <w:pgMar w:top="1276" w:right="1417" w:bottom="1276" w:left="1417" w:header="708" w:footer="708" w:gutter="0"/>
          <w:pgNumType w:start="1"/>
          <w:cols w:space="708"/>
          <w:noEndnote/>
        </w:sectPr>
      </w:pPr>
    </w:p>
    <w:p w:rsidR="003A0033" w:rsidRPr="00335F83" w:rsidRDefault="003A0033" w:rsidP="00335F83"/>
    <w:sectPr w:rsidR="003A0033" w:rsidRPr="0033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EC" w:rsidRDefault="00906716">
      <w:pPr>
        <w:spacing w:line="240" w:lineRule="auto"/>
      </w:pPr>
      <w:r>
        <w:separator/>
      </w:r>
    </w:p>
  </w:endnote>
  <w:endnote w:type="continuationSeparator" w:id="0">
    <w:p w:rsidR="007E7BEC" w:rsidRDefault="0090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2A" w:rsidRDefault="00335F83" w:rsidP="0035109F">
    <w:pPr>
      <w:pStyle w:val="Zpat"/>
    </w:pPr>
    <w:r w:rsidRPr="00307FDB">
      <w:rPr>
        <w:sz w:val="16"/>
        <w:szCs w:val="16"/>
      </w:rPr>
      <w:fldChar w:fldCharType="begin"/>
    </w:r>
    <w:r w:rsidRPr="00307FDB">
      <w:rPr>
        <w:sz w:val="16"/>
        <w:szCs w:val="16"/>
      </w:rPr>
      <w:instrText>PAGE   \* MERGEFORMAT</w:instrText>
    </w:r>
    <w:r w:rsidRPr="00307FDB">
      <w:rPr>
        <w:sz w:val="16"/>
        <w:szCs w:val="16"/>
      </w:rPr>
      <w:fldChar w:fldCharType="separate"/>
    </w:r>
    <w:r w:rsidR="00AB37FC">
      <w:rPr>
        <w:noProof/>
        <w:sz w:val="16"/>
        <w:szCs w:val="16"/>
      </w:rPr>
      <w:t>9</w:t>
    </w:r>
    <w:r w:rsidRPr="00307F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EC" w:rsidRDefault="00906716">
      <w:pPr>
        <w:spacing w:line="240" w:lineRule="auto"/>
      </w:pPr>
      <w:r>
        <w:separator/>
      </w:r>
    </w:p>
  </w:footnote>
  <w:footnote w:type="continuationSeparator" w:id="0">
    <w:p w:rsidR="007E7BEC" w:rsidRDefault="00906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DD4"/>
    <w:multiLevelType w:val="hybridMultilevel"/>
    <w:tmpl w:val="587E5AA0"/>
    <w:lvl w:ilvl="0" w:tplc="3E12910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76C"/>
    <w:multiLevelType w:val="hybridMultilevel"/>
    <w:tmpl w:val="5F72FA5A"/>
    <w:lvl w:ilvl="0" w:tplc="0ABAF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  <w:color w:val="auto"/>
        <w:sz w:val="20"/>
      </w:rPr>
    </w:lvl>
    <w:lvl w:ilvl="1" w:tplc="0502802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euton Normal CE" w:hAnsi="Teuton Normal CE" w:hint="default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2" w15:restartNumberingAfterBreak="0">
    <w:nsid w:val="1E8D399F"/>
    <w:multiLevelType w:val="hybridMultilevel"/>
    <w:tmpl w:val="D9A88214"/>
    <w:lvl w:ilvl="0" w:tplc="81ECAB0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2841"/>
    <w:multiLevelType w:val="multilevel"/>
    <w:tmpl w:val="DBC2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83"/>
    <w:rsid w:val="00047DA0"/>
    <w:rsid w:val="0013529D"/>
    <w:rsid w:val="001A7AFC"/>
    <w:rsid w:val="00335F83"/>
    <w:rsid w:val="003A0033"/>
    <w:rsid w:val="00443EE3"/>
    <w:rsid w:val="004442A3"/>
    <w:rsid w:val="00551FEB"/>
    <w:rsid w:val="00627FA2"/>
    <w:rsid w:val="006C65BA"/>
    <w:rsid w:val="006E466A"/>
    <w:rsid w:val="00707117"/>
    <w:rsid w:val="007E7BEC"/>
    <w:rsid w:val="008A3194"/>
    <w:rsid w:val="008C7B7E"/>
    <w:rsid w:val="008D62BE"/>
    <w:rsid w:val="008E47EC"/>
    <w:rsid w:val="00906716"/>
    <w:rsid w:val="00A80EE7"/>
    <w:rsid w:val="00AB37FC"/>
    <w:rsid w:val="00CF01C6"/>
    <w:rsid w:val="00EC7CD3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4440"/>
  <w15:chartTrackingRefBased/>
  <w15:docId w15:val="{E93E271C-9FC5-49AD-A8F7-231C354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5BA"/>
    <w:pPr>
      <w:tabs>
        <w:tab w:val="left" w:pos="851"/>
      </w:tabs>
      <w:spacing w:after="0" w:line="360" w:lineRule="auto"/>
      <w:ind w:firstLine="851"/>
      <w:contextualSpacing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07117"/>
    <w:pPr>
      <w:keepNext/>
      <w:keepLines/>
      <w:numPr>
        <w:numId w:val="3"/>
      </w:numPr>
      <w:spacing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47EC"/>
    <w:pPr>
      <w:keepNext/>
      <w:keepLines/>
      <w:widowControl w:val="0"/>
      <w:tabs>
        <w:tab w:val="clear" w:pos="851"/>
      </w:tabs>
      <w:autoSpaceDE w:val="0"/>
      <w:autoSpaceDN w:val="0"/>
      <w:adjustRightInd w:val="0"/>
      <w:spacing w:before="40" w:line="240" w:lineRule="auto"/>
      <w:ind w:firstLine="0"/>
      <w:contextualSpacing w:val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7117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11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E47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07117"/>
    <w:rPr>
      <w:rFonts w:eastAsiaTheme="majorEastAsia" w:cstheme="majorBidi"/>
      <w:b/>
      <w:bCs/>
    </w:rPr>
  </w:style>
  <w:style w:type="paragraph" w:customStyle="1" w:styleId="Nadpisodstavce">
    <w:name w:val="Nadpis_odstavce"/>
    <w:basedOn w:val="Nadpis1"/>
    <w:link w:val="NadpisodstavceChar"/>
    <w:qFormat/>
    <w:rsid w:val="008E47EC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2E74B5" w:themeColor="accent1" w:themeShade="BF"/>
      <w:sz w:val="20"/>
      <w:szCs w:val="20"/>
    </w:rPr>
  </w:style>
  <w:style w:type="character" w:customStyle="1" w:styleId="NadpisodstavceChar">
    <w:name w:val="Nadpis_odstavce Char"/>
    <w:basedOn w:val="Nadpis1Char"/>
    <w:link w:val="Nadpisodstavce"/>
    <w:locked/>
    <w:rsid w:val="008E47EC"/>
    <w:rPr>
      <w:rFonts w:ascii="Arial" w:eastAsiaTheme="majorEastAsia" w:hAnsi="Arial" w:cs="Arial"/>
      <w:b/>
      <w:bCs/>
      <w:color w:val="2E74B5" w:themeColor="accent1" w:themeShade="BF"/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8E47EC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odstavecChar">
    <w:name w:val="odstavec Char"/>
    <w:basedOn w:val="Standardnpsmoodstavce"/>
    <w:link w:val="odstavec"/>
    <w:locked/>
    <w:rsid w:val="008E47EC"/>
    <w:rPr>
      <w:rFonts w:ascii="Arial" w:hAnsi="Arial" w:cs="Arial"/>
      <w:sz w:val="20"/>
      <w:szCs w:val="20"/>
    </w:rPr>
  </w:style>
  <w:style w:type="paragraph" w:styleId="Zpat">
    <w:name w:val="footer"/>
    <w:aliases w:val="SML_Zápatí_cisla_stranek"/>
    <w:basedOn w:val="Normln"/>
    <w:link w:val="ZpatChar"/>
    <w:uiPriority w:val="99"/>
    <w:unhideWhenUsed/>
    <w:rsid w:val="00551FEB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sz w:val="18"/>
      <w:szCs w:val="18"/>
    </w:rPr>
  </w:style>
  <w:style w:type="character" w:customStyle="1" w:styleId="ZpatChar">
    <w:name w:val="Zápatí Char"/>
    <w:aliases w:val="SML_Zápatí_cisla_stranek Char"/>
    <w:basedOn w:val="Standardnpsmoodstavce"/>
    <w:link w:val="Zpat"/>
    <w:uiPriority w:val="99"/>
    <w:rsid w:val="00551FEB"/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3194"/>
    <w:pPr>
      <w:widowControl w:val="0"/>
      <w:tabs>
        <w:tab w:val="clear" w:pos="851"/>
        <w:tab w:val="center" w:pos="4536"/>
        <w:tab w:val="right" w:pos="9072"/>
      </w:tabs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A3194"/>
    <w:rPr>
      <w:rFonts w:ascii="Arial" w:hAnsi="Arial" w:cs="Arial"/>
      <w:sz w:val="24"/>
      <w:szCs w:val="24"/>
    </w:rPr>
  </w:style>
  <w:style w:type="paragraph" w:customStyle="1" w:styleId="SMLNadpisodstavce">
    <w:name w:val="SML_Nadpis_odstavce"/>
    <w:basedOn w:val="Nadpis1"/>
    <w:link w:val="SMLNadpisodstavceChar"/>
    <w:qFormat/>
    <w:rsid w:val="006C65BA"/>
    <w:pPr>
      <w:numPr>
        <w:numId w:val="0"/>
      </w:numPr>
      <w:tabs>
        <w:tab w:val="clear" w:pos="851"/>
        <w:tab w:val="left" w:pos="8928"/>
      </w:tabs>
      <w:autoSpaceDE w:val="0"/>
      <w:autoSpaceDN w:val="0"/>
      <w:adjustRightInd w:val="0"/>
      <w:spacing w:after="0" w:line="252" w:lineRule="auto"/>
      <w:contextualSpacing w:val="0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SMLNadpisodstavceChar">
    <w:name w:val="SML_Nadpis_odstavce Char"/>
    <w:basedOn w:val="Nadpis1Char"/>
    <w:link w:val="SMLNadpisodstavce"/>
    <w:locked/>
    <w:rsid w:val="006C65BA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paragraph" w:customStyle="1" w:styleId="SMLodstavec">
    <w:name w:val="SML_odstavec"/>
    <w:basedOn w:val="Normln"/>
    <w:link w:val="SMLodstavecChar"/>
    <w:qFormat/>
    <w:rsid w:val="006C65BA"/>
    <w:pPr>
      <w:tabs>
        <w:tab w:val="clear" w:pos="851"/>
        <w:tab w:val="left" w:pos="42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120" w:line="240" w:lineRule="auto"/>
      <w:ind w:left="425" w:hanging="425"/>
      <w:contextualSpacing w:val="0"/>
    </w:pPr>
    <w:rPr>
      <w:rFonts w:ascii="Arial" w:hAnsi="Arial" w:cs="Arial"/>
      <w:sz w:val="20"/>
      <w:szCs w:val="20"/>
    </w:rPr>
  </w:style>
  <w:style w:type="character" w:customStyle="1" w:styleId="SMLodstavecChar">
    <w:name w:val="SML_odstavec Char"/>
    <w:basedOn w:val="Standardnpsmoodstavce"/>
    <w:link w:val="SMLodstavec"/>
    <w:locked/>
    <w:rsid w:val="006C65BA"/>
    <w:rPr>
      <w:rFonts w:ascii="Arial" w:hAnsi="Arial" w:cs="Arial"/>
      <w:sz w:val="20"/>
      <w:szCs w:val="20"/>
    </w:rPr>
  </w:style>
  <w:style w:type="paragraph" w:customStyle="1" w:styleId="SMLGENEROVANI">
    <w:name w:val="SML_GENEROVANI"/>
    <w:basedOn w:val="Normln"/>
    <w:link w:val="SMLGENEROVANIChar"/>
    <w:qFormat/>
    <w:rsid w:val="006C65BA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  <w:jc w:val="center"/>
    </w:pPr>
    <w:rPr>
      <w:rFonts w:ascii="Arial" w:hAnsi="Arial" w:cs="Arial"/>
      <w:bCs/>
      <w:color w:val="FFFFFF" w:themeColor="background1"/>
      <w:sz w:val="16"/>
      <w:szCs w:val="16"/>
    </w:rPr>
  </w:style>
  <w:style w:type="character" w:customStyle="1" w:styleId="SMLGENEROVANIChar">
    <w:name w:val="SML_GENEROVANI Char"/>
    <w:basedOn w:val="Standardnpsmoodstavce"/>
    <w:link w:val="SMLGENEROVANI"/>
    <w:rsid w:val="006C65BA"/>
    <w:rPr>
      <w:rFonts w:ascii="Arial" w:hAnsi="Arial" w:cs="Arial"/>
      <w:bCs/>
      <w:color w:val="FFFFFF" w:themeColor="background1"/>
      <w:sz w:val="16"/>
      <w:szCs w:val="16"/>
    </w:rPr>
  </w:style>
  <w:style w:type="paragraph" w:customStyle="1" w:styleId="SMLhlavickadalsiradky">
    <w:name w:val="SML_hlavicka_dalsi_radky"/>
    <w:basedOn w:val="Normln"/>
    <w:link w:val="SMLhlavickadalsiradky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30" w:line="240" w:lineRule="auto"/>
      <w:ind w:left="255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hlavickadalsiradkyChar">
    <w:name w:val="SML_hlavicka_dalsi_radky Char"/>
    <w:basedOn w:val="Standardnpsmoodstavce"/>
    <w:link w:val="SMLhlavickadalsiradky"/>
    <w:rsid w:val="00443EE3"/>
    <w:rPr>
      <w:rFonts w:ascii="Arial" w:hAnsi="Arial" w:cs="Arial"/>
      <w:sz w:val="20"/>
      <w:szCs w:val="20"/>
    </w:rPr>
  </w:style>
  <w:style w:type="paragraph" w:customStyle="1" w:styleId="SMLhlavickaprvniradek">
    <w:name w:val="SML_hlavicka_prvni_radek"/>
    <w:basedOn w:val="Normln"/>
    <w:link w:val="SMLhlavickaprvniradekChar"/>
    <w:qFormat/>
    <w:rsid w:val="0013529D"/>
    <w:pPr>
      <w:widowControl w:val="0"/>
      <w:tabs>
        <w:tab w:val="clear" w:pos="851"/>
        <w:tab w:val="left" w:pos="426"/>
        <w:tab w:val="left" w:pos="2552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60" w:line="240" w:lineRule="auto"/>
      <w:ind w:left="2552" w:hanging="2552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hlavickaprvniradekChar">
    <w:name w:val="SML_hlavicka_prvni_radek Char"/>
    <w:basedOn w:val="Standardnpsmoodstavce"/>
    <w:link w:val="SMLhlavickaprvniradek"/>
    <w:rsid w:val="0013529D"/>
    <w:rPr>
      <w:rFonts w:ascii="Arial" w:hAnsi="Arial" w:cs="Arial"/>
      <w:b/>
      <w:bCs/>
      <w:sz w:val="20"/>
      <w:szCs w:val="20"/>
    </w:rPr>
  </w:style>
  <w:style w:type="paragraph" w:customStyle="1" w:styleId="SMLodrazky">
    <w:name w:val="SML_odrazky"/>
    <w:basedOn w:val="Normln"/>
    <w:link w:val="SMLodrazkyChar"/>
    <w:qFormat/>
    <w:rsid w:val="00443EE3"/>
    <w:pPr>
      <w:widowControl w:val="0"/>
      <w:tabs>
        <w:tab w:val="clear" w:pos="851"/>
        <w:tab w:val="left" w:pos="709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708" w:hanging="215"/>
      <w:contextualSpacing w:val="0"/>
    </w:pPr>
    <w:rPr>
      <w:rFonts w:ascii="Arial" w:hAnsi="Arial" w:cs="Arial"/>
      <w:sz w:val="20"/>
      <w:szCs w:val="20"/>
    </w:rPr>
  </w:style>
  <w:style w:type="character" w:customStyle="1" w:styleId="SMLodrazkyChar">
    <w:name w:val="SML_odrazky Char"/>
    <w:basedOn w:val="Standardnpsmoodstavce"/>
    <w:link w:val="SMLodrazky"/>
    <w:rsid w:val="00443EE3"/>
    <w:rPr>
      <w:rFonts w:ascii="Arial" w:hAnsi="Arial" w:cs="Arial"/>
      <w:sz w:val="20"/>
      <w:szCs w:val="20"/>
    </w:rPr>
  </w:style>
  <w:style w:type="paragraph" w:customStyle="1" w:styleId="SMLdolozkanadpis">
    <w:name w:val="SML_dolozka_nadpis"/>
    <w:basedOn w:val="Normln"/>
    <w:link w:val="SMLdolozkanadpis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b/>
      <w:bCs/>
      <w:sz w:val="20"/>
      <w:szCs w:val="20"/>
    </w:rPr>
  </w:style>
  <w:style w:type="character" w:customStyle="1" w:styleId="SMLdolozkanadpisChar">
    <w:name w:val="SML_dolozka_nadpis Char"/>
    <w:basedOn w:val="Standardnpsmoodstavce"/>
    <w:link w:val="SMLdolozkanadpis"/>
    <w:rsid w:val="00EC7CD3"/>
    <w:rPr>
      <w:rFonts w:ascii="Arial" w:hAnsi="Arial" w:cs="Arial"/>
      <w:b/>
      <w:bCs/>
      <w:sz w:val="20"/>
      <w:szCs w:val="20"/>
    </w:rPr>
  </w:style>
  <w:style w:type="paragraph" w:customStyle="1" w:styleId="SMLdolozkausneseni">
    <w:name w:val="SML_dolozka_usneseni"/>
    <w:basedOn w:val="Normln"/>
    <w:link w:val="SMLdolozkausneseniChar"/>
    <w:qFormat/>
    <w:rsid w:val="00EC7CD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851"/>
        <w:tab w:val="left" w:pos="8928"/>
      </w:tabs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dolozkausneseniChar">
    <w:name w:val="SML_dolozka_usneseni Char"/>
    <w:basedOn w:val="Standardnpsmoodstavce"/>
    <w:link w:val="SMLdolozkausneseni"/>
    <w:rsid w:val="00EC7CD3"/>
    <w:rPr>
      <w:rFonts w:ascii="Arial" w:hAnsi="Arial" w:cs="Arial"/>
      <w:sz w:val="20"/>
      <w:szCs w:val="20"/>
    </w:rPr>
  </w:style>
  <w:style w:type="paragraph" w:customStyle="1" w:styleId="SMLodrazkyDPH">
    <w:name w:val="SML_odrazky_DPH"/>
    <w:basedOn w:val="Normln"/>
    <w:link w:val="SMLodrazkyDPHChar"/>
    <w:qFormat/>
    <w:rsid w:val="00443EE3"/>
    <w:pPr>
      <w:widowControl w:val="0"/>
      <w:tabs>
        <w:tab w:val="clear" w:pos="851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autoSpaceDE w:val="0"/>
      <w:autoSpaceDN w:val="0"/>
      <w:adjustRightInd w:val="0"/>
      <w:spacing w:before="20" w:line="240" w:lineRule="auto"/>
      <w:ind w:left="1134" w:right="142" w:firstLine="0"/>
      <w:contextualSpacing w:val="0"/>
    </w:pPr>
    <w:rPr>
      <w:rFonts w:ascii="Arial" w:hAnsi="Arial" w:cs="Arial"/>
      <w:sz w:val="20"/>
      <w:szCs w:val="20"/>
    </w:rPr>
  </w:style>
  <w:style w:type="character" w:customStyle="1" w:styleId="SMLodrazkyDPHChar">
    <w:name w:val="SML_odrazky_DPH Char"/>
    <w:basedOn w:val="Standardnpsmoodstavce"/>
    <w:link w:val="SMLodrazkyDPH"/>
    <w:rsid w:val="00443EE3"/>
    <w:rPr>
      <w:rFonts w:ascii="Arial" w:hAnsi="Arial" w:cs="Arial"/>
      <w:sz w:val="20"/>
      <w:szCs w:val="20"/>
    </w:rPr>
  </w:style>
  <w:style w:type="paragraph" w:customStyle="1" w:styleId="SMLodrazkypismena">
    <w:name w:val="SML_odrazky_pismena"/>
    <w:basedOn w:val="Normln"/>
    <w:link w:val="SMLodrazkypismenaChar"/>
    <w:qFormat/>
    <w:rsid w:val="00443EE3"/>
    <w:pPr>
      <w:tabs>
        <w:tab w:val="clear" w:pos="851"/>
        <w:tab w:val="left" w:pos="8928"/>
      </w:tabs>
      <w:autoSpaceDE w:val="0"/>
      <w:autoSpaceDN w:val="0"/>
      <w:adjustRightInd w:val="0"/>
      <w:spacing w:before="20" w:line="240" w:lineRule="auto"/>
      <w:ind w:left="850" w:hanging="357"/>
      <w:contextualSpacing w:val="0"/>
    </w:pPr>
    <w:rPr>
      <w:rFonts w:ascii="Arial" w:hAnsi="Arial" w:cs="Arial"/>
      <w:sz w:val="20"/>
      <w:szCs w:val="20"/>
    </w:rPr>
  </w:style>
  <w:style w:type="character" w:customStyle="1" w:styleId="SMLodrazkypismenaChar">
    <w:name w:val="SML_odrazky_pismena Char"/>
    <w:basedOn w:val="Standardnpsmoodstavce"/>
    <w:link w:val="SMLodrazkypismena"/>
    <w:locked/>
    <w:rsid w:val="00443EE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r-zlinsky.cz/logo-zlinskeho-kraje-ke-stazeni-cl-33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3661</Words>
  <Characters>21605</Characters>
  <Application>Microsoft Office Word</Application>
  <DocSecurity>0</DocSecurity>
  <Lines>180</Lines>
  <Paragraphs>50</Paragraphs>
  <ScaleCrop>false</ScaleCrop>
  <Company>Krajský úřad Zlínského kraje</Company>
  <LinksUpToDate>false</LinksUpToDate>
  <CharactersWithSpaces>25216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Diana</dc:creator>
  <cp:keywords/>
  <dc:description/>
  <cp:lastModifiedBy>Lajzová Jana</cp:lastModifiedBy>
  <cp:revision>8</cp:revision>
  <dcterms:created xsi:type="dcterms:W3CDTF">2023-05-16T08:49:00Z</dcterms:created>
  <dcterms:modified xsi:type="dcterms:W3CDTF">2023-06-27T12:02:00Z</dcterms:modified>
</cp:coreProperties>
</file>