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4765" w14:textId="77777777" w:rsidR="0052739B" w:rsidRDefault="00591E40">
      <w:pPr>
        <w:spacing w:after="290" w:line="259" w:lineRule="auto"/>
        <w:ind w:left="89" w:firstLine="0"/>
        <w:jc w:val="left"/>
      </w:pPr>
      <w:r>
        <w:rPr>
          <w:rFonts w:ascii="Times New Roman" w:eastAsia="Times New Roman" w:hAnsi="Times New Roman" w:cs="Times New Roman"/>
          <w:i/>
          <w:color w:val="666666"/>
        </w:rPr>
        <w:t xml:space="preserve"> </w:t>
      </w:r>
    </w:p>
    <w:p w14:paraId="6FFEEA85" w14:textId="77777777" w:rsidR="0052739B" w:rsidRDefault="00591E40">
      <w:pPr>
        <w:spacing w:after="0" w:line="259" w:lineRule="auto"/>
        <w:ind w:left="223" w:firstLine="0"/>
        <w:jc w:val="center"/>
      </w:pPr>
      <w:r>
        <w:rPr>
          <w:noProof/>
          <w:color w:val="000000"/>
          <w:sz w:val="22"/>
        </w:rPr>
        <mc:AlternateContent>
          <mc:Choice Requires="wpg">
            <w:drawing>
              <wp:anchor distT="0" distB="0" distL="114300" distR="114300" simplePos="0" relativeHeight="251658240" behindDoc="0" locked="0" layoutInCell="1" allowOverlap="1" wp14:anchorId="7AD9C082" wp14:editId="0EBB36DD">
                <wp:simplePos x="0" y="0"/>
                <wp:positionH relativeFrom="column">
                  <wp:posOffset>4387088</wp:posOffset>
                </wp:positionH>
                <wp:positionV relativeFrom="paragraph">
                  <wp:posOffset>-204461</wp:posOffset>
                </wp:positionV>
                <wp:extent cx="2343150" cy="409575"/>
                <wp:effectExtent l="0" t="0" r="0" b="0"/>
                <wp:wrapSquare wrapText="bothSides"/>
                <wp:docPr id="4270" name="Group 4270"/>
                <wp:cNvGraphicFramePr/>
                <a:graphic xmlns:a="http://schemas.openxmlformats.org/drawingml/2006/main">
                  <a:graphicData uri="http://schemas.microsoft.com/office/word/2010/wordprocessingGroup">
                    <wpg:wgp>
                      <wpg:cNvGrpSpPr/>
                      <wpg:grpSpPr>
                        <a:xfrm>
                          <a:off x="0" y="0"/>
                          <a:ext cx="2343150" cy="409575"/>
                          <a:chOff x="0" y="0"/>
                          <a:chExt cx="2343150" cy="409575"/>
                        </a:xfrm>
                      </wpg:grpSpPr>
                      <wps:wsp>
                        <wps:cNvPr id="8" name="Rectangle 8"/>
                        <wps:cNvSpPr/>
                        <wps:spPr>
                          <a:xfrm>
                            <a:off x="1907032" y="33653"/>
                            <a:ext cx="45808" cy="206453"/>
                          </a:xfrm>
                          <a:prstGeom prst="rect">
                            <a:avLst/>
                          </a:prstGeom>
                          <a:ln>
                            <a:noFill/>
                          </a:ln>
                        </wps:spPr>
                        <wps:txbx>
                          <w:txbxContent>
                            <w:p w14:paraId="45F5D44A" w14:textId="77777777" w:rsidR="0052739B" w:rsidRDefault="00591E4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14" name="Picture 114"/>
                          <pic:cNvPicPr/>
                        </pic:nvPicPr>
                        <pic:blipFill>
                          <a:blip r:embed="rId6"/>
                          <a:stretch>
                            <a:fillRect/>
                          </a:stretch>
                        </pic:blipFill>
                        <pic:spPr>
                          <a:xfrm>
                            <a:off x="0" y="0"/>
                            <a:ext cx="2343150" cy="409575"/>
                          </a:xfrm>
                          <a:prstGeom prst="rect">
                            <a:avLst/>
                          </a:prstGeom>
                        </pic:spPr>
                      </pic:pic>
                    </wpg:wgp>
                  </a:graphicData>
                </a:graphic>
              </wp:anchor>
            </w:drawing>
          </mc:Choice>
          <mc:Fallback xmlns:a="http://schemas.openxmlformats.org/drawingml/2006/main">
            <w:pict>
              <v:group id="Group 4270" style="width:184.5pt;height:32.25pt;position:absolute;mso-position-horizontal-relative:text;mso-position-horizontal:absolute;margin-left:345.44pt;mso-position-vertical-relative:text;margin-top:-16.0994pt;" coordsize="23431,4095">
                <v:rect id="Rectangle 8" style="position:absolute;width:458;height:2064;left:19070;top:336;"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114" style="position:absolute;width:23431;height:4095;left:0;top:0;" filled="f">
                  <v:imagedata r:id="rId7"/>
                </v:shape>
                <w10:wrap type="square"/>
              </v:group>
            </w:pict>
          </mc:Fallback>
        </mc:AlternateContent>
      </w:r>
      <w:r>
        <w:rPr>
          <w:noProof/>
        </w:rPr>
        <w:drawing>
          <wp:inline distT="0" distB="0" distL="0" distR="0" wp14:anchorId="3F3464AC" wp14:editId="5806F0A7">
            <wp:extent cx="781050" cy="78105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8"/>
                    <a:stretch>
                      <a:fillRect/>
                    </a:stretch>
                  </pic:blipFill>
                  <pic:spPr>
                    <a:xfrm>
                      <a:off x="0" y="0"/>
                      <a:ext cx="781050" cy="781050"/>
                    </a:xfrm>
                    <a:prstGeom prst="rect">
                      <a:avLst/>
                    </a:prstGeom>
                  </pic:spPr>
                </pic:pic>
              </a:graphicData>
            </a:graphic>
          </wp:inline>
        </w:drawing>
      </w:r>
      <w:r>
        <w:rPr>
          <w:color w:val="666666"/>
          <w:sz w:val="20"/>
        </w:rPr>
        <w:t xml:space="preserve"> </w:t>
      </w:r>
      <w:r>
        <w:t xml:space="preserve"> </w:t>
      </w:r>
    </w:p>
    <w:p w14:paraId="2177E1D6" w14:textId="77777777" w:rsidR="0052739B" w:rsidRDefault="00591E40">
      <w:pPr>
        <w:spacing w:after="171" w:line="259" w:lineRule="auto"/>
        <w:ind w:left="0" w:right="4" w:firstLine="0"/>
        <w:jc w:val="right"/>
      </w:pPr>
      <w:r>
        <w:rPr>
          <w:sz w:val="20"/>
        </w:rPr>
        <w:t xml:space="preserve">Stejnopis č.: </w:t>
      </w:r>
      <w:r>
        <w:t xml:space="preserve"> </w:t>
      </w:r>
    </w:p>
    <w:p w14:paraId="0F1F896A" w14:textId="77777777" w:rsidR="0052739B" w:rsidRDefault="00591E40">
      <w:pPr>
        <w:pStyle w:val="Nadpis1"/>
      </w:pPr>
      <w:r>
        <w:t xml:space="preserve">DODATEK Č. </w:t>
      </w:r>
      <w:r>
        <w:t xml:space="preserve">3  </w:t>
      </w:r>
      <w:r>
        <w:rPr>
          <w:b w:val="0"/>
          <w:color w:val="000009"/>
          <w:sz w:val="24"/>
        </w:rPr>
        <w:t xml:space="preserve"> </w:t>
      </w:r>
    </w:p>
    <w:p w14:paraId="47E7639A" w14:textId="77777777" w:rsidR="0052739B" w:rsidRDefault="00591E40">
      <w:pPr>
        <w:spacing w:after="24" w:line="259" w:lineRule="auto"/>
        <w:ind w:left="479" w:right="2"/>
        <w:jc w:val="center"/>
      </w:pPr>
      <w:r>
        <w:rPr>
          <w:b/>
          <w:color w:val="000000"/>
          <w:sz w:val="28"/>
        </w:rPr>
        <w:t>K RÁMCOVÉ SMLOUVĚ</w:t>
      </w:r>
      <w:r>
        <w:rPr>
          <w:color w:val="000000"/>
          <w:sz w:val="28"/>
        </w:rPr>
        <w:t xml:space="preserve"> </w:t>
      </w:r>
      <w:r>
        <w:rPr>
          <w:b/>
          <w:color w:val="000000"/>
          <w:sz w:val="28"/>
        </w:rPr>
        <w:t xml:space="preserve">NA ZAJIŠTĚNÍ  </w:t>
      </w:r>
    </w:p>
    <w:p w14:paraId="12E4D859" w14:textId="77777777" w:rsidR="0052739B" w:rsidRDefault="00591E40">
      <w:pPr>
        <w:spacing w:after="24" w:line="259" w:lineRule="auto"/>
        <w:ind w:left="479" w:right="3"/>
        <w:jc w:val="center"/>
      </w:pPr>
      <w:r>
        <w:rPr>
          <w:b/>
          <w:color w:val="000000"/>
          <w:sz w:val="28"/>
        </w:rPr>
        <w:t xml:space="preserve">VYBRANÝCH PRVKŮ MĚSTSKÉHO MOBILIÁŘE   </w:t>
      </w:r>
    </w:p>
    <w:p w14:paraId="704C9A28" w14:textId="77777777" w:rsidR="0052739B" w:rsidRDefault="00591E40">
      <w:pPr>
        <w:spacing w:after="24" w:line="259" w:lineRule="auto"/>
        <w:ind w:left="479"/>
        <w:jc w:val="center"/>
      </w:pPr>
      <w:r>
        <w:rPr>
          <w:b/>
          <w:color w:val="000000"/>
          <w:sz w:val="28"/>
        </w:rPr>
        <w:t xml:space="preserve">A DALŠÍCH ČINNOSTÍ </w:t>
      </w:r>
      <w:r>
        <w:t xml:space="preserve"> </w:t>
      </w:r>
    </w:p>
    <w:p w14:paraId="45C2E9D7" w14:textId="77777777" w:rsidR="0052739B" w:rsidRDefault="00591E40">
      <w:pPr>
        <w:spacing w:after="4" w:line="254" w:lineRule="auto"/>
        <w:ind w:left="96" w:right="3"/>
        <w:jc w:val="center"/>
      </w:pPr>
      <w:r>
        <w:t>č. DIL/35/04/</w:t>
      </w:r>
      <w:r>
        <w:rPr>
          <w:rFonts w:ascii="Times New Roman" w:eastAsia="Times New Roman" w:hAnsi="Times New Roman" w:cs="Times New Roman"/>
          <w:sz w:val="20"/>
        </w:rPr>
        <w:t xml:space="preserve"> </w:t>
      </w:r>
      <w:r>
        <w:t xml:space="preserve">012133/2021 </w:t>
      </w:r>
      <w:r>
        <w:t xml:space="preserve"> </w:t>
      </w:r>
    </w:p>
    <w:p w14:paraId="6191B9F1" w14:textId="77777777" w:rsidR="0052739B" w:rsidRDefault="00591E40">
      <w:pPr>
        <w:spacing w:after="0" w:line="259" w:lineRule="auto"/>
        <w:ind w:left="83" w:firstLine="0"/>
        <w:jc w:val="center"/>
      </w:pPr>
      <w:r>
        <w:t>(dále jen „</w:t>
      </w:r>
      <w:r>
        <w:rPr>
          <w:b/>
        </w:rPr>
        <w:t>Dodatek</w:t>
      </w:r>
      <w:r>
        <w:t xml:space="preserve">“)  </w:t>
      </w:r>
    </w:p>
    <w:p w14:paraId="2E972E6A" w14:textId="77777777" w:rsidR="0052739B" w:rsidRDefault="00591E40">
      <w:pPr>
        <w:spacing w:after="4" w:line="254" w:lineRule="auto"/>
        <w:ind w:left="96" w:right="86"/>
        <w:jc w:val="center"/>
      </w:pPr>
      <w:r>
        <w:t xml:space="preserve">který dnešního dne, měsíce a roku ve smyslu ustanovení § 2586 a násl. </w:t>
      </w:r>
      <w:r>
        <w:t>Z</w:t>
      </w:r>
      <w:r>
        <w:t xml:space="preserve">ák. č. 89/2012 Sb., občanský zákoník, ve znění pozdějších předpisů, uzavřely tyto: </w:t>
      </w:r>
      <w:r>
        <w:t xml:space="preserve"> </w:t>
      </w:r>
    </w:p>
    <w:p w14:paraId="78DC6681" w14:textId="77777777" w:rsidR="0052739B" w:rsidRDefault="00591E40">
      <w:pPr>
        <w:spacing w:after="0" w:line="259" w:lineRule="auto"/>
        <w:ind w:left="136" w:firstLine="0"/>
        <w:jc w:val="center"/>
      </w:pPr>
      <w:r>
        <w:t xml:space="preserve"> </w:t>
      </w:r>
    </w:p>
    <w:p w14:paraId="3A556670" w14:textId="77777777" w:rsidR="0052739B" w:rsidRDefault="00591E40">
      <w:pPr>
        <w:spacing w:after="4" w:line="254" w:lineRule="auto"/>
        <w:ind w:left="96"/>
        <w:jc w:val="center"/>
      </w:pPr>
      <w:r>
        <w:t xml:space="preserve">Smluvní strany: </w:t>
      </w:r>
      <w:r>
        <w:t xml:space="preserve"> </w:t>
      </w:r>
    </w:p>
    <w:p w14:paraId="7947AF06" w14:textId="77777777" w:rsidR="0052739B" w:rsidRDefault="00591E40">
      <w:pPr>
        <w:spacing w:after="0" w:line="259" w:lineRule="auto"/>
        <w:ind w:left="244" w:firstLine="0"/>
        <w:jc w:val="center"/>
      </w:pPr>
      <w:r>
        <w:t xml:space="preserve">  </w:t>
      </w:r>
    </w:p>
    <w:p w14:paraId="4E127F4D" w14:textId="77777777" w:rsidR="0052739B" w:rsidRDefault="00591E40">
      <w:pPr>
        <w:spacing w:after="3"/>
        <w:ind w:left="84"/>
        <w:jc w:val="left"/>
      </w:pPr>
      <w:r>
        <w:rPr>
          <w:b/>
        </w:rPr>
        <w:t xml:space="preserve">Hlavní město Praha </w:t>
      </w:r>
      <w:r>
        <w:t xml:space="preserve"> </w:t>
      </w:r>
    </w:p>
    <w:p w14:paraId="36AA8C35" w14:textId="77777777" w:rsidR="0052739B" w:rsidRDefault="00591E40">
      <w:pPr>
        <w:ind w:left="84"/>
      </w:pPr>
      <w:r>
        <w:t xml:space="preserve">se sídlem: Mariánské nám. 2/2, 110 01 Praha 1 </w:t>
      </w:r>
      <w:r>
        <w:t xml:space="preserve"> </w:t>
      </w:r>
    </w:p>
    <w:p w14:paraId="47D1A1EC" w14:textId="77777777" w:rsidR="0052739B" w:rsidRDefault="00591E40">
      <w:pPr>
        <w:ind w:left="84"/>
      </w:pPr>
      <w:r>
        <w:t xml:space="preserve">IČO: </w:t>
      </w:r>
      <w:proofErr w:type="gramStart"/>
      <w:r>
        <w:t xml:space="preserve">00064581 </w:t>
      </w:r>
      <w:r>
        <w:t xml:space="preserve"> </w:t>
      </w:r>
      <w:r>
        <w:t>DIČ</w:t>
      </w:r>
      <w:proofErr w:type="gramEnd"/>
      <w:r>
        <w:t xml:space="preserve">: CZ00064581 </w:t>
      </w:r>
      <w:r>
        <w:t xml:space="preserve"> </w:t>
      </w:r>
      <w:r>
        <w:t>zastoupené: Ing. Janem Rakem, ředitelem odboru hospodaření s</w:t>
      </w:r>
      <w:r>
        <w:t xml:space="preserve"> </w:t>
      </w:r>
      <w:r>
        <w:t xml:space="preserve">majetkem Magistrátu hlavního </w:t>
      </w:r>
    </w:p>
    <w:p w14:paraId="503DBE50" w14:textId="77777777" w:rsidR="0052739B" w:rsidRDefault="00591E40">
      <w:pPr>
        <w:ind w:left="84"/>
      </w:pPr>
      <w:r>
        <w:t xml:space="preserve">města Prahy </w:t>
      </w:r>
      <w:r>
        <w:t xml:space="preserve"> </w:t>
      </w:r>
    </w:p>
    <w:p w14:paraId="6BBAEC42" w14:textId="77777777" w:rsidR="0052739B" w:rsidRDefault="00591E40">
      <w:pPr>
        <w:ind w:left="84" w:right="2704"/>
      </w:pPr>
      <w:r>
        <w:t xml:space="preserve">bankovní spojení: PPF banka a.s., Evropská 2690/17, 160 41 Praha </w:t>
      </w:r>
      <w:proofErr w:type="gramStart"/>
      <w:r>
        <w:t xml:space="preserve">6 </w:t>
      </w:r>
      <w:r>
        <w:t xml:space="preserve"> </w:t>
      </w:r>
      <w:r>
        <w:t>čís</w:t>
      </w:r>
      <w:r>
        <w:t>lo</w:t>
      </w:r>
      <w:proofErr w:type="gramEnd"/>
      <w:r>
        <w:t xml:space="preserve"> účtu: 27</w:t>
      </w:r>
      <w:r>
        <w:t>-</w:t>
      </w:r>
      <w:r>
        <w:t xml:space="preserve">5157998/6000 </w:t>
      </w:r>
      <w:r>
        <w:t xml:space="preserve"> </w:t>
      </w:r>
    </w:p>
    <w:p w14:paraId="7D06A113" w14:textId="77777777" w:rsidR="0052739B" w:rsidRDefault="00591E40">
      <w:pPr>
        <w:ind w:left="84"/>
      </w:pPr>
      <w:r>
        <w:t>na straně jedné (dále jen pod označení</w:t>
      </w:r>
      <w:r>
        <w:t xml:space="preserve">m </w:t>
      </w:r>
      <w:r>
        <w:rPr>
          <w:b/>
          <w:i/>
        </w:rPr>
        <w:t xml:space="preserve">„objednatel“ </w:t>
      </w:r>
      <w:r>
        <w:t xml:space="preserve">nebo </w:t>
      </w:r>
      <w:r>
        <w:rPr>
          <w:b/>
          <w:i/>
        </w:rPr>
        <w:t>„HMP</w:t>
      </w:r>
      <w:r>
        <w:rPr>
          <w:i/>
        </w:rPr>
        <w:t>“</w:t>
      </w:r>
      <w:r>
        <w:t xml:space="preserve">)  </w:t>
      </w:r>
    </w:p>
    <w:p w14:paraId="025E54E9" w14:textId="77777777" w:rsidR="0052739B" w:rsidRDefault="00591E40">
      <w:pPr>
        <w:spacing w:after="0" w:line="259" w:lineRule="auto"/>
        <w:ind w:left="89" w:firstLine="0"/>
        <w:jc w:val="left"/>
      </w:pPr>
      <w:r>
        <w:t xml:space="preserve">  </w:t>
      </w:r>
    </w:p>
    <w:p w14:paraId="77EC1D9F" w14:textId="77777777" w:rsidR="0052739B" w:rsidRDefault="00591E40">
      <w:pPr>
        <w:ind w:left="84" w:right="9618"/>
      </w:pPr>
      <w:r>
        <w:t xml:space="preserve">a </w:t>
      </w:r>
      <w:r>
        <w:t xml:space="preserve">   </w:t>
      </w:r>
    </w:p>
    <w:p w14:paraId="383958B2" w14:textId="77777777" w:rsidR="0052739B" w:rsidRDefault="00591E40">
      <w:pPr>
        <w:ind w:left="84"/>
      </w:pPr>
      <w:r>
        <w:rPr>
          <w:b/>
        </w:rPr>
        <w:t xml:space="preserve">Technologie hlavního města Prahy, a.s. </w:t>
      </w:r>
      <w:r>
        <w:t xml:space="preserve">se sídlem: Dělnická 213/12, 170 00 Praha 7 </w:t>
      </w:r>
      <w:r>
        <w:t xml:space="preserve"> </w:t>
      </w:r>
    </w:p>
    <w:p w14:paraId="0B0C7FDB" w14:textId="77777777" w:rsidR="0052739B" w:rsidRDefault="00591E40">
      <w:pPr>
        <w:ind w:left="84"/>
      </w:pPr>
      <w:r>
        <w:t>IČO: 25672541 DIČ: CZ25672541 společnost zapsaná v</w:t>
      </w:r>
      <w:r>
        <w:t xml:space="preserve"> </w:t>
      </w:r>
      <w:r>
        <w:t>obchodním rejstříku vedeném Městským soudem v</w:t>
      </w:r>
      <w:r>
        <w:t xml:space="preserve"> </w:t>
      </w:r>
      <w:r>
        <w:t xml:space="preserve">Praze pod </w:t>
      </w:r>
      <w:proofErr w:type="spellStart"/>
      <w:r>
        <w:t>sp</w:t>
      </w:r>
      <w:proofErr w:type="spellEnd"/>
      <w:r>
        <w:t xml:space="preserve">. </w:t>
      </w:r>
      <w:r>
        <w:t>Z</w:t>
      </w:r>
      <w:r>
        <w:t xml:space="preserve">n. B 5402 </w:t>
      </w:r>
      <w:r>
        <w:t xml:space="preserve"> </w:t>
      </w:r>
    </w:p>
    <w:p w14:paraId="7991AA34" w14:textId="77777777" w:rsidR="0052739B" w:rsidRDefault="00591E40">
      <w:pPr>
        <w:ind w:left="84"/>
      </w:pPr>
      <w:proofErr w:type="gramStart"/>
      <w:r>
        <w:t xml:space="preserve">zastoupena: </w:t>
      </w:r>
      <w:r>
        <w:t xml:space="preserve"> </w:t>
      </w:r>
      <w:r>
        <w:t>Tomášem</w:t>
      </w:r>
      <w:proofErr w:type="gramEnd"/>
      <w:r>
        <w:t xml:space="preserve"> Jílkem, předsedou představenstva společnosti </w:t>
      </w:r>
      <w:r>
        <w:t xml:space="preserve"> </w:t>
      </w:r>
    </w:p>
    <w:p w14:paraId="643B8F30" w14:textId="77777777" w:rsidR="0052739B" w:rsidRDefault="00591E40">
      <w:pPr>
        <w:spacing w:after="4" w:line="254" w:lineRule="auto"/>
        <w:ind w:left="96" w:right="125"/>
        <w:jc w:val="center"/>
      </w:pPr>
      <w:r>
        <w:t>Ing. Tomášem Novotným, místopředsedou představenstva společnosti</w:t>
      </w:r>
      <w:r>
        <w:t xml:space="preserve">  </w:t>
      </w:r>
    </w:p>
    <w:p w14:paraId="5BF11FD8" w14:textId="77777777" w:rsidR="0052739B" w:rsidRDefault="00591E40">
      <w:pPr>
        <w:ind w:left="84"/>
      </w:pPr>
      <w:r>
        <w:t xml:space="preserve">bankovní spojení: Komerční banka, a.s. </w:t>
      </w:r>
      <w:r>
        <w:t xml:space="preserve"> </w:t>
      </w:r>
    </w:p>
    <w:p w14:paraId="4C5F8187" w14:textId="77777777" w:rsidR="0052739B" w:rsidRDefault="00591E40">
      <w:pPr>
        <w:ind w:left="84"/>
      </w:pPr>
      <w:r>
        <w:t>číslo účtu: 115</w:t>
      </w:r>
      <w:r>
        <w:t>-</w:t>
      </w:r>
      <w:r>
        <w:t xml:space="preserve">5836140217/0100 </w:t>
      </w:r>
      <w:r>
        <w:rPr>
          <w:b/>
        </w:rPr>
        <w:t xml:space="preserve"> </w:t>
      </w:r>
    </w:p>
    <w:p w14:paraId="06F8ECA4" w14:textId="77777777" w:rsidR="0052739B" w:rsidRDefault="00591E40">
      <w:pPr>
        <w:ind w:left="84"/>
      </w:pPr>
      <w:r>
        <w:t xml:space="preserve">na straně druhé (dále jen pod označením </w:t>
      </w:r>
      <w:r>
        <w:rPr>
          <w:b/>
          <w:i/>
        </w:rPr>
        <w:t xml:space="preserve">„zhotovitel“ </w:t>
      </w:r>
      <w:r>
        <w:t xml:space="preserve">nebo </w:t>
      </w:r>
      <w:r>
        <w:rPr>
          <w:b/>
          <w:i/>
        </w:rPr>
        <w:t>„THMP</w:t>
      </w:r>
      <w:r>
        <w:rPr>
          <w:i/>
        </w:rPr>
        <w:t>“</w:t>
      </w:r>
      <w:r>
        <w:t xml:space="preserve">)  </w:t>
      </w:r>
    </w:p>
    <w:p w14:paraId="169B05D4" w14:textId="77777777" w:rsidR="0052739B" w:rsidRDefault="00591E40">
      <w:pPr>
        <w:ind w:left="84"/>
      </w:pPr>
      <w:r>
        <w:t>(objednatel a zhotovitel dále společně též jako „</w:t>
      </w:r>
      <w:r>
        <w:rPr>
          <w:b/>
        </w:rPr>
        <w:t>Smluvní strany</w:t>
      </w:r>
      <w:r>
        <w:t xml:space="preserve">“ nebo každá samostatně též jako </w:t>
      </w:r>
      <w:r>
        <w:t>„</w:t>
      </w:r>
      <w:r>
        <w:rPr>
          <w:b/>
        </w:rPr>
        <w:t>Smluvní stran</w:t>
      </w:r>
      <w:r>
        <w:rPr>
          <w:b/>
        </w:rPr>
        <w:t>a</w:t>
      </w:r>
      <w:r>
        <w:t xml:space="preserve">“)  </w:t>
      </w:r>
    </w:p>
    <w:p w14:paraId="543B5CF9" w14:textId="77777777" w:rsidR="0052739B" w:rsidRDefault="00591E40">
      <w:pPr>
        <w:spacing w:after="29" w:line="259" w:lineRule="auto"/>
        <w:ind w:left="89" w:firstLine="0"/>
        <w:jc w:val="left"/>
      </w:pPr>
      <w:r>
        <w:t xml:space="preserve">  </w:t>
      </w:r>
    </w:p>
    <w:p w14:paraId="046A96D3" w14:textId="77777777" w:rsidR="0052739B" w:rsidRDefault="00591E40">
      <w:pPr>
        <w:spacing w:after="21" w:line="259" w:lineRule="auto"/>
        <w:ind w:left="132" w:firstLine="0"/>
        <w:jc w:val="center"/>
      </w:pPr>
      <w:r>
        <w:rPr>
          <w:color w:val="000000"/>
          <w:sz w:val="22"/>
        </w:rPr>
        <w:t xml:space="preserve"> </w:t>
      </w:r>
    </w:p>
    <w:p w14:paraId="0828D261" w14:textId="77777777" w:rsidR="0052739B" w:rsidRDefault="00591E40">
      <w:pPr>
        <w:spacing w:after="0" w:line="259" w:lineRule="auto"/>
        <w:ind w:left="136" w:firstLine="0"/>
        <w:jc w:val="center"/>
      </w:pPr>
      <w:r>
        <w:rPr>
          <w:b/>
        </w:rPr>
        <w:t xml:space="preserve"> </w:t>
      </w:r>
    </w:p>
    <w:p w14:paraId="211B8FC8" w14:textId="77777777" w:rsidR="0052739B" w:rsidRDefault="00591E40">
      <w:pPr>
        <w:spacing w:after="0" w:line="259" w:lineRule="auto"/>
        <w:ind w:left="136" w:firstLine="0"/>
        <w:jc w:val="center"/>
      </w:pPr>
      <w:r>
        <w:rPr>
          <w:b/>
        </w:rPr>
        <w:t xml:space="preserve"> </w:t>
      </w:r>
    </w:p>
    <w:p w14:paraId="3967BC81" w14:textId="77777777" w:rsidR="0052739B" w:rsidRDefault="00591E40">
      <w:pPr>
        <w:spacing w:after="3"/>
        <w:ind w:left="5078" w:right="4709" w:hanging="79"/>
        <w:jc w:val="left"/>
      </w:pPr>
      <w:r>
        <w:rPr>
          <w:b/>
        </w:rPr>
        <w:lastRenderedPageBreak/>
        <w:t xml:space="preserve"> I.</w:t>
      </w:r>
      <w:r>
        <w:t xml:space="preserve"> </w:t>
      </w:r>
    </w:p>
    <w:p w14:paraId="5BB77A54" w14:textId="77777777" w:rsidR="0052739B" w:rsidRDefault="00591E40">
      <w:pPr>
        <w:spacing w:after="0" w:line="259" w:lineRule="auto"/>
        <w:ind w:left="96" w:right="3"/>
        <w:jc w:val="center"/>
      </w:pPr>
      <w:r>
        <w:rPr>
          <w:b/>
        </w:rPr>
        <w:t xml:space="preserve">Základní pojmy  </w:t>
      </w:r>
    </w:p>
    <w:p w14:paraId="28DCBDB6" w14:textId="77777777" w:rsidR="0052739B" w:rsidRDefault="00591E40">
      <w:pPr>
        <w:spacing w:after="83" w:line="259" w:lineRule="auto"/>
        <w:ind w:left="3641" w:firstLine="0"/>
        <w:jc w:val="left"/>
      </w:pPr>
      <w:r>
        <w:rPr>
          <w:b/>
        </w:rPr>
        <w:t xml:space="preserve"> </w:t>
      </w:r>
      <w:r>
        <w:t xml:space="preserve"> </w:t>
      </w:r>
    </w:p>
    <w:p w14:paraId="3766B6C0" w14:textId="77777777" w:rsidR="0052739B" w:rsidRDefault="00591E40">
      <w:pPr>
        <w:tabs>
          <w:tab w:val="center" w:pos="4176"/>
        </w:tabs>
        <w:spacing w:after="377"/>
        <w:ind w:left="0" w:firstLine="0"/>
        <w:jc w:val="left"/>
      </w:pPr>
      <w:proofErr w:type="gramStart"/>
      <w:r>
        <w:t>1.1.</w:t>
      </w:r>
      <w:r>
        <w:rPr>
          <w:rFonts w:ascii="Arial" w:eastAsia="Arial" w:hAnsi="Arial" w:cs="Arial"/>
        </w:rPr>
        <w:t xml:space="preserve">  </w:t>
      </w:r>
      <w:r>
        <w:rPr>
          <w:rFonts w:ascii="Arial" w:eastAsia="Arial" w:hAnsi="Arial" w:cs="Arial"/>
        </w:rPr>
        <w:tab/>
      </w:r>
      <w:proofErr w:type="gramEnd"/>
      <w:r>
        <w:t>Pří</w:t>
      </w:r>
      <w:r>
        <w:t xml:space="preserve"> </w:t>
      </w:r>
      <w:r>
        <w:t xml:space="preserve">výkladu tohoto Dodatku budou následující pojmy vykládány takto:  </w:t>
      </w:r>
      <w:r>
        <w:t xml:space="preserve"> </w:t>
      </w:r>
    </w:p>
    <w:p w14:paraId="7A7DB019" w14:textId="77777777" w:rsidR="0052739B" w:rsidRDefault="00591E40">
      <w:pPr>
        <w:spacing w:after="352"/>
        <w:ind w:left="1507" w:hanging="710"/>
      </w:pPr>
      <w:r>
        <w:t>1.1.1.</w:t>
      </w:r>
      <w:r>
        <w:rPr>
          <w:rFonts w:ascii="Arial" w:eastAsia="Arial" w:hAnsi="Arial" w:cs="Arial"/>
          <w:b/>
        </w:rPr>
        <w:t xml:space="preserve"> </w:t>
      </w:r>
      <w:r>
        <w:rPr>
          <w:b/>
        </w:rPr>
        <w:t>„Občanský zákoník“</w:t>
      </w:r>
      <w:r>
        <w:t xml:space="preserve"> </w:t>
      </w:r>
      <w:r>
        <w:t xml:space="preserve">zákon č. 89/2012 Sb., občanský zákoník, ve znění pozdějších předpisů.  </w:t>
      </w:r>
      <w:r>
        <w:t xml:space="preserve"> </w:t>
      </w:r>
    </w:p>
    <w:p w14:paraId="42D9B2CE" w14:textId="77777777" w:rsidR="0052739B" w:rsidRDefault="00591E40">
      <w:pPr>
        <w:spacing w:after="35"/>
        <w:ind w:left="797"/>
      </w:pPr>
      <w:r>
        <w:t>1.1.2.</w:t>
      </w:r>
      <w:r>
        <w:rPr>
          <w:rFonts w:ascii="Arial" w:eastAsia="Arial" w:hAnsi="Arial" w:cs="Arial"/>
          <w:b/>
        </w:rPr>
        <w:t xml:space="preserve"> </w:t>
      </w:r>
      <w:r>
        <w:t>„</w:t>
      </w:r>
      <w:r>
        <w:rPr>
          <w:b/>
        </w:rPr>
        <w:t>Prvky mobiliáře</w:t>
      </w:r>
      <w:r>
        <w:t xml:space="preserve">“ jsou prvky mobiliáře, které jsou uvedeny v čl. III odst.  3.2. </w:t>
      </w:r>
      <w:r>
        <w:t xml:space="preserve"> </w:t>
      </w:r>
    </w:p>
    <w:p w14:paraId="34AD6F44" w14:textId="77777777" w:rsidR="0052739B" w:rsidRDefault="00591E40">
      <w:pPr>
        <w:spacing w:after="357"/>
        <w:ind w:left="1517"/>
      </w:pPr>
      <w:r>
        <w:t>smlouvy č. DIL/35/04/ 012133/2021 a jejichž bližší specifikace je obsažena v Příloze č. 1 tét</w:t>
      </w:r>
      <w:r>
        <w:t xml:space="preserve">o smlouvy, resp. jednotlivých výzvách, či náhradní díly. </w:t>
      </w:r>
      <w:r>
        <w:t xml:space="preserve"> </w:t>
      </w:r>
    </w:p>
    <w:p w14:paraId="7C9242CA" w14:textId="77777777" w:rsidR="0052739B" w:rsidRDefault="00591E40">
      <w:pPr>
        <w:spacing w:after="354"/>
        <w:ind w:left="1507" w:hanging="710"/>
      </w:pPr>
      <w:r>
        <w:t>1.1.3.</w:t>
      </w:r>
      <w:r>
        <w:rPr>
          <w:rFonts w:ascii="Arial" w:eastAsia="Arial" w:hAnsi="Arial" w:cs="Arial"/>
          <w:b/>
        </w:rPr>
        <w:t xml:space="preserve"> </w:t>
      </w:r>
      <w:r>
        <w:rPr>
          <w:b/>
        </w:rPr>
        <w:t>„Zákon o HMP“</w:t>
      </w:r>
      <w:r>
        <w:t xml:space="preserve"> </w:t>
      </w:r>
      <w:r>
        <w:t xml:space="preserve">je zákon č. 131/2000 Sb., o hlavním městě Praze, ve znění pozdějších předpisů.  </w:t>
      </w:r>
      <w:r>
        <w:t xml:space="preserve"> </w:t>
      </w:r>
    </w:p>
    <w:p w14:paraId="12193D57" w14:textId="77777777" w:rsidR="0052739B" w:rsidRDefault="00591E40">
      <w:pPr>
        <w:spacing w:after="284"/>
        <w:ind w:left="1507" w:hanging="710"/>
      </w:pPr>
      <w:r>
        <w:t>1.1.4.</w:t>
      </w:r>
      <w:r>
        <w:rPr>
          <w:rFonts w:ascii="Arial" w:eastAsia="Arial" w:hAnsi="Arial" w:cs="Arial"/>
          <w:b/>
        </w:rPr>
        <w:t xml:space="preserve"> </w:t>
      </w:r>
      <w:r>
        <w:rPr>
          <w:b/>
        </w:rPr>
        <w:t>„ZZVZ“</w:t>
      </w:r>
      <w:r>
        <w:t xml:space="preserve"> </w:t>
      </w:r>
      <w:r>
        <w:t>je zákon č. 134/2016 Sb., o zadávání veřejných zakázek, ve znění pozdějších před</w:t>
      </w:r>
      <w:r>
        <w:t>pisů</w:t>
      </w:r>
      <w:r>
        <w:t xml:space="preserve"> </w:t>
      </w:r>
    </w:p>
    <w:p w14:paraId="6D52F31E" w14:textId="77777777" w:rsidR="0052739B" w:rsidRDefault="00591E40">
      <w:pPr>
        <w:spacing w:after="289"/>
        <w:ind w:left="1507" w:hanging="710"/>
        <w:jc w:val="left"/>
      </w:pPr>
      <w:r>
        <w:t>1.1.5.</w:t>
      </w:r>
      <w:r>
        <w:rPr>
          <w:b/>
        </w:rPr>
        <w:t xml:space="preserve"> „Smlouva“ je RÁMCOVÁ SMLOUVA NA ZAJIŠTĚNÍ VYBRANÝCH PRVKŮ MĚSTSKÉHO MOBILIÁŘE A DALŠÍCH ČINNOSTÍ č. DIL/35/04/012133/2021 ZE DNE 16. 07. 2021</w:t>
      </w:r>
      <w:r>
        <w:t xml:space="preserve">. </w:t>
      </w:r>
      <w:r>
        <w:t xml:space="preserve"> </w:t>
      </w:r>
    </w:p>
    <w:p w14:paraId="2245AECD" w14:textId="77777777" w:rsidR="0052739B" w:rsidRDefault="00591E40">
      <w:pPr>
        <w:spacing w:after="302"/>
        <w:ind w:left="768" w:hanging="694"/>
      </w:pPr>
      <w:r>
        <w:t>1.2.</w:t>
      </w:r>
      <w:r>
        <w:t xml:space="preserve">    </w:t>
      </w:r>
      <w:r>
        <w:t>Pojmy uvedené v tomto Dodatku s velkým počátečním písmenem mají tentýž význam, který je ji</w:t>
      </w:r>
      <w:r>
        <w:t>m přisuzován v</w:t>
      </w:r>
      <w:r>
        <w:t>e S</w:t>
      </w:r>
      <w:r>
        <w:t xml:space="preserve">mlouvě. </w:t>
      </w:r>
      <w:r>
        <w:t xml:space="preserve"> </w:t>
      </w:r>
    </w:p>
    <w:p w14:paraId="664FAD56" w14:textId="77777777" w:rsidR="0052739B" w:rsidRDefault="00591E40">
      <w:pPr>
        <w:tabs>
          <w:tab w:val="center" w:pos="4641"/>
        </w:tabs>
        <w:spacing w:after="291"/>
        <w:ind w:left="0" w:firstLine="0"/>
        <w:jc w:val="left"/>
      </w:pPr>
      <w:proofErr w:type="gramStart"/>
      <w:r>
        <w:t>1.3.</w:t>
      </w:r>
      <w:r>
        <w:t xml:space="preserve">  </w:t>
      </w:r>
      <w:r>
        <w:tab/>
      </w:r>
      <w:proofErr w:type="gramEnd"/>
      <w:r>
        <w:t xml:space="preserve">Definice některých dalších pojmů mohou být obsaženy v textu tohoto Dodatku. </w:t>
      </w:r>
      <w:r>
        <w:t xml:space="preserve"> </w:t>
      </w:r>
    </w:p>
    <w:p w14:paraId="19B9A54B" w14:textId="77777777" w:rsidR="0052739B" w:rsidRDefault="00591E40">
      <w:pPr>
        <w:spacing w:after="20" w:line="259" w:lineRule="auto"/>
        <w:ind w:left="797" w:firstLine="0"/>
        <w:jc w:val="left"/>
      </w:pPr>
      <w:r>
        <w:t xml:space="preserve">  </w:t>
      </w:r>
    </w:p>
    <w:p w14:paraId="0206FB0D" w14:textId="77777777" w:rsidR="0052739B" w:rsidRDefault="00591E40">
      <w:pPr>
        <w:spacing w:after="51" w:line="259" w:lineRule="auto"/>
        <w:ind w:left="797" w:firstLine="0"/>
        <w:jc w:val="left"/>
      </w:pPr>
      <w:r>
        <w:t xml:space="preserve">  </w:t>
      </w:r>
    </w:p>
    <w:p w14:paraId="60D9DC2A" w14:textId="77777777" w:rsidR="0052739B" w:rsidRDefault="00591E40">
      <w:pPr>
        <w:spacing w:after="0" w:line="259" w:lineRule="auto"/>
        <w:ind w:left="96" w:right="2"/>
        <w:jc w:val="center"/>
      </w:pPr>
      <w:r>
        <w:rPr>
          <w:b/>
        </w:rPr>
        <w:t>II.</w:t>
      </w:r>
      <w:r>
        <w:t xml:space="preserve"> </w:t>
      </w:r>
    </w:p>
    <w:p w14:paraId="20E02B2D" w14:textId="77777777" w:rsidR="0052739B" w:rsidRDefault="00591E40">
      <w:pPr>
        <w:spacing w:after="0" w:line="259" w:lineRule="auto"/>
        <w:ind w:left="96" w:right="3"/>
        <w:jc w:val="center"/>
      </w:pPr>
      <w:r>
        <w:rPr>
          <w:b/>
        </w:rPr>
        <w:t xml:space="preserve">Úvodní ustanovení   </w:t>
      </w:r>
    </w:p>
    <w:p w14:paraId="52E527C0" w14:textId="77777777" w:rsidR="0052739B" w:rsidRDefault="00591E40">
      <w:pPr>
        <w:spacing w:after="0" w:line="259" w:lineRule="auto"/>
        <w:ind w:left="3634" w:firstLine="0"/>
        <w:jc w:val="left"/>
      </w:pPr>
      <w:r>
        <w:rPr>
          <w:b/>
        </w:rPr>
        <w:t xml:space="preserve"> </w:t>
      </w:r>
      <w:r>
        <w:t xml:space="preserve"> </w:t>
      </w:r>
    </w:p>
    <w:p w14:paraId="3C32D8C0" w14:textId="77777777" w:rsidR="0052739B" w:rsidRDefault="00591E40">
      <w:pPr>
        <w:spacing w:after="313"/>
        <w:ind w:left="807"/>
      </w:pPr>
      <w:r>
        <w:t xml:space="preserve">Vzhledem k tomu, že </w:t>
      </w:r>
      <w:r>
        <w:t xml:space="preserve"> </w:t>
      </w:r>
    </w:p>
    <w:p w14:paraId="05B21C17" w14:textId="77777777" w:rsidR="0052739B" w:rsidRDefault="00591E40">
      <w:pPr>
        <w:spacing w:after="355"/>
        <w:ind w:left="768" w:hanging="694"/>
      </w:pPr>
      <w:r>
        <w:t>2.1.</w:t>
      </w:r>
      <w:r>
        <w:rPr>
          <w:rFonts w:ascii="Arial" w:eastAsia="Arial" w:hAnsi="Arial" w:cs="Arial"/>
        </w:rPr>
        <w:t xml:space="preserve">   </w:t>
      </w:r>
      <w:r>
        <w:t xml:space="preserve">HMP je veřejnoprávní korporací, jejíž postavení jako kraje a obce upravuje Zákon o HMP. V souladu s tímto Zákonem o HMP má HMP vlastní majetek, vlastní příjmy vymezené tímto nebo zvláštním zákonem a </w:t>
      </w:r>
      <w:proofErr w:type="gramStart"/>
      <w:r>
        <w:t>hospodaří</w:t>
      </w:r>
      <w:proofErr w:type="gramEnd"/>
      <w:r>
        <w:t xml:space="preserve"> za podmínek stanovených tímto nebo zvláštním zá</w:t>
      </w:r>
      <w:r>
        <w:t xml:space="preserve">konem </w:t>
      </w:r>
      <w:r>
        <w:t xml:space="preserve">podle vlastního rozpočtu.  </w:t>
      </w:r>
      <w:r>
        <w:t xml:space="preserve"> </w:t>
      </w:r>
    </w:p>
    <w:p w14:paraId="1CEC45C5" w14:textId="77777777" w:rsidR="0052739B" w:rsidRDefault="00591E40">
      <w:pPr>
        <w:ind w:left="782" w:hanging="708"/>
      </w:pPr>
      <w:r>
        <w:t>2.2.</w:t>
      </w:r>
      <w:r>
        <w:rPr>
          <w:rFonts w:ascii="Arial" w:eastAsia="Arial" w:hAnsi="Arial" w:cs="Arial"/>
        </w:rPr>
        <w:t xml:space="preserve">    </w:t>
      </w:r>
      <w:r>
        <w:t>Zhotovitel je subjektem, který naplňuje podmínky uvedené v ustanovení § 11 odst. 1 ZZVZ, neboť je společností, která byla založena pro plnění úkolů, které ji byly svěřeny HMP, a které představují více než 80 % cel</w:t>
      </w:r>
      <w:r>
        <w:t>kové činnosti zhotovitele. HMP ovládá zhotovitele obdobně jako své vnitřní organizační jednotky a v takto ovládané osobě nemá majetkovou účast jiná osoba než HMP.</w:t>
      </w:r>
      <w:r>
        <w:t xml:space="preserve"> </w:t>
      </w:r>
    </w:p>
    <w:p w14:paraId="2F3D5EE0" w14:textId="77777777" w:rsidR="0052739B" w:rsidRDefault="00591E40">
      <w:pPr>
        <w:spacing w:after="15" w:line="259" w:lineRule="auto"/>
        <w:ind w:left="74" w:firstLine="0"/>
        <w:jc w:val="left"/>
      </w:pPr>
      <w:r>
        <w:lastRenderedPageBreak/>
        <w:t xml:space="preserve"> </w:t>
      </w:r>
    </w:p>
    <w:p w14:paraId="606D75B7" w14:textId="77777777" w:rsidR="0052739B" w:rsidRDefault="00591E40">
      <w:pPr>
        <w:spacing w:after="286"/>
        <w:ind w:left="768" w:hanging="694"/>
      </w:pPr>
      <w:r>
        <w:t xml:space="preserve"> </w:t>
      </w:r>
      <w:r>
        <w:t>2.3.</w:t>
      </w:r>
      <w:r>
        <w:t xml:space="preserve">    </w:t>
      </w:r>
      <w:r>
        <w:t>Smluvní strany prohlašují, že uzavřely Smlouvu</w:t>
      </w:r>
      <w:r>
        <w:t xml:space="preserve"> </w:t>
      </w:r>
      <w:r>
        <w:t>dne 16. 07. 2021, ve znění pozdějš</w:t>
      </w:r>
      <w:r>
        <w:t>ího</w:t>
      </w:r>
      <w:r>
        <w:t xml:space="preserve"> </w:t>
      </w:r>
      <w:r>
        <w:t>Dodatku</w:t>
      </w:r>
      <w:r>
        <w:t xml:space="preserve"> </w:t>
      </w:r>
      <w:r>
        <w:t>č. 1</w:t>
      </w:r>
      <w:r>
        <w:t xml:space="preserve"> </w:t>
      </w:r>
      <w:r>
        <w:t>ze dne 10.05.2022,na jejímž základě zhotovitel na svůj náklad a nebezpečí zajišťuje pro objednatele výstavbu, vč. dodávek a instalace, vybraných Prvků mobiliáře, přípojek inženýrských sítí včetně smluvní dokumentace s provozovateli sítí, z</w:t>
      </w:r>
      <w:r>
        <w:t>ajišťuje potřebná opatření spojená s instalací Prvků mobiliáře (např. dopravní inženýrská opatření, omezení městské hromadné dopravy apod.), v případě potřeby zajišťuje také dopracování projekční dokumentace dílčích částí Prvků mobiliáře, a to postupem a d</w:t>
      </w:r>
      <w:r>
        <w:t>le podmínek stanovených ve Smlouvě. Smluvní strany rovněž prohlašují, že uzavřely dne 3.</w:t>
      </w:r>
      <w:r>
        <w:t xml:space="preserve"> </w:t>
      </w:r>
      <w:r>
        <w:t>5. 2023 Dodatek č. 2, jehož předmětem je změna Přílohy č. 5 Smlouvy.</w:t>
      </w:r>
      <w:r>
        <w:t xml:space="preserve"> </w:t>
      </w:r>
    </w:p>
    <w:p w14:paraId="6249CC1D" w14:textId="77777777" w:rsidR="0052739B" w:rsidRDefault="00591E40">
      <w:pPr>
        <w:spacing w:after="239" w:line="276" w:lineRule="auto"/>
        <w:ind w:left="792" w:right="2" w:hanging="718"/>
      </w:pPr>
      <w:r>
        <w:rPr>
          <w:color w:val="000000"/>
        </w:rPr>
        <w:t>2.4.     S ohledem na stávající probíhající jednání ohledně zajišťování prvků městského mobiliáře</w:t>
      </w:r>
      <w:r>
        <w:rPr>
          <w:color w:val="000000"/>
        </w:rPr>
        <w:t>, a s ohledem na požadavky Městských částí k této záležitosti Smluvní strany mají zájem na prodloužení doby plnění Předmětu Smlouvy tak, aby došlo k úspoře finančních prostředků, a rovněž aby byla zajištěna kontinuita v poskytování služeb, dohodly se v sou</w:t>
      </w:r>
      <w:r>
        <w:rPr>
          <w:color w:val="000000"/>
        </w:rPr>
        <w:t xml:space="preserve">ladu s čl. VIII. odst. 8.4 Smlouvy na změně Smlouvy formou uzavření tohoto Dodatku, a v to v níže uvedeném znění.  </w:t>
      </w:r>
    </w:p>
    <w:p w14:paraId="44285E2F" w14:textId="77777777" w:rsidR="0052739B" w:rsidRDefault="00591E40">
      <w:pPr>
        <w:spacing w:after="260" w:line="259" w:lineRule="auto"/>
        <w:ind w:left="136" w:firstLine="0"/>
        <w:jc w:val="center"/>
      </w:pPr>
      <w:r>
        <w:rPr>
          <w:b/>
        </w:rPr>
        <w:t xml:space="preserve"> </w:t>
      </w:r>
    </w:p>
    <w:p w14:paraId="5BB20F42" w14:textId="77777777" w:rsidR="0052739B" w:rsidRDefault="00591E40">
      <w:pPr>
        <w:spacing w:after="0" w:line="259" w:lineRule="auto"/>
        <w:ind w:left="96"/>
        <w:jc w:val="center"/>
      </w:pPr>
      <w:r>
        <w:rPr>
          <w:b/>
        </w:rPr>
        <w:t>III.</w:t>
      </w:r>
      <w:r>
        <w:t xml:space="preserve"> </w:t>
      </w:r>
    </w:p>
    <w:p w14:paraId="59003D2D" w14:textId="77777777" w:rsidR="0052739B" w:rsidRDefault="00591E40">
      <w:pPr>
        <w:spacing w:after="0" w:line="259" w:lineRule="auto"/>
        <w:ind w:left="96" w:right="2"/>
        <w:jc w:val="center"/>
      </w:pPr>
      <w:r>
        <w:rPr>
          <w:b/>
        </w:rPr>
        <w:t xml:space="preserve">Předmět Dodatku  </w:t>
      </w:r>
    </w:p>
    <w:p w14:paraId="7937DE41" w14:textId="77777777" w:rsidR="0052739B" w:rsidRDefault="00591E40">
      <w:pPr>
        <w:spacing w:after="28" w:line="259" w:lineRule="auto"/>
        <w:ind w:left="89" w:firstLine="0"/>
        <w:jc w:val="left"/>
      </w:pPr>
      <w:r>
        <w:rPr>
          <w:b/>
        </w:rPr>
        <w:t xml:space="preserve"> </w:t>
      </w:r>
      <w:r>
        <w:t xml:space="preserve"> </w:t>
      </w:r>
    </w:p>
    <w:p w14:paraId="6F566DEE" w14:textId="77777777" w:rsidR="0052739B" w:rsidRDefault="00591E40">
      <w:pPr>
        <w:tabs>
          <w:tab w:val="center" w:pos="4479"/>
          <w:tab w:val="center" w:pos="8585"/>
        </w:tabs>
        <w:spacing w:after="0" w:line="259" w:lineRule="auto"/>
        <w:ind w:left="0" w:firstLine="0"/>
        <w:jc w:val="left"/>
      </w:pPr>
      <w:proofErr w:type="gramStart"/>
      <w:r>
        <w:t xml:space="preserve">3.1.  </w:t>
      </w:r>
      <w:r>
        <w:tab/>
      </w:r>
      <w:proofErr w:type="gramEnd"/>
      <w:r>
        <w:t xml:space="preserve">Čl. IV. odst. 4.1. Smlouvy se v </w:t>
      </w:r>
      <w:r>
        <w:t xml:space="preserve">plném rozsahu nahrazuje novým zněním takto:  </w:t>
      </w:r>
      <w:r>
        <w:tab/>
        <w:t xml:space="preserve">   </w:t>
      </w:r>
    </w:p>
    <w:p w14:paraId="61C42949" w14:textId="77777777" w:rsidR="0052739B" w:rsidRDefault="00591E40">
      <w:pPr>
        <w:spacing w:after="0" w:line="259" w:lineRule="auto"/>
        <w:ind w:left="98" w:firstLine="0"/>
        <w:jc w:val="left"/>
      </w:pPr>
      <w:r>
        <w:t xml:space="preserve"> </w:t>
      </w:r>
    </w:p>
    <w:p w14:paraId="3D70D007" w14:textId="77777777" w:rsidR="0052739B" w:rsidRDefault="00591E40">
      <w:pPr>
        <w:spacing w:line="250" w:lineRule="auto"/>
        <w:ind w:left="791" w:firstLine="0"/>
      </w:pPr>
      <w:r>
        <w:rPr>
          <w:i/>
          <w:color w:val="000000"/>
        </w:rPr>
        <w:t>4.1. Tato Smlouva je uzavírána na dobu určitou, a to po částečném uplatnění vyhrazené změny závazku dle čl. VIII této Smlouvy do 31.12.2023; v případě úplného uplatnění vyhrazené změny závazku dle čl. VII</w:t>
      </w:r>
      <w:r>
        <w:rPr>
          <w:i/>
          <w:color w:val="000000"/>
        </w:rPr>
        <w:t xml:space="preserve">I této Smlouvy nejpozději pak do 31.12.2026. </w:t>
      </w:r>
    </w:p>
    <w:p w14:paraId="2BE975B6" w14:textId="77777777" w:rsidR="0052739B" w:rsidRDefault="00591E40">
      <w:pPr>
        <w:spacing w:after="17" w:line="259" w:lineRule="auto"/>
        <w:ind w:left="89" w:firstLine="0"/>
        <w:jc w:val="left"/>
      </w:pPr>
      <w:r>
        <w:t xml:space="preserve"> </w:t>
      </w:r>
    </w:p>
    <w:p w14:paraId="36558070" w14:textId="77777777" w:rsidR="0052739B" w:rsidRDefault="00591E40">
      <w:pPr>
        <w:spacing w:after="0" w:line="259" w:lineRule="auto"/>
        <w:ind w:left="84"/>
        <w:jc w:val="left"/>
      </w:pPr>
      <w:r>
        <w:t xml:space="preserve">3.2.      Čl. VII odst. 7.1 Smlouvy se v plném rozsahu nahrazuje novým zněním takto:  </w:t>
      </w:r>
    </w:p>
    <w:p w14:paraId="092D20CF" w14:textId="77777777" w:rsidR="0052739B" w:rsidRDefault="00591E40">
      <w:pPr>
        <w:spacing w:after="20" w:line="259" w:lineRule="auto"/>
        <w:ind w:left="89" w:firstLine="0"/>
        <w:jc w:val="left"/>
      </w:pPr>
      <w:r>
        <w:t xml:space="preserve"> </w:t>
      </w:r>
    </w:p>
    <w:p w14:paraId="235049B1" w14:textId="77777777" w:rsidR="0052739B" w:rsidRDefault="00591E40">
      <w:pPr>
        <w:spacing w:line="250" w:lineRule="auto"/>
        <w:ind w:left="791" w:firstLine="0"/>
      </w:pPr>
      <w:r>
        <w:rPr>
          <w:i/>
          <w:color w:val="000000"/>
        </w:rPr>
        <w:t>7.1. Zhotovitel je povinen Dílo provést a dokončit nejpozději do 31.12.2023.</w:t>
      </w:r>
      <w:r>
        <w:rPr>
          <w:color w:val="000000"/>
        </w:rPr>
        <w:t xml:space="preserve"> </w:t>
      </w:r>
    </w:p>
    <w:p w14:paraId="5A27D062" w14:textId="77777777" w:rsidR="0052739B" w:rsidRDefault="00591E40">
      <w:pPr>
        <w:spacing w:after="0" w:line="259" w:lineRule="auto"/>
        <w:ind w:left="558" w:firstLine="0"/>
        <w:jc w:val="center"/>
      </w:pPr>
      <w:r>
        <w:rPr>
          <w:color w:val="000000"/>
        </w:rPr>
        <w:t xml:space="preserve"> </w:t>
      </w:r>
    </w:p>
    <w:p w14:paraId="44722B93" w14:textId="77777777" w:rsidR="0052739B" w:rsidRDefault="00591E40">
      <w:pPr>
        <w:spacing w:after="0" w:line="260" w:lineRule="auto"/>
        <w:ind w:left="5074" w:right="4381" w:firstLine="137"/>
        <w:jc w:val="left"/>
      </w:pPr>
      <w:r>
        <w:rPr>
          <w:color w:val="000000"/>
        </w:rPr>
        <w:t xml:space="preserve"> </w:t>
      </w:r>
      <w:r>
        <w:rPr>
          <w:b/>
          <w:color w:val="000000"/>
        </w:rPr>
        <w:t xml:space="preserve">IV. </w:t>
      </w:r>
      <w:r>
        <w:t xml:space="preserve"> </w:t>
      </w:r>
    </w:p>
    <w:p w14:paraId="6AFE766C" w14:textId="77777777" w:rsidR="0052739B" w:rsidRDefault="00591E40">
      <w:pPr>
        <w:spacing w:after="0" w:line="259" w:lineRule="auto"/>
        <w:ind w:left="506" w:firstLine="0"/>
        <w:jc w:val="center"/>
      </w:pPr>
      <w:r>
        <w:rPr>
          <w:b/>
          <w:color w:val="000000"/>
        </w:rPr>
        <w:t xml:space="preserve">Společná a závěrečná ustanovení </w:t>
      </w:r>
      <w:r>
        <w:t xml:space="preserve"> </w:t>
      </w:r>
    </w:p>
    <w:p w14:paraId="3F120D23" w14:textId="77777777" w:rsidR="0052739B" w:rsidRDefault="00591E40">
      <w:pPr>
        <w:spacing w:after="0" w:line="259" w:lineRule="auto"/>
        <w:ind w:left="671" w:firstLine="0"/>
        <w:jc w:val="center"/>
      </w:pPr>
      <w:r>
        <w:rPr>
          <w:color w:val="000000"/>
        </w:rPr>
        <w:t xml:space="preserve"> </w:t>
      </w:r>
      <w:r>
        <w:t xml:space="preserve"> </w:t>
      </w:r>
    </w:p>
    <w:p w14:paraId="328ED3F4" w14:textId="77777777" w:rsidR="0052739B" w:rsidRDefault="00591E40">
      <w:pPr>
        <w:ind w:left="926" w:hanging="852"/>
      </w:pPr>
      <w:r>
        <w:t>4.1.</w:t>
      </w:r>
      <w:r>
        <w:t xml:space="preserve">  V </w:t>
      </w:r>
      <w:r>
        <w:t>souladu s § 43 odst. 1 Zákona o HMP tímto HMP potvrzuje, že uzavření tohoto Dodatku schválila Rada hlavního města Prahy usnesením č. 1309 ze dne 19. 6. 2023.</w:t>
      </w:r>
      <w:r>
        <w:t xml:space="preserve"> </w:t>
      </w:r>
    </w:p>
    <w:p w14:paraId="2C66021F" w14:textId="77777777" w:rsidR="0052739B" w:rsidRDefault="00591E40">
      <w:pPr>
        <w:spacing w:after="166"/>
        <w:ind w:left="926" w:hanging="852"/>
      </w:pPr>
      <w:r>
        <w:t>4.2.</w:t>
      </w:r>
      <w:r>
        <w:t xml:space="preserve">        </w:t>
      </w:r>
      <w:r>
        <w:t>Tento Dodatek nabývá platnosti dnem jeho uzavření. Dnem uzavření tohoto Dodatku je d</w:t>
      </w:r>
      <w:r>
        <w:t>e</w:t>
      </w:r>
      <w:r>
        <w:t xml:space="preserve">n </w:t>
      </w:r>
      <w:r>
        <w:t>označený datem u podpisů Smluvních stran. Je</w:t>
      </w:r>
      <w:r>
        <w:t>-</w:t>
      </w:r>
      <w:r>
        <w:t xml:space="preserve">li takto označeno více dní, je dnem uzavření tohoto Dodatku den z označených dnů nejpozdější. </w:t>
      </w:r>
      <w:r>
        <w:t xml:space="preserve"> </w:t>
      </w:r>
    </w:p>
    <w:p w14:paraId="606C27DE" w14:textId="77777777" w:rsidR="0052739B" w:rsidRDefault="00591E40">
      <w:pPr>
        <w:ind w:left="797" w:hanging="852"/>
      </w:pPr>
      <w:r>
        <w:t xml:space="preserve"> </w:t>
      </w:r>
      <w:r>
        <w:t xml:space="preserve">4.3. </w:t>
      </w:r>
      <w:r>
        <w:t xml:space="preserve">  </w:t>
      </w:r>
      <w:r>
        <w:t>Smluvní strany berou na vědomí, že tento Dodatek podléhá povinnosti uveřejnění prostřednictvím registru s</w:t>
      </w:r>
      <w:r>
        <w:t xml:space="preserve">mluv v souladu se zákonem č. 340/2015 Sb., o zvláštních podmínkách účinnosti některých smluv, uveřejňování těchto smluv a o registru smluv (zákon o registru </w:t>
      </w:r>
    </w:p>
    <w:p w14:paraId="304249DD" w14:textId="77777777" w:rsidR="0052739B" w:rsidRDefault="00591E40">
      <w:pPr>
        <w:spacing w:after="166"/>
        <w:ind w:left="807"/>
      </w:pPr>
      <w:r>
        <w:lastRenderedPageBreak/>
        <w:t>smluv), ve znění pozdějších předpisů. Smluvní strany berou dále na vědomí, že tento Dodatek nabývá</w:t>
      </w:r>
      <w:r>
        <w:t xml:space="preserve"> účinnosti dnem jeho uveřejnění prostřednictvím registru smluv. Zhotovitel zašle tento Dodatek správci registru smluv k uveřejnění bez zbytečného odkladu, nejpozději však do třiceti (30) dnů od jeho uzavření.  </w:t>
      </w:r>
      <w:r>
        <w:t xml:space="preserve"> </w:t>
      </w:r>
    </w:p>
    <w:p w14:paraId="7A18716F" w14:textId="77777777" w:rsidR="0052739B" w:rsidRDefault="00591E40">
      <w:pPr>
        <w:spacing w:after="231"/>
        <w:ind w:left="796" w:hanging="566"/>
      </w:pPr>
      <w:r>
        <w:t xml:space="preserve">4.4. </w:t>
      </w:r>
      <w:r>
        <w:t xml:space="preserve">  </w:t>
      </w:r>
      <w:r>
        <w:t>Ostatní ustanovení Smlouvy tímto Doda</w:t>
      </w:r>
      <w:r>
        <w:t xml:space="preserve">tkem nedotčená zůstávají nadále v platnosti a beze změn. </w:t>
      </w:r>
      <w:r>
        <w:t xml:space="preserve"> </w:t>
      </w:r>
    </w:p>
    <w:p w14:paraId="16C49A79" w14:textId="77777777" w:rsidR="0052739B" w:rsidRDefault="00591E40">
      <w:pPr>
        <w:spacing w:after="233"/>
        <w:ind w:left="796" w:hanging="566"/>
      </w:pPr>
      <w:r>
        <w:t>4.5.</w:t>
      </w:r>
      <w:r>
        <w:rPr>
          <w:rFonts w:ascii="Arial" w:eastAsia="Arial" w:hAnsi="Arial" w:cs="Arial"/>
        </w:rPr>
        <w:t xml:space="preserve">    </w:t>
      </w:r>
      <w:r>
        <w:t xml:space="preserve">Smluvní strany výslovně souhlasí s tím, aby tento Dodatek byl uveden v Centrální evidenci smluv (CES) vedené HMP, která je veřejně přístupná a která obsahuje údaje o Smluvních stranách, číselné označení tohoto Dodatku, datum podpisu a jeho text.  </w:t>
      </w:r>
      <w:r>
        <w:t xml:space="preserve"> </w:t>
      </w:r>
    </w:p>
    <w:p w14:paraId="0F66E435" w14:textId="77777777" w:rsidR="0052739B" w:rsidRDefault="00591E40">
      <w:pPr>
        <w:spacing w:after="224"/>
        <w:ind w:left="796" w:hanging="566"/>
      </w:pPr>
      <w:r>
        <w:t>4.6.</w:t>
      </w:r>
      <w:r>
        <w:rPr>
          <w:rFonts w:ascii="Arial" w:eastAsia="Arial" w:hAnsi="Arial" w:cs="Arial"/>
        </w:rPr>
        <w:t xml:space="preserve">   </w:t>
      </w:r>
      <w:r>
        <w:t>Smluvní strany prohlašují, že uvedené skutečnosti nepovažují za obchodní tajemství ve smyslu ustanovení § 504 Občanského zákoníku</w:t>
      </w:r>
      <w:r>
        <w:rPr>
          <w:rFonts w:ascii="Times New Roman" w:eastAsia="Times New Roman" w:hAnsi="Times New Roman" w:cs="Times New Roman"/>
          <w:color w:val="000000"/>
        </w:rPr>
        <w:t xml:space="preserve"> </w:t>
      </w:r>
      <w:r>
        <w:rPr>
          <w:color w:val="000000"/>
        </w:rPr>
        <w:t>a udělují svolení k jejich užití a zveřejnění, s výjimkou osobních údajů</w:t>
      </w:r>
      <w:r>
        <w:t xml:space="preserve">. </w:t>
      </w:r>
      <w:r>
        <w:t xml:space="preserve"> </w:t>
      </w:r>
    </w:p>
    <w:p w14:paraId="794D8D55" w14:textId="77777777" w:rsidR="0052739B" w:rsidRDefault="00591E40">
      <w:pPr>
        <w:spacing w:after="161" w:line="269" w:lineRule="auto"/>
        <w:ind w:left="796" w:hanging="566"/>
      </w:pPr>
      <w:r>
        <w:t>4.7.</w:t>
      </w:r>
      <w:r>
        <w:rPr>
          <w:rFonts w:ascii="Arial" w:eastAsia="Arial" w:hAnsi="Arial" w:cs="Arial"/>
        </w:rPr>
        <w:t xml:space="preserve">   </w:t>
      </w:r>
      <w:r>
        <w:rPr>
          <w:color w:val="000000"/>
        </w:rPr>
        <w:t>Smluvní strany shodně prohlašují, že jsou s</w:t>
      </w:r>
      <w:r>
        <w:rPr>
          <w:color w:val="000000"/>
        </w:rPr>
        <w:t>i vědomy, že objednatel i zhotovitel jsou povinni na dotaz třetí osoby poskytovat informace podle ustanovení zákona č. 106/1999 Sb., o svobodném</w:t>
      </w:r>
      <w:r>
        <w:rPr>
          <w:color w:val="000000"/>
        </w:rPr>
        <w:t xml:space="preserve"> </w:t>
      </w:r>
      <w:r>
        <w:rPr>
          <w:color w:val="000000"/>
        </w:rPr>
        <w:t>přístupu k</w:t>
      </w:r>
      <w:r>
        <w:rPr>
          <w:color w:val="000000"/>
        </w:rPr>
        <w:t xml:space="preserve"> </w:t>
      </w:r>
      <w:r>
        <w:rPr>
          <w:color w:val="000000"/>
        </w:rPr>
        <w:t>informacím, ve znění pozdějších předpisů, a souhlasí s tím, aby veškeré informace v tomto Dodatku ob</w:t>
      </w:r>
      <w:r>
        <w:rPr>
          <w:color w:val="000000"/>
        </w:rPr>
        <w:t xml:space="preserve">sažené, s výjimkou osobních údajů, byly poskytnuty třetím osobám, pokud si je vyžádají. </w:t>
      </w:r>
      <w:r>
        <w:t xml:space="preserve">  </w:t>
      </w:r>
    </w:p>
    <w:p w14:paraId="2F33EC0B" w14:textId="77777777" w:rsidR="0052739B" w:rsidRDefault="00591E40">
      <w:pPr>
        <w:spacing w:after="202"/>
        <w:ind w:left="796" w:hanging="566"/>
      </w:pPr>
      <w:r>
        <w:t xml:space="preserve">4.8. </w:t>
      </w:r>
      <w:r>
        <w:t xml:space="preserve">  </w:t>
      </w:r>
      <w:r>
        <w:t>Bude</w:t>
      </w:r>
      <w:r>
        <w:t>-</w:t>
      </w:r>
      <w:r>
        <w:t>li nebo stane</w:t>
      </w:r>
      <w:r>
        <w:t>-</w:t>
      </w:r>
      <w:r>
        <w:t>li se kterékoli</w:t>
      </w:r>
      <w:r>
        <w:t xml:space="preserve"> </w:t>
      </w:r>
      <w:r>
        <w:t xml:space="preserve">ustanovení tohoto Dodatku neplatné nebo nevymahatelné, nebo pokud by některá ustanovení chyběla, nezpůsobuje to neplatnost </w:t>
      </w:r>
      <w:r>
        <w:t>ani nevymahatelnost ostatních ustanovení tohoto Dodatku, pokud je takové ustanovení oddělitelné od tohoto Dodatku jako celku, při zachování účelu tohoto Dodatku. Smluvní strany se zavazují bez zbytečného odkladu po zjištění nedostatků ve výše uvedeném smys</w:t>
      </w:r>
      <w:r>
        <w:t>lu, nahradit takové ustanovení ustanovením, které bude svým obsahem a účelem co možná nejbližší obsahu a účelu ustanovení neplatného</w:t>
      </w:r>
      <w:r>
        <w:t xml:space="preserve"> </w:t>
      </w:r>
      <w:r>
        <w:t xml:space="preserve">nebo nevymahatelného. </w:t>
      </w:r>
      <w:r>
        <w:t xml:space="preserve"> </w:t>
      </w:r>
    </w:p>
    <w:p w14:paraId="75F326B4" w14:textId="77777777" w:rsidR="0052739B" w:rsidRDefault="00591E40">
      <w:pPr>
        <w:spacing w:after="238"/>
        <w:ind w:left="796" w:hanging="566"/>
      </w:pPr>
      <w:r>
        <w:t>4.9.</w:t>
      </w:r>
      <w:r>
        <w:rPr>
          <w:rFonts w:ascii="Arial" w:eastAsia="Arial" w:hAnsi="Arial" w:cs="Arial"/>
          <w:b/>
        </w:rPr>
        <w:t xml:space="preserve">    </w:t>
      </w:r>
      <w:r>
        <w:t xml:space="preserve">Tento Dodatek je vyhotoven v osmi (8) vyhotoveních s platností originálu, z nichž objednatel </w:t>
      </w:r>
      <w:proofErr w:type="gramStart"/>
      <w:r>
        <w:t>obdrží</w:t>
      </w:r>
      <w:proofErr w:type="gramEnd"/>
      <w:r>
        <w:t xml:space="preserve"> šest (6) stejnopisů a zhotovitel dva (2) stejnopisy.</w:t>
      </w:r>
      <w:r>
        <w:rPr>
          <w:color w:val="000000"/>
        </w:rPr>
        <w:t xml:space="preserve"> </w:t>
      </w:r>
      <w:r>
        <w:t xml:space="preserve">V případě, že je tento Dodatek uzavírán elektronicky za využití uznávaných elektronických podpisů, </w:t>
      </w:r>
      <w:proofErr w:type="gramStart"/>
      <w:r>
        <w:t>post</w:t>
      </w:r>
      <w:r>
        <w:t>ačí</w:t>
      </w:r>
      <w:proofErr w:type="gramEnd"/>
      <w:r>
        <w:t xml:space="preserve"> jedno (1) vyhotovení Dodatku, na kterém jsou zaznamenány uznávané elektronické podpisy zástupců Smluvních stran oprávněných tento Dodatek uzavřít.  </w:t>
      </w:r>
      <w:r>
        <w:t xml:space="preserve"> </w:t>
      </w:r>
    </w:p>
    <w:p w14:paraId="0C20B6E3" w14:textId="77777777" w:rsidR="0052739B" w:rsidRDefault="00591E40">
      <w:pPr>
        <w:spacing w:after="127"/>
        <w:ind w:left="796" w:hanging="566"/>
      </w:pPr>
      <w:r>
        <w:t>4.10.</w:t>
      </w:r>
      <w:r>
        <w:rPr>
          <w:rFonts w:ascii="Arial" w:eastAsia="Arial" w:hAnsi="Arial" w:cs="Arial"/>
          <w:b/>
        </w:rPr>
        <w:t xml:space="preserve"> </w:t>
      </w:r>
      <w:r>
        <w:t>Smluvní strany prohlašují, že si celý tento Dodatek, důkladně a řádně přečetly, jeho obsahu zcel</w:t>
      </w:r>
      <w:r>
        <w:t>a porozuměly, tento je jim bez pochybností srozumitelný a určitý, že jim nejsou v den uzavření tohoto Dodatku známy žádné důvody, pro které by tento Dodatek nemohl být řádně plněn nebo které by způsobovaly neplatnost tohoto Dodatku, a že jeho obsah je proj</w:t>
      </w:r>
      <w:r>
        <w:t xml:space="preserve">evem jejich pravé, svobodné a vážné vůle prosté omylu, na důkaz čehož připojují zástupci obou Smluvních stran své podpisy. </w:t>
      </w:r>
      <w:r>
        <w:t xml:space="preserve"> </w:t>
      </w:r>
    </w:p>
    <w:p w14:paraId="5E14E0BB" w14:textId="77777777" w:rsidR="0052739B" w:rsidRDefault="00591E40">
      <w:pPr>
        <w:spacing w:after="142" w:line="259" w:lineRule="auto"/>
        <w:ind w:left="941" w:firstLine="0"/>
        <w:jc w:val="left"/>
      </w:pPr>
      <w:r>
        <w:t xml:space="preserve">  </w:t>
      </w:r>
    </w:p>
    <w:p w14:paraId="61FE3D99" w14:textId="77777777" w:rsidR="0052739B" w:rsidRDefault="00591E40">
      <w:pPr>
        <w:spacing w:after="50" w:line="259" w:lineRule="auto"/>
        <w:ind w:left="89" w:firstLine="0"/>
        <w:jc w:val="left"/>
      </w:pPr>
      <w:r>
        <w:rPr>
          <w:color w:val="000000"/>
        </w:rPr>
        <w:t xml:space="preserve"> </w:t>
      </w:r>
      <w:r>
        <w:t xml:space="preserve"> </w:t>
      </w:r>
    </w:p>
    <w:p w14:paraId="718E0459" w14:textId="77777777" w:rsidR="0052739B" w:rsidRDefault="00591E40">
      <w:pPr>
        <w:spacing w:after="0" w:line="259" w:lineRule="auto"/>
        <w:ind w:left="89" w:firstLine="0"/>
        <w:jc w:val="left"/>
      </w:pPr>
      <w:r>
        <w:rPr>
          <w:color w:val="000000"/>
        </w:rPr>
        <w:t xml:space="preserve"> </w:t>
      </w:r>
      <w:r>
        <w:rPr>
          <w:color w:val="000000"/>
        </w:rPr>
        <w:tab/>
        <w:t xml:space="preserve"> </w:t>
      </w:r>
    </w:p>
    <w:p w14:paraId="7049CE81" w14:textId="77777777" w:rsidR="0052739B" w:rsidRDefault="00591E40">
      <w:pPr>
        <w:tabs>
          <w:tab w:val="center" w:pos="2213"/>
          <w:tab w:val="center" w:pos="2921"/>
          <w:tab w:val="center" w:pos="3629"/>
          <w:tab w:val="center" w:pos="4337"/>
          <w:tab w:val="center" w:pos="5654"/>
        </w:tabs>
        <w:spacing w:after="0" w:line="269" w:lineRule="auto"/>
        <w:ind w:left="0" w:firstLine="0"/>
        <w:jc w:val="left"/>
      </w:pPr>
      <w:r>
        <w:rPr>
          <w:color w:val="000000"/>
        </w:rPr>
        <w:lastRenderedPageBreak/>
        <w:t xml:space="preserve">V Praze </w:t>
      </w:r>
      <w:proofErr w:type="gramStart"/>
      <w:r>
        <w:rPr>
          <w:color w:val="000000"/>
        </w:rPr>
        <w:t xml:space="preserve">dne:  </w:t>
      </w:r>
      <w:r>
        <w:rPr>
          <w:color w:val="000000"/>
        </w:rPr>
        <w:t xml:space="preserve"> </w:t>
      </w:r>
      <w:proofErr w:type="gramEnd"/>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r>
      <w:r>
        <w:rPr>
          <w:color w:val="000000"/>
        </w:rPr>
        <w:t xml:space="preserve">V Praze dne:  </w:t>
      </w:r>
      <w:r>
        <w:t xml:space="preserve"> </w:t>
      </w:r>
    </w:p>
    <w:p w14:paraId="5A841496" w14:textId="77777777" w:rsidR="0052739B" w:rsidRDefault="00591E40">
      <w:pPr>
        <w:spacing w:after="0" w:line="259" w:lineRule="auto"/>
        <w:ind w:left="89" w:firstLine="0"/>
        <w:jc w:val="left"/>
      </w:pPr>
      <w:r>
        <w:rPr>
          <w:color w:val="000000"/>
        </w:rPr>
        <w:t xml:space="preserve"> </w:t>
      </w:r>
      <w:r>
        <w:t xml:space="preserve"> </w:t>
      </w:r>
    </w:p>
    <w:p w14:paraId="1816A3B9" w14:textId="77777777" w:rsidR="0052739B" w:rsidRDefault="00591E40">
      <w:pPr>
        <w:spacing w:after="16" w:line="259" w:lineRule="auto"/>
        <w:ind w:left="89" w:firstLine="0"/>
        <w:jc w:val="left"/>
      </w:pPr>
      <w:r>
        <w:rPr>
          <w:color w:val="000000"/>
        </w:rPr>
        <w:t xml:space="preserve"> </w:t>
      </w:r>
      <w:r>
        <w:t xml:space="preserve"> </w:t>
      </w:r>
    </w:p>
    <w:p w14:paraId="3793B2E5" w14:textId="77777777" w:rsidR="0052739B" w:rsidRDefault="00591E40">
      <w:pPr>
        <w:tabs>
          <w:tab w:val="center" w:pos="2213"/>
          <w:tab w:val="center" w:pos="2921"/>
          <w:tab w:val="center" w:pos="3629"/>
          <w:tab w:val="center" w:pos="4337"/>
          <w:tab w:val="center" w:pos="5765"/>
        </w:tabs>
        <w:spacing w:after="0" w:line="269" w:lineRule="auto"/>
        <w:ind w:left="0" w:firstLine="0"/>
        <w:jc w:val="left"/>
      </w:pPr>
      <w:r>
        <w:rPr>
          <w:color w:val="000000"/>
        </w:rPr>
        <w:t xml:space="preserve">Za </w:t>
      </w:r>
      <w:proofErr w:type="gramStart"/>
      <w:r>
        <w:rPr>
          <w:color w:val="000000"/>
        </w:rPr>
        <w:t xml:space="preserve">objednatele: </w:t>
      </w:r>
      <w:r>
        <w:rPr>
          <w:color w:val="000000"/>
        </w:rPr>
        <w:t xml:space="preserve"> </w:t>
      </w:r>
      <w:r>
        <w:rPr>
          <w:color w:val="000000"/>
        </w:rPr>
        <w:tab/>
      </w:r>
      <w:proofErr w:type="gramEnd"/>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r>
      <w:r>
        <w:rPr>
          <w:color w:val="000000"/>
        </w:rPr>
        <w:t xml:space="preserve">Za zhotovitele: </w:t>
      </w:r>
      <w:r>
        <w:t xml:space="preserve"> </w:t>
      </w:r>
    </w:p>
    <w:p w14:paraId="3842C7FE" w14:textId="77777777" w:rsidR="0052739B" w:rsidRDefault="00591E40">
      <w:pPr>
        <w:spacing w:after="0" w:line="259" w:lineRule="auto"/>
        <w:ind w:left="89" w:firstLine="0"/>
        <w:jc w:val="left"/>
      </w:pPr>
      <w:r>
        <w:rPr>
          <w:color w:val="000000"/>
        </w:rPr>
        <w:t xml:space="preserve">  </w:t>
      </w:r>
    </w:p>
    <w:p w14:paraId="74FF3C14" w14:textId="77777777" w:rsidR="0052739B" w:rsidRDefault="00591E40">
      <w:pPr>
        <w:spacing w:after="0" w:line="259" w:lineRule="auto"/>
        <w:ind w:left="89" w:firstLine="0"/>
        <w:jc w:val="left"/>
      </w:pPr>
      <w:r>
        <w:t xml:space="preserve"> </w:t>
      </w:r>
    </w:p>
    <w:p w14:paraId="7EB0BF2D" w14:textId="77777777" w:rsidR="0052739B" w:rsidRDefault="00591E40">
      <w:pPr>
        <w:spacing w:after="0" w:line="259" w:lineRule="auto"/>
        <w:ind w:left="89" w:firstLine="0"/>
        <w:jc w:val="left"/>
      </w:pPr>
      <w:r>
        <w:rPr>
          <w:color w:val="000000"/>
        </w:rPr>
        <w:t xml:space="preserve"> </w:t>
      </w:r>
      <w:r>
        <w:t xml:space="preserve"> </w:t>
      </w:r>
    </w:p>
    <w:p w14:paraId="5DA3218C" w14:textId="77777777" w:rsidR="0052739B" w:rsidRDefault="00591E40">
      <w:pPr>
        <w:spacing w:after="0" w:line="259" w:lineRule="auto"/>
        <w:ind w:left="89" w:firstLine="0"/>
        <w:jc w:val="left"/>
      </w:pPr>
      <w:r>
        <w:rPr>
          <w:color w:val="000000"/>
        </w:rPr>
        <w:t xml:space="preserve"> </w:t>
      </w:r>
      <w:r>
        <w:t xml:space="preserve"> </w:t>
      </w:r>
    </w:p>
    <w:p w14:paraId="564AEFF8" w14:textId="77777777" w:rsidR="0052739B" w:rsidRDefault="00591E40">
      <w:pPr>
        <w:spacing w:after="31" w:line="259" w:lineRule="auto"/>
        <w:ind w:left="74" w:firstLine="0"/>
        <w:jc w:val="left"/>
      </w:pPr>
      <w:r>
        <w:t xml:space="preserve">……………………………………….   </w:t>
      </w:r>
      <w:r>
        <w:t xml:space="preserve">                                          ……………………………………………  </w:t>
      </w:r>
    </w:p>
    <w:p w14:paraId="13E4DD74" w14:textId="77777777" w:rsidR="0052739B" w:rsidRDefault="00591E40">
      <w:pPr>
        <w:tabs>
          <w:tab w:val="center" w:pos="4337"/>
        </w:tabs>
        <w:spacing w:after="3"/>
        <w:ind w:left="0" w:firstLine="0"/>
        <w:jc w:val="left"/>
      </w:pPr>
      <w:r>
        <w:rPr>
          <w:b/>
        </w:rPr>
        <w:t xml:space="preserve">Ing. Jan Rak </w:t>
      </w:r>
      <w:r>
        <w:t xml:space="preserve">    </w:t>
      </w:r>
      <w:r>
        <w:tab/>
        <w:t xml:space="preserve">                                                   </w:t>
      </w:r>
      <w:r>
        <w:rPr>
          <w:b/>
        </w:rPr>
        <w:t>Tomáš Jílek</w:t>
      </w:r>
      <w:r>
        <w:t xml:space="preserve">   </w:t>
      </w:r>
    </w:p>
    <w:p w14:paraId="4E10753F" w14:textId="77777777" w:rsidR="0052739B" w:rsidRDefault="00591E40">
      <w:pPr>
        <w:ind w:left="84"/>
      </w:pPr>
      <w:r>
        <w:t xml:space="preserve">ředitel odboru hospodaření s majetkem </w:t>
      </w:r>
      <w:r>
        <w:t xml:space="preserve">                     </w:t>
      </w:r>
      <w:r>
        <w:t>předseda představenstva společno</w:t>
      </w:r>
      <w:r>
        <w:t xml:space="preserve">sti </w:t>
      </w:r>
      <w:r>
        <w:t xml:space="preserve"> </w:t>
      </w:r>
    </w:p>
    <w:p w14:paraId="686EBE03" w14:textId="77777777" w:rsidR="0052739B" w:rsidRDefault="00591E40">
      <w:pPr>
        <w:tabs>
          <w:tab w:val="center" w:pos="2921"/>
          <w:tab w:val="center" w:pos="6283"/>
          <w:tab w:val="center" w:pos="9295"/>
        </w:tabs>
        <w:ind w:left="0" w:firstLine="0"/>
        <w:jc w:val="left"/>
      </w:pPr>
      <w:r>
        <w:t xml:space="preserve">Magistrátu hl. m. </w:t>
      </w:r>
      <w:proofErr w:type="gramStart"/>
      <w:r>
        <w:t xml:space="preserve">Prahy </w:t>
      </w:r>
      <w:r>
        <w:t xml:space="preserve"> </w:t>
      </w:r>
      <w:r>
        <w:tab/>
      </w:r>
      <w:proofErr w:type="gramEnd"/>
      <w:r>
        <w:t xml:space="preserve">  </w:t>
      </w:r>
      <w:r>
        <w:tab/>
        <w:t xml:space="preserve">                            T</w:t>
      </w:r>
      <w:r>
        <w:t xml:space="preserve">echnologie hlavního města Prahy, a.s. </w:t>
      </w:r>
      <w:r>
        <w:t xml:space="preserve"> </w:t>
      </w:r>
      <w:r>
        <w:tab/>
        <w:t xml:space="preserve">  </w:t>
      </w:r>
    </w:p>
    <w:p w14:paraId="7B7C67E8" w14:textId="77777777" w:rsidR="0052739B" w:rsidRDefault="00591E40">
      <w:pPr>
        <w:spacing w:after="0" w:line="259" w:lineRule="auto"/>
        <w:ind w:left="89" w:firstLine="0"/>
        <w:jc w:val="left"/>
      </w:pPr>
      <w:r>
        <w:t xml:space="preserve">  </w:t>
      </w:r>
    </w:p>
    <w:p w14:paraId="6EAB21EB" w14:textId="77777777" w:rsidR="0052739B" w:rsidRDefault="00591E40">
      <w:pPr>
        <w:spacing w:after="0" w:line="259" w:lineRule="auto"/>
        <w:ind w:left="89" w:firstLine="0"/>
        <w:jc w:val="left"/>
      </w:pPr>
      <w:r>
        <w:t xml:space="preserve"> </w:t>
      </w:r>
    </w:p>
    <w:p w14:paraId="36413147" w14:textId="77777777" w:rsidR="0052739B" w:rsidRDefault="00591E40">
      <w:pPr>
        <w:spacing w:after="0" w:line="259" w:lineRule="auto"/>
        <w:ind w:left="89" w:firstLine="0"/>
        <w:jc w:val="left"/>
      </w:pPr>
      <w:r>
        <w:t xml:space="preserve"> </w:t>
      </w:r>
    </w:p>
    <w:p w14:paraId="7E0C42D6" w14:textId="77777777" w:rsidR="0052739B" w:rsidRDefault="00591E40">
      <w:pPr>
        <w:spacing w:after="17" w:line="259" w:lineRule="auto"/>
        <w:ind w:left="89" w:firstLine="0"/>
        <w:jc w:val="left"/>
      </w:pPr>
      <w:r>
        <w:t xml:space="preserve"> </w:t>
      </w:r>
    </w:p>
    <w:p w14:paraId="376D07F9" w14:textId="77777777" w:rsidR="0052739B" w:rsidRDefault="00591E40">
      <w:pPr>
        <w:spacing w:after="3"/>
        <w:ind w:left="84" w:right="198"/>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rPr>
          <w:sz w:val="20"/>
        </w:rPr>
        <w:t xml:space="preserve">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rPr>
        <w:t xml:space="preserve">Ing. Tomáš Novotný  </w:t>
      </w:r>
      <w:r>
        <w:t xml:space="preserve"> </w:t>
      </w:r>
    </w:p>
    <w:p w14:paraId="6CD7BB96" w14:textId="77777777" w:rsidR="0052739B" w:rsidRDefault="00591E40">
      <w:pPr>
        <w:spacing w:after="10" w:line="259" w:lineRule="auto"/>
        <w:ind w:left="0" w:right="641" w:firstLine="0"/>
        <w:jc w:val="right"/>
      </w:pPr>
      <w:r>
        <w:t xml:space="preserve"> </w:t>
      </w:r>
      <w:r>
        <w:t>místopředseda představenstva společnosti</w:t>
      </w:r>
      <w:r>
        <w:t xml:space="preserve">        </w:t>
      </w:r>
    </w:p>
    <w:p w14:paraId="2B446B6B" w14:textId="77777777" w:rsidR="0052739B" w:rsidRDefault="00591E40">
      <w:pPr>
        <w:ind w:left="84"/>
      </w:pPr>
      <w:r>
        <w:t xml:space="preserve">                                                                                            </w:t>
      </w:r>
      <w:r>
        <w:t>Technologie hlavního města Prahy, a.s.</w:t>
      </w:r>
      <w:r>
        <w:t xml:space="preserve"> </w:t>
      </w:r>
    </w:p>
    <w:sectPr w:rsidR="0052739B">
      <w:footerReference w:type="even" r:id="rId9"/>
      <w:footerReference w:type="default" r:id="rId10"/>
      <w:footerReference w:type="first" r:id="rId11"/>
      <w:pgSz w:w="11904" w:h="16834"/>
      <w:pgMar w:top="1113" w:right="1224" w:bottom="1486" w:left="763" w:header="708"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4B6E" w14:textId="77777777" w:rsidR="00000000" w:rsidRDefault="00591E40">
      <w:pPr>
        <w:spacing w:after="0" w:line="240" w:lineRule="auto"/>
      </w:pPr>
      <w:r>
        <w:separator/>
      </w:r>
    </w:p>
  </w:endnote>
  <w:endnote w:type="continuationSeparator" w:id="0">
    <w:p w14:paraId="4E67C772" w14:textId="77777777" w:rsidR="00000000" w:rsidRDefault="0059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0F2F" w14:textId="77777777" w:rsidR="0052739B" w:rsidRDefault="00591E40">
    <w:pPr>
      <w:spacing w:after="0" w:line="259" w:lineRule="auto"/>
      <w:ind w:left="515" w:firstLine="0"/>
      <w:jc w:val="center"/>
    </w:pPr>
    <w:r>
      <w:fldChar w:fldCharType="begin"/>
    </w:r>
    <w:r>
      <w:instrText xml:space="preserve"> PAGE   \* MERGEFORMAT </w:instrText>
    </w:r>
    <w:r>
      <w:fldChar w:fldCharType="separate"/>
    </w:r>
    <w:r>
      <w:rPr>
        <w:color w:val="000000"/>
        <w:sz w:val="22"/>
      </w:rPr>
      <w:t>2</w:t>
    </w:r>
    <w:r>
      <w:rPr>
        <w:color w:val="000000"/>
        <w:sz w:val="22"/>
      </w:rPr>
      <w:fldChar w:fldCharType="end"/>
    </w:r>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C2FF" w14:textId="77777777" w:rsidR="0052739B" w:rsidRDefault="00591E40">
    <w:pPr>
      <w:spacing w:after="0" w:line="259" w:lineRule="auto"/>
      <w:ind w:left="515" w:firstLine="0"/>
      <w:jc w:val="center"/>
    </w:pPr>
    <w:r>
      <w:fldChar w:fldCharType="begin"/>
    </w:r>
    <w:r>
      <w:instrText xml:space="preserve"> PAGE   \* MERGEFORMAT </w:instrText>
    </w:r>
    <w:r>
      <w:fldChar w:fldCharType="separate"/>
    </w:r>
    <w:r>
      <w:rPr>
        <w:color w:val="000000"/>
        <w:sz w:val="22"/>
      </w:rPr>
      <w:t>2</w:t>
    </w:r>
    <w:r>
      <w:rPr>
        <w:color w:val="000000"/>
        <w:sz w:val="22"/>
      </w:rPr>
      <w:fldChar w:fldCharType="end"/>
    </w:r>
    <w:r>
      <w:rPr>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964F" w14:textId="77777777" w:rsidR="0052739B" w:rsidRDefault="00591E40">
    <w:pPr>
      <w:spacing w:after="0" w:line="259" w:lineRule="auto"/>
      <w:ind w:left="515" w:firstLine="0"/>
      <w:jc w:val="center"/>
    </w:pP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0C2A" w14:textId="77777777" w:rsidR="00000000" w:rsidRDefault="00591E40">
      <w:pPr>
        <w:spacing w:after="0" w:line="240" w:lineRule="auto"/>
      </w:pPr>
      <w:r>
        <w:separator/>
      </w:r>
    </w:p>
  </w:footnote>
  <w:footnote w:type="continuationSeparator" w:id="0">
    <w:p w14:paraId="1FFE7F4A" w14:textId="77777777" w:rsidR="00000000" w:rsidRDefault="00591E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B"/>
    <w:rsid w:val="0052739B"/>
    <w:rsid w:val="00591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6B23"/>
  <w15:docId w15:val="{0057F8F1-62F0-4C92-AAAC-DEDDFDF5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6" w:lineRule="auto"/>
      <w:ind w:left="94" w:hanging="10"/>
      <w:jc w:val="both"/>
    </w:pPr>
    <w:rPr>
      <w:rFonts w:ascii="Calibri" w:eastAsia="Calibri" w:hAnsi="Calibri" w:cs="Calibri"/>
      <w:color w:val="000009"/>
      <w:sz w:val="24"/>
    </w:rPr>
  </w:style>
  <w:style w:type="paragraph" w:styleId="Nadpis1">
    <w:name w:val="heading 1"/>
    <w:next w:val="Normln"/>
    <w:link w:val="Nadpis1Char"/>
    <w:uiPriority w:val="9"/>
    <w:qFormat/>
    <w:pPr>
      <w:keepNext/>
      <w:keepLines/>
      <w:spacing w:after="0"/>
      <w:ind w:left="83"/>
      <w:jc w:val="center"/>
      <w:outlineLvl w:val="0"/>
    </w:pPr>
    <w:rPr>
      <w:rFonts w:ascii="Calibri" w:eastAsia="Calibri" w:hAnsi="Calibri" w:cs="Calibri"/>
      <w:b/>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7797</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Vítová</dc:creator>
  <cp:keywords/>
  <cp:lastModifiedBy>Vítová Petra</cp:lastModifiedBy>
  <cp:revision>2</cp:revision>
  <dcterms:created xsi:type="dcterms:W3CDTF">2023-06-26T08:53:00Z</dcterms:created>
  <dcterms:modified xsi:type="dcterms:W3CDTF">2023-06-26T08:53:00Z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d05264-8d42-4de5-bbd0-5e788b92c71a_Enabled">
    <vt:lpwstr>true</vt:lpwstr>
  </property>
  <property fmtid="{D5CDD505-2E9C-101B-9397-08002B2CF9AE}" pid="3" name="MSIP_Label_09d05264-8d42-4de5-bbd0-5e788b92c71a_SetDate">
    <vt:lpwstr>2023-06-26T08:52:54Z</vt:lpwstr>
  </property>
  <property fmtid="{D5CDD505-2E9C-101B-9397-08002B2CF9AE}" pid="4" name="MSIP_Label_09d05264-8d42-4de5-bbd0-5e788b92c71a_Method">
    <vt:lpwstr>Privileged</vt:lpwstr>
  </property>
  <property fmtid="{D5CDD505-2E9C-101B-9397-08002B2CF9AE}" pid="5" name="MSIP_Label_09d05264-8d42-4de5-bbd0-5e788b92c71a_Name">
    <vt:lpwstr>Interní</vt:lpwstr>
  </property>
  <property fmtid="{D5CDD505-2E9C-101B-9397-08002B2CF9AE}" pid="6" name="MSIP_Label_09d05264-8d42-4de5-bbd0-5e788b92c71a_SiteId">
    <vt:lpwstr>4f5a3c8e-553d-4c27-8b3b-c51f48dcc5d5</vt:lpwstr>
  </property>
  <property fmtid="{D5CDD505-2E9C-101B-9397-08002B2CF9AE}" pid="7" name="MSIP_Label_09d05264-8d42-4de5-bbd0-5e788b92c71a_ActionId">
    <vt:lpwstr>7525284a-576c-415b-8329-e0f750054e8d</vt:lpwstr>
  </property>
  <property fmtid="{D5CDD505-2E9C-101B-9397-08002B2CF9AE}" pid="8" name="MSIP_Label_09d05264-8d42-4de5-bbd0-5e788b92c71a_ContentBits">
    <vt:lpwstr>0</vt:lpwstr>
  </property>
</Properties>
</file>