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02508F4A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EE20FA">
        <w:rPr>
          <w:rFonts w:ascii="Arial" w:hAnsi="Arial" w:cs="Arial"/>
          <w:color w:val="404040" w:themeColor="text1" w:themeTint="BF"/>
          <w:sz w:val="20"/>
          <w:szCs w:val="20"/>
        </w:rPr>
        <w:t>Statek Kostelec na Hané, a.s.</w:t>
      </w:r>
    </w:p>
    <w:p w14:paraId="5D13ED40" w14:textId="0852651F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14:paraId="365FD77B" w14:textId="4D83270F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EE20FA">
        <w:rPr>
          <w:rFonts w:ascii="Arial" w:hAnsi="Arial" w:cs="Arial"/>
          <w:color w:val="404040" w:themeColor="text1" w:themeTint="BF"/>
          <w:sz w:val="20"/>
          <w:szCs w:val="20"/>
        </w:rPr>
        <w:t>Smržická 537</w:t>
      </w:r>
    </w:p>
    <w:p w14:paraId="5B90B2C1" w14:textId="720EFF90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EE20FA">
        <w:rPr>
          <w:rFonts w:ascii="Arial" w:hAnsi="Arial" w:cs="Arial"/>
          <w:color w:val="404040" w:themeColor="text1" w:themeTint="BF"/>
          <w:sz w:val="20"/>
          <w:szCs w:val="20"/>
        </w:rPr>
        <w:t>798 41 Kostelec na Hané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1BB13CFA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797D0ECB" w14:textId="52AFA25F" w:rsidR="00265E25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E20FA">
        <w:rPr>
          <w:rFonts w:ascii="Arial" w:hAnsi="Arial" w:cs="Arial"/>
          <w:sz w:val="20"/>
          <w:szCs w:val="20"/>
        </w:rPr>
        <w:t xml:space="preserve"> </w:t>
      </w:r>
      <w:r w:rsidR="00EE20FA" w:rsidRPr="00EE20FA">
        <w:rPr>
          <w:rFonts w:ascii="Arial" w:hAnsi="Arial" w:cs="Arial"/>
          <w:sz w:val="20"/>
          <w:szCs w:val="20"/>
        </w:rPr>
        <w:t>spuess8c15ffcf</w:t>
      </w:r>
    </w:p>
    <w:p w14:paraId="5C56B0B0" w14:textId="091825B1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EE20FA" w:rsidRPr="00EE20FA">
        <w:rPr>
          <w:rFonts w:ascii="Arial" w:hAnsi="Arial" w:cs="Arial"/>
          <w:sz w:val="20"/>
          <w:szCs w:val="20"/>
        </w:rPr>
        <w:t>SPU 254484/2023/Jur</w:t>
      </w:r>
    </w:p>
    <w:p w14:paraId="04C53219" w14:textId="0B434216" w:rsidR="0066419A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 xml:space="preserve">:      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685ED4C1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687840E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4CE3E827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30193E">
        <w:rPr>
          <w:rFonts w:ascii="Arial" w:hAnsi="Arial" w:cs="Arial"/>
          <w:sz w:val="20"/>
          <w:szCs w:val="20"/>
        </w:rPr>
        <w:t>21.6.2023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0D35C183" w14:textId="658224D7" w:rsidR="009161D8" w:rsidRDefault="00757F27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DS </w:t>
      </w:r>
    </w:p>
    <w:p w14:paraId="4CCC34EE" w14:textId="77777777" w:rsidR="00757F27" w:rsidRPr="00872300" w:rsidRDefault="00757F27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0B704FE6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1435E6">
        <w:rPr>
          <w:rFonts w:ascii="Arial" w:hAnsi="Arial" w:cs="Arial"/>
          <w:b/>
          <w:sz w:val="20"/>
          <w:szCs w:val="20"/>
        </w:rPr>
        <w:t>nájemného z nájemní smlouvy</w:t>
      </w:r>
      <w:r w:rsidR="00757F27">
        <w:rPr>
          <w:rFonts w:ascii="Arial" w:hAnsi="Arial" w:cs="Arial"/>
          <w:b/>
          <w:sz w:val="20"/>
          <w:szCs w:val="20"/>
        </w:rPr>
        <w:t xml:space="preserve"> č. </w:t>
      </w:r>
      <w:r w:rsidR="00EE20FA">
        <w:rPr>
          <w:rFonts w:ascii="Arial" w:hAnsi="Arial" w:cs="Arial"/>
          <w:b/>
          <w:sz w:val="20"/>
          <w:szCs w:val="20"/>
        </w:rPr>
        <w:t>156N06/53</w:t>
      </w:r>
      <w:r w:rsidR="0030193E">
        <w:rPr>
          <w:rFonts w:ascii="Arial" w:hAnsi="Arial" w:cs="Arial"/>
          <w:b/>
          <w:sz w:val="20"/>
          <w:szCs w:val="20"/>
        </w:rPr>
        <w:t xml:space="preserve"> ze dne </w:t>
      </w:r>
      <w:r w:rsidR="00EE20FA">
        <w:rPr>
          <w:rFonts w:ascii="Arial" w:hAnsi="Arial" w:cs="Arial"/>
          <w:b/>
          <w:sz w:val="20"/>
          <w:szCs w:val="20"/>
        </w:rPr>
        <w:t>27.11.2006</w:t>
      </w:r>
    </w:p>
    <w:p w14:paraId="39EEBE55" w14:textId="77777777" w:rsidR="00CF3614" w:rsidRDefault="00CF3614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49731003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EE20FA">
        <w:rPr>
          <w:rFonts w:ascii="Arial" w:hAnsi="Arial" w:cs="Arial"/>
          <w:bCs/>
          <w:iCs/>
          <w:sz w:val="20"/>
          <w:szCs w:val="20"/>
        </w:rPr>
        <w:t>27.11.2006</w:t>
      </w:r>
      <w:r w:rsidR="00D225E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1435E6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1435E6">
        <w:rPr>
          <w:rFonts w:ascii="Arial" w:hAnsi="Arial" w:cs="Arial"/>
          <w:bCs/>
          <w:iCs/>
          <w:sz w:val="20"/>
          <w:szCs w:val="20"/>
        </w:rPr>
        <w:t>pronajímatelem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1435E6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EE20FA">
        <w:rPr>
          <w:rFonts w:ascii="Arial" w:hAnsi="Arial" w:cs="Arial"/>
          <w:bCs/>
          <w:iCs/>
          <w:sz w:val="20"/>
          <w:szCs w:val="20"/>
        </w:rPr>
        <w:t>156N06/53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1435E6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D225E0">
        <w:rPr>
          <w:rFonts w:ascii="Arial" w:hAnsi="Arial" w:cs="Arial"/>
          <w:bCs/>
          <w:iCs/>
          <w:sz w:val="20"/>
          <w:szCs w:val="20"/>
        </w:rPr>
        <w:t>ých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D225E0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D225E0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49DCF981" w14:textId="77777777" w:rsidR="00C03705" w:rsidRDefault="00C03705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00E1C52A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</w:t>
      </w:r>
      <w:r w:rsidR="00D225E0">
        <w:rPr>
          <w:rFonts w:ascii="Arial" w:hAnsi="Arial" w:cs="Arial"/>
          <w:bCs/>
          <w:iCs/>
          <w:sz w:val="20"/>
          <w:szCs w:val="20"/>
        </w:rPr>
        <w:t>ých</w:t>
      </w:r>
      <w:r w:rsidRPr="00872300">
        <w:rPr>
          <w:rFonts w:ascii="Arial" w:hAnsi="Arial" w:cs="Arial"/>
          <w:bCs/>
          <w:iCs/>
          <w:sz w:val="20"/>
          <w:szCs w:val="20"/>
        </w:rPr>
        <w:t xml:space="preserve">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2768F191" w14:textId="041795D6" w:rsidR="009500CF" w:rsidRPr="00872300" w:rsidRDefault="009500CF" w:rsidP="009500C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B56F32">
        <w:rPr>
          <w:rFonts w:ascii="Arial" w:hAnsi="Arial" w:cs="Arial"/>
          <w:iCs/>
          <w:sz w:val="20"/>
          <w:szCs w:val="20"/>
        </w:rPr>
        <w:t xml:space="preserve"> </w:t>
      </w:r>
      <w:r w:rsidR="00EE20FA">
        <w:rPr>
          <w:rFonts w:ascii="Arial" w:hAnsi="Arial" w:cs="Arial"/>
          <w:iCs/>
          <w:sz w:val="20"/>
          <w:szCs w:val="20"/>
        </w:rPr>
        <w:t xml:space="preserve">156N06/53, resp. dodatku č. XII </w:t>
      </w:r>
      <w:r>
        <w:rPr>
          <w:rFonts w:ascii="Arial" w:hAnsi="Arial" w:cs="Arial"/>
          <w:iCs/>
          <w:sz w:val="20"/>
          <w:szCs w:val="20"/>
        </w:rPr>
        <w:t xml:space="preserve">bylo mezi námi sjednáno, že pronajímatel </w:t>
      </w:r>
      <w:r w:rsidRPr="00872300">
        <w:rPr>
          <w:rFonts w:ascii="Arial" w:hAnsi="Arial" w:cs="Arial"/>
          <w:iCs/>
          <w:sz w:val="20"/>
          <w:szCs w:val="20"/>
        </w:rPr>
        <w:t xml:space="preserve">je oprávněn vždy k 1.10. běžného roku jednostranně zvyšovat </w:t>
      </w:r>
      <w:r>
        <w:rPr>
          <w:rFonts w:ascii="Arial" w:hAnsi="Arial" w:cs="Arial"/>
          <w:iCs/>
          <w:sz w:val="20"/>
          <w:szCs w:val="20"/>
        </w:rPr>
        <w:t>nájemné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3CEEC24F" w14:textId="66818D83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9500CF">
        <w:rPr>
          <w:rFonts w:ascii="Arial" w:hAnsi="Arial" w:cs="Arial"/>
          <w:iCs/>
          <w:sz w:val="20"/>
          <w:szCs w:val="20"/>
        </w:rPr>
        <w:t>nájemné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9500CF">
        <w:rPr>
          <w:rFonts w:ascii="Arial" w:hAnsi="Arial" w:cs="Arial"/>
          <w:iCs/>
          <w:sz w:val="20"/>
          <w:szCs w:val="20"/>
        </w:rPr>
        <w:t>pronajímatele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3BA629FA" w14:textId="77777777" w:rsidR="00CF3614" w:rsidRDefault="00CF361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6B1E5CF0" w:rsidR="00063AD3" w:rsidRPr="00B847A0" w:rsidRDefault="009500CF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68F42E6B" w14:textId="70A53CB3" w:rsidR="008974EA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0F604B1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C03705">
        <w:rPr>
          <w:rFonts w:ascii="Arial" w:hAnsi="Arial" w:cs="Arial"/>
          <w:sz w:val="20"/>
          <w:szCs w:val="20"/>
        </w:rPr>
        <w:t xml:space="preserve">2 </w:t>
      </w:r>
      <w:r w:rsidRPr="00B847A0">
        <w:rPr>
          <w:rFonts w:ascii="Arial" w:hAnsi="Arial" w:cs="Arial"/>
          <w:sz w:val="20"/>
          <w:szCs w:val="20"/>
        </w:rPr>
        <w:t xml:space="preserve">vyhlášená Českým statistickým úřadem činila </w:t>
      </w:r>
      <w:r w:rsidR="00C03705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1E3D3AAD" w:rsidR="00757F27" w:rsidRDefault="00C03705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2D4C42" w:rsidRPr="00872300">
        <w:rPr>
          <w:rFonts w:ascii="Arial" w:hAnsi="Arial" w:cs="Arial"/>
          <w:sz w:val="20"/>
          <w:szCs w:val="20"/>
        </w:rPr>
        <w:t xml:space="preserve"> ve výši </w:t>
      </w:r>
      <w:r w:rsidR="00E42E92">
        <w:rPr>
          <w:rFonts w:ascii="Arial" w:hAnsi="Arial" w:cs="Arial"/>
          <w:sz w:val="20"/>
          <w:szCs w:val="20"/>
        </w:rPr>
        <w:t>14.988</w:t>
      </w:r>
      <w:r w:rsidR="00757F27">
        <w:rPr>
          <w:rFonts w:ascii="Arial" w:hAnsi="Arial" w:cs="Arial"/>
          <w:sz w:val="20"/>
          <w:szCs w:val="20"/>
        </w:rPr>
        <w:t>,- Kč</w:t>
      </w:r>
      <w:r w:rsidR="002D4C42" w:rsidRPr="00872300">
        <w:rPr>
          <w:rFonts w:ascii="Arial" w:hAnsi="Arial" w:cs="Arial"/>
          <w:sz w:val="20"/>
          <w:szCs w:val="20"/>
        </w:rPr>
        <w:t xml:space="preserve"> je zvýšeno o </w:t>
      </w:r>
      <w:r>
        <w:rPr>
          <w:rFonts w:ascii="Arial" w:hAnsi="Arial" w:cs="Arial"/>
          <w:sz w:val="20"/>
          <w:szCs w:val="20"/>
        </w:rPr>
        <w:t>15,1</w:t>
      </w:r>
      <w:r w:rsidR="002D4C42" w:rsidRPr="00872300">
        <w:rPr>
          <w:rFonts w:ascii="Arial" w:hAnsi="Arial" w:cs="Arial"/>
          <w:sz w:val="20"/>
          <w:szCs w:val="20"/>
        </w:rPr>
        <w:t xml:space="preserve"> %, tj. o částku </w:t>
      </w:r>
      <w:r w:rsidR="00E42E92">
        <w:rPr>
          <w:rFonts w:ascii="Arial" w:hAnsi="Arial" w:cs="Arial"/>
          <w:sz w:val="20"/>
          <w:szCs w:val="20"/>
        </w:rPr>
        <w:t>2.263</w:t>
      </w:r>
      <w:r w:rsidR="002D4C42">
        <w:rPr>
          <w:rFonts w:ascii="Arial" w:hAnsi="Arial" w:cs="Arial"/>
          <w:sz w:val="20"/>
          <w:szCs w:val="20"/>
        </w:rPr>
        <w:t>,-</w:t>
      </w:r>
      <w:r w:rsidR="002D4C42" w:rsidRPr="00872300">
        <w:rPr>
          <w:rFonts w:ascii="Arial" w:hAnsi="Arial" w:cs="Arial"/>
          <w:sz w:val="20"/>
          <w:szCs w:val="20"/>
        </w:rPr>
        <w:t xml:space="preserve"> Kč</w:t>
      </w:r>
    </w:p>
    <w:p w14:paraId="76B5B6A0" w14:textId="1D393076" w:rsidR="002D4C42" w:rsidRPr="00872300" w:rsidRDefault="00757F27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4C42" w:rsidRPr="0087230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E42E92">
        <w:rPr>
          <w:rFonts w:ascii="Arial" w:hAnsi="Arial" w:cs="Arial"/>
          <w:sz w:val="20"/>
          <w:szCs w:val="20"/>
        </w:rPr>
        <w:t>dvatisícedvěstěšedesáttři</w:t>
      </w:r>
      <w:proofErr w:type="spellEnd"/>
      <w:r w:rsidR="00650CBC">
        <w:rPr>
          <w:rFonts w:ascii="Arial" w:hAnsi="Arial" w:cs="Arial"/>
          <w:sz w:val="20"/>
          <w:szCs w:val="20"/>
        </w:rPr>
        <w:t xml:space="preserve"> </w:t>
      </w:r>
      <w:r w:rsidR="002D4C42" w:rsidRPr="00872300">
        <w:rPr>
          <w:rFonts w:ascii="Arial" w:hAnsi="Arial" w:cs="Arial"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>)</w:t>
      </w:r>
      <w:r w:rsidR="002D4C42" w:rsidRPr="00872300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589F830C" w14:textId="4CE12EDD" w:rsidR="002D4C42" w:rsidRPr="00C03705" w:rsidRDefault="002D4C42" w:rsidP="00C03705">
      <w:pPr>
        <w:pStyle w:val="Default"/>
        <w:rPr>
          <w:b/>
          <w:sz w:val="20"/>
          <w:szCs w:val="20"/>
        </w:rPr>
      </w:pPr>
      <w:r w:rsidRPr="00872300">
        <w:rPr>
          <w:b/>
          <w:sz w:val="20"/>
          <w:szCs w:val="20"/>
        </w:rPr>
        <w:t xml:space="preserve">Celkem činí </w:t>
      </w:r>
      <w:r w:rsidR="00C03705">
        <w:rPr>
          <w:b/>
          <w:sz w:val="20"/>
          <w:szCs w:val="20"/>
        </w:rPr>
        <w:t>nájemné</w:t>
      </w:r>
      <w:r w:rsidRPr="00872300">
        <w:rPr>
          <w:b/>
          <w:sz w:val="20"/>
          <w:szCs w:val="20"/>
        </w:rPr>
        <w:t xml:space="preserve"> po </w:t>
      </w:r>
      <w:r w:rsidR="00352859">
        <w:rPr>
          <w:b/>
          <w:sz w:val="20"/>
          <w:szCs w:val="20"/>
        </w:rPr>
        <w:t xml:space="preserve">zvýšení </w:t>
      </w:r>
      <w:r w:rsidR="00E42E92">
        <w:rPr>
          <w:b/>
          <w:sz w:val="20"/>
          <w:szCs w:val="20"/>
        </w:rPr>
        <w:t>17.251</w:t>
      </w:r>
      <w:r>
        <w:rPr>
          <w:b/>
          <w:sz w:val="20"/>
          <w:szCs w:val="20"/>
        </w:rPr>
        <w:t xml:space="preserve">,- </w:t>
      </w:r>
      <w:r w:rsidRPr="00872300">
        <w:rPr>
          <w:b/>
          <w:sz w:val="20"/>
          <w:szCs w:val="20"/>
        </w:rPr>
        <w:t>Kč</w:t>
      </w:r>
      <w:r w:rsidR="00757F27">
        <w:rPr>
          <w:b/>
          <w:sz w:val="20"/>
          <w:szCs w:val="20"/>
        </w:rPr>
        <w:t xml:space="preserve"> (</w:t>
      </w:r>
      <w:r w:rsidRPr="00872300">
        <w:rPr>
          <w:b/>
          <w:sz w:val="20"/>
          <w:szCs w:val="20"/>
        </w:rPr>
        <w:t xml:space="preserve">slovy: </w:t>
      </w:r>
      <w:proofErr w:type="spellStart"/>
      <w:r w:rsidR="00E42E92">
        <w:rPr>
          <w:b/>
          <w:sz w:val="20"/>
          <w:szCs w:val="20"/>
        </w:rPr>
        <w:t>sedmnácttisícdvěstěpadesátjedna</w:t>
      </w:r>
      <w:proofErr w:type="spellEnd"/>
      <w:r w:rsidRPr="00872300">
        <w:rPr>
          <w:b/>
          <w:sz w:val="20"/>
          <w:szCs w:val="20"/>
        </w:rPr>
        <w:t xml:space="preserve"> korun českých</w:t>
      </w:r>
      <w:r w:rsidR="00757F27">
        <w:rPr>
          <w:b/>
          <w:sz w:val="20"/>
          <w:szCs w:val="20"/>
        </w:rPr>
        <w:t>)</w:t>
      </w:r>
      <w:r w:rsidRPr="00872300">
        <w:rPr>
          <w:b/>
          <w:sz w:val="20"/>
          <w:szCs w:val="20"/>
        </w:rPr>
        <w:t xml:space="preserve"> ročně</w:t>
      </w:r>
      <w:r w:rsidR="00C03705">
        <w:rPr>
          <w:b/>
          <w:sz w:val="20"/>
          <w:szCs w:val="20"/>
        </w:rPr>
        <w:t xml:space="preserve">, </w:t>
      </w:r>
      <w:r w:rsidR="00C03705" w:rsidRPr="00C03705">
        <w:rPr>
          <w:b/>
          <w:bCs/>
          <w:sz w:val="20"/>
          <w:szCs w:val="20"/>
        </w:rPr>
        <w:t xml:space="preserve">viz. příloha </w:t>
      </w:r>
      <w:r w:rsidR="00C03705" w:rsidRPr="00C03705">
        <w:rPr>
          <w:sz w:val="20"/>
          <w:szCs w:val="20"/>
        </w:rPr>
        <w:t xml:space="preserve">a je poprvé splatné počínaje nejbližší platbou </w:t>
      </w:r>
      <w:r w:rsidR="00C03705">
        <w:rPr>
          <w:sz w:val="20"/>
          <w:szCs w:val="20"/>
        </w:rPr>
        <w:t>nájemného</w:t>
      </w:r>
      <w:r w:rsidR="00C03705" w:rsidRPr="00C03705">
        <w:rPr>
          <w:sz w:val="20"/>
          <w:szCs w:val="20"/>
        </w:rPr>
        <w:t xml:space="preserve">, tj. počínaje </w:t>
      </w:r>
      <w:r w:rsidR="00C03705" w:rsidRPr="00C03705">
        <w:rPr>
          <w:b/>
          <w:bCs/>
          <w:sz w:val="20"/>
          <w:szCs w:val="20"/>
        </w:rPr>
        <w:t>1.10. 202</w:t>
      </w:r>
      <w:r w:rsidR="00C03705">
        <w:rPr>
          <w:b/>
          <w:bCs/>
          <w:sz w:val="20"/>
          <w:szCs w:val="20"/>
        </w:rPr>
        <w:t>3</w:t>
      </w:r>
      <w:r w:rsidR="00CF3614" w:rsidRPr="00C03705">
        <w:rPr>
          <w:b/>
          <w:sz w:val="20"/>
          <w:szCs w:val="20"/>
        </w:rPr>
        <w:t>.</w:t>
      </w:r>
    </w:p>
    <w:p w14:paraId="5205D8A9" w14:textId="0BB8A365" w:rsidR="00650CBC" w:rsidRDefault="00650CBC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5127583" w14:textId="79D3108A" w:rsidR="00B56F32" w:rsidRPr="00E77F23" w:rsidRDefault="00B56F32" w:rsidP="00B56F32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E42E92">
        <w:rPr>
          <w:rFonts w:ascii="Arial" w:hAnsi="Arial" w:cs="Arial"/>
          <w:b/>
          <w:sz w:val="20"/>
        </w:rPr>
        <w:t>156N06</w:t>
      </w:r>
      <w:r>
        <w:rPr>
          <w:rFonts w:ascii="Arial" w:hAnsi="Arial" w:cs="Arial"/>
          <w:b/>
          <w:sz w:val="20"/>
        </w:rPr>
        <w:t>/53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2032F9F5" w14:textId="77777777" w:rsidR="00B56F32" w:rsidRPr="00E77F23" w:rsidRDefault="00B56F32" w:rsidP="00B56F32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>
        <w:rPr>
          <w:rFonts w:ascii="Arial" w:hAnsi="Arial" w:cs="Arial"/>
          <w:b/>
          <w:sz w:val="20"/>
        </w:rPr>
        <w:t>pronajímatel</w:t>
      </w:r>
      <w:r w:rsidRPr="00E77F23">
        <w:rPr>
          <w:rFonts w:ascii="Arial" w:hAnsi="Arial" w:cs="Arial"/>
          <w:b/>
          <w:sz w:val="20"/>
        </w:rPr>
        <w:t>.</w:t>
      </w:r>
    </w:p>
    <w:p w14:paraId="4560FE8E" w14:textId="77777777" w:rsidR="00B56F32" w:rsidRDefault="00B56F32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38C31A94" w14:textId="6F4AB603" w:rsidR="008974EA" w:rsidRDefault="008974EA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8F5000D" w14:textId="3AFCD691" w:rsidR="00C03705" w:rsidRDefault="00C97E25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(„otisk úředního razítka“)</w:t>
      </w:r>
    </w:p>
    <w:p w14:paraId="291B5A12" w14:textId="77777777" w:rsidR="00F4085F" w:rsidRPr="00B847A0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24E5BDB4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2596B29" w14:textId="77777777" w:rsidR="00E826A8" w:rsidRDefault="00E826A8" w:rsidP="005056F0">
      <w:pPr>
        <w:jc w:val="both"/>
        <w:rPr>
          <w:rFonts w:ascii="Arial" w:hAnsi="Arial" w:cs="Arial"/>
          <w:sz w:val="20"/>
          <w:szCs w:val="20"/>
        </w:rPr>
      </w:pPr>
    </w:p>
    <w:p w14:paraId="10834FFB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4E8B12A0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18A00922" w:rsidR="005056F0" w:rsidRPr="00B847A0" w:rsidRDefault="00757F2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sectPr w:rsidR="005056F0" w:rsidRPr="00B847A0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EB475B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EB475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3FFB"/>
    <w:rsid w:val="00063AD3"/>
    <w:rsid w:val="000756E2"/>
    <w:rsid w:val="00090162"/>
    <w:rsid w:val="00093CEC"/>
    <w:rsid w:val="00096BEF"/>
    <w:rsid w:val="00096CAA"/>
    <w:rsid w:val="000A100C"/>
    <w:rsid w:val="000C3927"/>
    <w:rsid w:val="000D357B"/>
    <w:rsid w:val="00123BAD"/>
    <w:rsid w:val="001379F6"/>
    <w:rsid w:val="001435E6"/>
    <w:rsid w:val="00150F22"/>
    <w:rsid w:val="001F2E10"/>
    <w:rsid w:val="00217AF0"/>
    <w:rsid w:val="00265E25"/>
    <w:rsid w:val="00273861"/>
    <w:rsid w:val="002808A9"/>
    <w:rsid w:val="002834BF"/>
    <w:rsid w:val="00290D31"/>
    <w:rsid w:val="002B7AB6"/>
    <w:rsid w:val="002D3816"/>
    <w:rsid w:val="002D4C42"/>
    <w:rsid w:val="002E0124"/>
    <w:rsid w:val="0030193E"/>
    <w:rsid w:val="00352859"/>
    <w:rsid w:val="00371D54"/>
    <w:rsid w:val="00376743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5056F0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3540"/>
    <w:rsid w:val="00663A15"/>
    <w:rsid w:val="0066419A"/>
    <w:rsid w:val="00693183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2714E"/>
    <w:rsid w:val="00757F27"/>
    <w:rsid w:val="007B5194"/>
    <w:rsid w:val="007D28C3"/>
    <w:rsid w:val="007F25CC"/>
    <w:rsid w:val="007F66E4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500CF"/>
    <w:rsid w:val="009730FA"/>
    <w:rsid w:val="009C72C4"/>
    <w:rsid w:val="009D1926"/>
    <w:rsid w:val="00A83BD4"/>
    <w:rsid w:val="00A965CF"/>
    <w:rsid w:val="00AC793E"/>
    <w:rsid w:val="00AE70F3"/>
    <w:rsid w:val="00AF2AF8"/>
    <w:rsid w:val="00AF37AF"/>
    <w:rsid w:val="00AF4B26"/>
    <w:rsid w:val="00B012B6"/>
    <w:rsid w:val="00B0470C"/>
    <w:rsid w:val="00B32AF2"/>
    <w:rsid w:val="00B422A5"/>
    <w:rsid w:val="00B56F32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3705"/>
    <w:rsid w:val="00C04078"/>
    <w:rsid w:val="00C05024"/>
    <w:rsid w:val="00C41153"/>
    <w:rsid w:val="00C45BBF"/>
    <w:rsid w:val="00C97E25"/>
    <w:rsid w:val="00CD4D87"/>
    <w:rsid w:val="00CE1718"/>
    <w:rsid w:val="00CE417C"/>
    <w:rsid w:val="00CF3614"/>
    <w:rsid w:val="00CF67C0"/>
    <w:rsid w:val="00D03167"/>
    <w:rsid w:val="00D2248B"/>
    <w:rsid w:val="00D225E0"/>
    <w:rsid w:val="00D2634D"/>
    <w:rsid w:val="00D37CAC"/>
    <w:rsid w:val="00D60EC4"/>
    <w:rsid w:val="00D64F42"/>
    <w:rsid w:val="00D673D2"/>
    <w:rsid w:val="00D77A89"/>
    <w:rsid w:val="00D91E9F"/>
    <w:rsid w:val="00D964EE"/>
    <w:rsid w:val="00DA3995"/>
    <w:rsid w:val="00DE647E"/>
    <w:rsid w:val="00E42E92"/>
    <w:rsid w:val="00E47CB2"/>
    <w:rsid w:val="00E826A8"/>
    <w:rsid w:val="00E961D0"/>
    <w:rsid w:val="00EB475B"/>
    <w:rsid w:val="00ED0AE3"/>
    <w:rsid w:val="00ED700C"/>
    <w:rsid w:val="00EE20FA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B2D21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0370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2023-06-21T14:24:00Z</cp:lastPrinted>
  <dcterms:created xsi:type="dcterms:W3CDTF">2023-06-27T06:11:00Z</dcterms:created>
  <dcterms:modified xsi:type="dcterms:W3CDTF">2023-06-27T06:11:00Z</dcterms:modified>
</cp:coreProperties>
</file>