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F0" w:rsidRDefault="00FC1E4A">
      <w:pPr>
        <w:spacing w:line="1" w:lineRule="exact"/>
      </w:pPr>
      <w:r>
        <w:rPr>
          <w:noProof/>
          <w:lang w:bidi="ar-SA"/>
        </w:rPr>
        <w:drawing>
          <wp:anchor distT="0" distB="0" distL="114300" distR="114300" simplePos="0" relativeHeight="125829378" behindDoc="0" locked="0" layoutInCell="1" allowOverlap="1">
            <wp:simplePos x="0" y="0"/>
            <wp:positionH relativeFrom="page">
              <wp:posOffset>581660</wp:posOffset>
            </wp:positionH>
            <wp:positionV relativeFrom="paragraph">
              <wp:posOffset>45720</wp:posOffset>
            </wp:positionV>
            <wp:extent cx="725170" cy="4451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25170" cy="445135"/>
                    </a:xfrm>
                    <a:prstGeom prst="rect">
                      <a:avLst/>
                    </a:prstGeom>
                  </pic:spPr>
                </pic:pic>
              </a:graphicData>
            </a:graphic>
          </wp:anchor>
        </w:drawing>
      </w:r>
      <w:r>
        <w:rPr>
          <w:noProof/>
          <w:lang w:bidi="ar-SA"/>
        </w:rPr>
        <mc:AlternateContent>
          <mc:Choice Requires="wps">
            <w:drawing>
              <wp:anchor distT="0" distB="0" distL="114300" distR="114300" simplePos="0" relativeHeight="125829379" behindDoc="0" locked="0" layoutInCell="1" allowOverlap="1">
                <wp:simplePos x="0" y="0"/>
                <wp:positionH relativeFrom="page">
                  <wp:posOffset>5446395</wp:posOffset>
                </wp:positionH>
                <wp:positionV relativeFrom="paragraph">
                  <wp:posOffset>12700</wp:posOffset>
                </wp:positionV>
                <wp:extent cx="1216025" cy="84709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216025" cy="847090"/>
                        </a:xfrm>
                        <a:prstGeom prst="rect">
                          <a:avLst/>
                        </a:prstGeom>
                        <a:noFill/>
                      </wps:spPr>
                      <wps:txbx>
                        <w:txbxContent>
                          <w:p w:rsidR="007D45F0" w:rsidRDefault="00FC1E4A">
                            <w:pPr>
                              <w:pStyle w:val="Zkladntext40"/>
                              <w:shd w:val="clear" w:color="auto" w:fill="auto"/>
                              <w:spacing w:after="0"/>
                            </w:pPr>
                            <w:r>
                              <w:t>KAPLANOVA 1931/1</w:t>
                            </w:r>
                          </w:p>
                          <w:p w:rsidR="007D45F0" w:rsidRDefault="00FC1E4A">
                            <w:pPr>
                              <w:pStyle w:val="Zkladntext40"/>
                              <w:shd w:val="clear" w:color="auto" w:fill="auto"/>
                              <w:jc w:val="left"/>
                            </w:pPr>
                            <w:r>
                              <w:t>148 00 PRAHA 11 - CHODOV</w:t>
                            </w:r>
                          </w:p>
                          <w:p w:rsidR="007D45F0" w:rsidRDefault="00FC1E4A">
                            <w:pPr>
                              <w:pStyle w:val="Zkladntext40"/>
                              <w:shd w:val="clear" w:color="auto" w:fill="auto"/>
                              <w:spacing w:after="0"/>
                            </w:pPr>
                            <w:r>
                              <w:t>TEL: 951 421 242</w:t>
                            </w:r>
                          </w:p>
                          <w:p w:rsidR="007D45F0" w:rsidRDefault="00FC1E4A">
                            <w:pPr>
                              <w:pStyle w:val="Zkladntext40"/>
                              <w:shd w:val="clear" w:color="auto" w:fill="auto"/>
                            </w:pPr>
                            <w:r>
                              <w:t>FAX: 951 421 241</w:t>
                            </w:r>
                          </w:p>
                          <w:p w:rsidR="007D45F0" w:rsidRDefault="00FC1E4A">
                            <w:pPr>
                              <w:pStyle w:val="Zkladntext40"/>
                              <w:pBdr>
                                <w:bottom w:val="single" w:sz="4" w:space="0" w:color="auto"/>
                              </w:pBdr>
                              <w:shd w:val="clear" w:color="auto" w:fill="auto"/>
                              <w:ind w:left="640"/>
                            </w:pPr>
                            <w:r>
                              <w:t xml:space="preserve">ID DS: DKKDKDJ </w:t>
                            </w:r>
                            <w:hyperlink r:id="rId8" w:history="1">
                              <w:r>
                                <w:rPr>
                                  <w:lang w:val="en-US" w:eastAsia="en-US" w:bidi="en-US"/>
                                </w:rPr>
                                <w:t>aopkcr@nature.cz</w:t>
                              </w:r>
                            </w:hyperlink>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28.85000000000002pt;margin-top:1.pt;width:95.75pt;height:66.700000000000003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KAPLANOVA 1931/1</w:t>
                      </w:r>
                    </w:p>
                    <w:p>
                      <w:pPr>
                        <w:pStyle w:val="Style2"/>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cs-CZ" w:eastAsia="cs-CZ" w:bidi="cs-CZ"/>
                        </w:rPr>
                        <w:t>148 00 PRAHA 11 - CHODOV</w:t>
                      </w:r>
                    </w:p>
                    <w:p>
                      <w:pPr>
                        <w:pStyle w:val="Style2"/>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TEL: 951 421 242</w:t>
                      </w:r>
                    </w:p>
                    <w:p>
                      <w:pPr>
                        <w:pStyle w:val="Style2"/>
                        <w:keepNext w:val="0"/>
                        <w:keepLines w:val="0"/>
                        <w:widowControl w:val="0"/>
                        <w:shd w:val="clear" w:color="auto" w:fill="auto"/>
                        <w:bidi w:val="0"/>
                        <w:spacing w:before="0" w:line="240" w:lineRule="auto"/>
                        <w:ind w:left="0" w:right="0" w:firstLine="0"/>
                        <w:jc w:val="right"/>
                      </w:pPr>
                      <w:r>
                        <w:rPr>
                          <w:spacing w:val="0"/>
                          <w:w w:val="100"/>
                          <w:position w:val="0"/>
                          <w:shd w:val="clear" w:color="auto" w:fill="auto"/>
                          <w:lang w:val="cs-CZ" w:eastAsia="cs-CZ" w:bidi="cs-CZ"/>
                        </w:rPr>
                        <w:t>FAX: 951 421 241</w:t>
                      </w:r>
                    </w:p>
                    <w:p>
                      <w:pPr>
                        <w:pStyle w:val="Style2"/>
                        <w:keepNext w:val="0"/>
                        <w:keepLines w:val="0"/>
                        <w:widowControl w:val="0"/>
                        <w:pBdr>
                          <w:bottom w:val="single" w:sz="4" w:space="0" w:color="auto"/>
                        </w:pBdr>
                        <w:shd w:val="clear" w:color="auto" w:fill="auto"/>
                        <w:bidi w:val="0"/>
                        <w:spacing w:before="0" w:line="240" w:lineRule="auto"/>
                        <w:ind w:left="640" w:right="0" w:firstLine="0"/>
                        <w:jc w:val="right"/>
                      </w:pPr>
                      <w:r>
                        <w:rPr>
                          <w:spacing w:val="0"/>
                          <w:w w:val="100"/>
                          <w:position w:val="0"/>
                          <w:shd w:val="clear" w:color="auto" w:fill="auto"/>
                          <w:lang w:val="cs-CZ" w:eastAsia="cs-CZ" w:bidi="cs-CZ"/>
                        </w:rPr>
                        <w:t xml:space="preserve">ID DS: DKKDKDJ </w:t>
                      </w:r>
                      <w:r>
                        <w:fldChar w:fldCharType="begin"/>
                      </w:r>
                      <w:r>
                        <w:rPr/>
                        <w:instrText> HYPERLINK "mailto:aopkcr@nature.cz" </w:instrText>
                      </w:r>
                      <w:r>
                        <w:fldChar w:fldCharType="separate"/>
                      </w:r>
                      <w:r>
                        <w:rPr>
                          <w:spacing w:val="0"/>
                          <w:w w:val="100"/>
                          <w:position w:val="0"/>
                          <w:shd w:val="clear" w:color="auto" w:fill="auto"/>
                          <w:lang w:val="en-US" w:eastAsia="en-US" w:bidi="en-US"/>
                        </w:rPr>
                        <w:t>aopkcr@nature.cz</w:t>
                      </w:r>
                      <w:r>
                        <w:fldChar w:fldCharType="end"/>
                      </w:r>
                    </w:p>
                  </w:txbxContent>
                </v:textbox>
                <w10:wrap type="square" side="left" anchorx="page"/>
              </v:shape>
            </w:pict>
          </mc:Fallback>
        </mc:AlternateContent>
      </w:r>
    </w:p>
    <w:p w:rsidR="007D45F0" w:rsidRDefault="00FC1E4A">
      <w:pPr>
        <w:pStyle w:val="Zkladntext30"/>
        <w:shd w:val="clear" w:color="auto" w:fill="auto"/>
        <w:tabs>
          <w:tab w:val="left" w:leader="underscore" w:pos="1210"/>
        </w:tabs>
        <w:spacing w:after="460" w:line="290" w:lineRule="auto"/>
        <w:ind w:right="5020"/>
        <w:jc w:val="right"/>
        <w:rPr>
          <w:sz w:val="14"/>
          <w:szCs w:val="14"/>
        </w:rPr>
      </w:pPr>
      <w:r>
        <w:rPr>
          <w:color w:val="006B4D"/>
          <w:sz w:val="14"/>
          <w:szCs w:val="14"/>
        </w:rPr>
        <w:t xml:space="preserve">I AGENTURA OCHRANY </w:t>
      </w:r>
      <w:r>
        <w:rPr>
          <w:smallCaps/>
          <w:color w:val="006B4D"/>
          <w:sz w:val="19"/>
          <w:szCs w:val="19"/>
        </w:rPr>
        <w:t xml:space="preserve">přírody a krajiny </w:t>
      </w:r>
      <w:r>
        <w:rPr>
          <w:color w:val="006B4D"/>
          <w:sz w:val="14"/>
          <w:szCs w:val="14"/>
        </w:rPr>
        <w:tab/>
        <w:t>i ČESKÉ REPUBLIKY</w:t>
      </w:r>
    </w:p>
    <w:p w:rsidR="007D45F0" w:rsidRDefault="00FC1E4A">
      <w:pPr>
        <w:pStyle w:val="Zkladntext1"/>
        <w:shd w:val="clear" w:color="auto" w:fill="auto"/>
        <w:spacing w:after="260"/>
        <w:jc w:val="right"/>
      </w:pPr>
      <w:r>
        <w:t>Číslo smlouvy: 01911/BE/2023</w:t>
      </w:r>
    </w:p>
    <w:p w:rsidR="007D45F0" w:rsidRDefault="00FC1E4A">
      <w:pPr>
        <w:pStyle w:val="Jin0"/>
        <w:shd w:val="clear" w:color="auto" w:fill="auto"/>
        <w:spacing w:after="260" w:line="240" w:lineRule="auto"/>
        <w:jc w:val="center"/>
        <w:rPr>
          <w:sz w:val="28"/>
          <w:szCs w:val="28"/>
        </w:rPr>
      </w:pPr>
      <w:r>
        <w:rPr>
          <w:b/>
          <w:bCs/>
          <w:sz w:val="28"/>
          <w:szCs w:val="28"/>
        </w:rPr>
        <w:t>RÁMCOVÁ DOHODA</w:t>
      </w:r>
    </w:p>
    <w:p w:rsidR="007D45F0" w:rsidRDefault="00FC1E4A">
      <w:pPr>
        <w:pStyle w:val="Zkladntext1"/>
        <w:shd w:val="clear" w:color="auto" w:fill="auto"/>
        <w:spacing w:after="460"/>
        <w:ind w:left="1380" w:firstLine="20"/>
        <w:jc w:val="both"/>
      </w:pPr>
      <w:r>
        <w:rPr>
          <w:b/>
          <w:bCs/>
        </w:rPr>
        <w:t>UZAVŘENÁ DLE USTANOVENÍ § 1746 ODST. 2 ZÁK. Č. 89/2012 SB., OBČANSKÉHO ZÁKONÍKU A § 131 A NÁSL. ZÁKONA Č. 134/2016 SB., O ZADÁVÁNÍ VEŘEJNÝCH ZAKÁZEK, VE ZNĚNÍ POZDĚJŠÍCH PŘEDPISŮ (DÁLE JEN „ZZVZ“)</w:t>
      </w:r>
    </w:p>
    <w:p w:rsidR="007D45F0" w:rsidRDefault="00FC1E4A">
      <w:pPr>
        <w:pStyle w:val="Titulektabulky0"/>
        <w:shd w:val="clear" w:color="auto" w:fill="auto"/>
        <w:ind w:left="3518"/>
      </w:pPr>
      <w:r>
        <w:t>1. 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62"/>
        <w:gridCol w:w="5021"/>
      </w:tblGrid>
      <w:tr w:rsidR="007D45F0">
        <w:tblPrEx>
          <w:tblCellMar>
            <w:top w:w="0" w:type="dxa"/>
            <w:bottom w:w="0" w:type="dxa"/>
          </w:tblCellMar>
        </w:tblPrEx>
        <w:trPr>
          <w:trHeight w:hRule="exact" w:val="686"/>
          <w:jc w:val="center"/>
        </w:trPr>
        <w:tc>
          <w:tcPr>
            <w:tcW w:w="1762" w:type="dxa"/>
            <w:shd w:val="clear" w:color="auto" w:fill="FFFFFF"/>
          </w:tcPr>
          <w:p w:rsidR="007D45F0" w:rsidRDefault="00FC1E4A">
            <w:pPr>
              <w:pStyle w:val="Jin0"/>
              <w:shd w:val="clear" w:color="auto" w:fill="auto"/>
              <w:spacing w:after="140" w:line="240" w:lineRule="auto"/>
            </w:pPr>
            <w:r>
              <w:t xml:space="preserve">1.1. </w:t>
            </w:r>
            <w:r>
              <w:rPr>
                <w:b/>
                <w:bCs/>
              </w:rPr>
              <w:t>Objednatel</w:t>
            </w:r>
          </w:p>
          <w:p w:rsidR="007D45F0" w:rsidRDefault="00FC1E4A">
            <w:pPr>
              <w:pStyle w:val="Jin0"/>
              <w:shd w:val="clear" w:color="auto" w:fill="auto"/>
              <w:spacing w:after="0" w:line="240" w:lineRule="auto"/>
            </w:pPr>
            <w:r>
              <w:rPr>
                <w:b/>
                <w:bCs/>
              </w:rPr>
              <w:t>Česká republika -</w:t>
            </w:r>
          </w:p>
        </w:tc>
        <w:tc>
          <w:tcPr>
            <w:tcW w:w="5021" w:type="dxa"/>
            <w:shd w:val="clear" w:color="auto" w:fill="FFFFFF"/>
            <w:vAlign w:val="bottom"/>
          </w:tcPr>
          <w:p w:rsidR="007D45F0" w:rsidRDefault="00FC1E4A">
            <w:pPr>
              <w:pStyle w:val="Jin0"/>
              <w:shd w:val="clear" w:color="auto" w:fill="auto"/>
              <w:spacing w:after="0" w:line="240" w:lineRule="auto"/>
            </w:pPr>
            <w:r>
              <w:rPr>
                <w:b/>
                <w:bCs/>
              </w:rPr>
              <w:t>Agentura ochrany přírody a krajiny České republiky</w:t>
            </w:r>
          </w:p>
        </w:tc>
      </w:tr>
      <w:tr w:rsidR="007D45F0">
        <w:tblPrEx>
          <w:tblCellMar>
            <w:top w:w="0" w:type="dxa"/>
            <w:bottom w:w="0" w:type="dxa"/>
          </w:tblCellMar>
        </w:tblPrEx>
        <w:trPr>
          <w:trHeight w:hRule="exact" w:val="312"/>
          <w:jc w:val="center"/>
        </w:trPr>
        <w:tc>
          <w:tcPr>
            <w:tcW w:w="1762" w:type="dxa"/>
            <w:shd w:val="clear" w:color="auto" w:fill="FFFFFF"/>
            <w:vAlign w:val="bottom"/>
          </w:tcPr>
          <w:p w:rsidR="007D45F0" w:rsidRDefault="00FC1E4A">
            <w:pPr>
              <w:pStyle w:val="Jin0"/>
              <w:shd w:val="clear" w:color="auto" w:fill="auto"/>
              <w:spacing w:after="0" w:line="240" w:lineRule="auto"/>
            </w:pPr>
            <w:r>
              <w:t>Sídlo:</w:t>
            </w:r>
          </w:p>
        </w:tc>
        <w:tc>
          <w:tcPr>
            <w:tcW w:w="5021" w:type="dxa"/>
            <w:shd w:val="clear" w:color="auto" w:fill="FFFFFF"/>
            <w:vAlign w:val="bottom"/>
          </w:tcPr>
          <w:p w:rsidR="007D45F0" w:rsidRDefault="00FC1E4A">
            <w:pPr>
              <w:pStyle w:val="Jin0"/>
              <w:shd w:val="clear" w:color="auto" w:fill="auto"/>
              <w:spacing w:after="0" w:line="240" w:lineRule="auto"/>
            </w:pPr>
            <w:r>
              <w:t>Kaplanova 1931/1, 148 00 Praha 11 - Chodov</w:t>
            </w:r>
          </w:p>
        </w:tc>
      </w:tr>
      <w:tr w:rsidR="007D45F0">
        <w:tblPrEx>
          <w:tblCellMar>
            <w:top w:w="0" w:type="dxa"/>
            <w:bottom w:w="0" w:type="dxa"/>
          </w:tblCellMar>
        </w:tblPrEx>
        <w:trPr>
          <w:trHeight w:hRule="exact" w:val="264"/>
          <w:jc w:val="center"/>
        </w:trPr>
        <w:tc>
          <w:tcPr>
            <w:tcW w:w="1762" w:type="dxa"/>
            <w:shd w:val="clear" w:color="auto" w:fill="FFFFFF"/>
            <w:vAlign w:val="bottom"/>
          </w:tcPr>
          <w:p w:rsidR="007D45F0" w:rsidRDefault="00FC1E4A">
            <w:pPr>
              <w:pStyle w:val="Jin0"/>
              <w:shd w:val="clear" w:color="auto" w:fill="auto"/>
              <w:spacing w:after="0" w:line="240" w:lineRule="auto"/>
            </w:pPr>
            <w:r>
              <w:t>Jednající:</w:t>
            </w:r>
          </w:p>
        </w:tc>
        <w:tc>
          <w:tcPr>
            <w:tcW w:w="5021" w:type="dxa"/>
            <w:shd w:val="clear" w:color="auto" w:fill="FFFFFF"/>
            <w:vAlign w:val="bottom"/>
          </w:tcPr>
          <w:p w:rsidR="007D45F0" w:rsidRDefault="00FC1E4A">
            <w:pPr>
              <w:pStyle w:val="Jin0"/>
              <w:shd w:val="clear" w:color="auto" w:fill="auto"/>
              <w:spacing w:after="0" w:line="240" w:lineRule="auto"/>
            </w:pPr>
            <w:r>
              <w:t>RNDr. František Pelc</w:t>
            </w:r>
          </w:p>
        </w:tc>
      </w:tr>
      <w:tr w:rsidR="007D45F0">
        <w:tblPrEx>
          <w:tblCellMar>
            <w:top w:w="0" w:type="dxa"/>
            <w:bottom w:w="0" w:type="dxa"/>
          </w:tblCellMar>
        </w:tblPrEx>
        <w:trPr>
          <w:trHeight w:hRule="exact" w:val="250"/>
          <w:jc w:val="center"/>
        </w:trPr>
        <w:tc>
          <w:tcPr>
            <w:tcW w:w="1762" w:type="dxa"/>
            <w:shd w:val="clear" w:color="auto" w:fill="FFFFFF"/>
            <w:vAlign w:val="bottom"/>
          </w:tcPr>
          <w:p w:rsidR="007D45F0" w:rsidRDefault="00FC1E4A">
            <w:pPr>
              <w:pStyle w:val="Jin0"/>
              <w:shd w:val="clear" w:color="auto" w:fill="auto"/>
              <w:spacing w:after="0" w:line="240" w:lineRule="auto"/>
            </w:pPr>
            <w:r>
              <w:t>IČO:</w:t>
            </w:r>
          </w:p>
        </w:tc>
        <w:tc>
          <w:tcPr>
            <w:tcW w:w="5021" w:type="dxa"/>
            <w:shd w:val="clear" w:color="auto" w:fill="FFFFFF"/>
            <w:vAlign w:val="bottom"/>
          </w:tcPr>
          <w:p w:rsidR="007D45F0" w:rsidRDefault="00FC1E4A">
            <w:pPr>
              <w:pStyle w:val="Jin0"/>
              <w:shd w:val="clear" w:color="auto" w:fill="auto"/>
              <w:spacing w:after="0" w:line="240" w:lineRule="auto"/>
            </w:pPr>
            <w:r>
              <w:t>629 335 91</w:t>
            </w:r>
          </w:p>
        </w:tc>
      </w:tr>
      <w:tr w:rsidR="007D45F0">
        <w:tblPrEx>
          <w:tblCellMar>
            <w:top w:w="0" w:type="dxa"/>
            <w:bottom w:w="0" w:type="dxa"/>
          </w:tblCellMar>
        </w:tblPrEx>
        <w:trPr>
          <w:trHeight w:hRule="exact" w:val="269"/>
          <w:jc w:val="center"/>
        </w:trPr>
        <w:tc>
          <w:tcPr>
            <w:tcW w:w="1762" w:type="dxa"/>
            <w:shd w:val="clear" w:color="auto" w:fill="FFFFFF"/>
            <w:vAlign w:val="bottom"/>
          </w:tcPr>
          <w:p w:rsidR="007D45F0" w:rsidRDefault="00FC1E4A">
            <w:pPr>
              <w:pStyle w:val="Jin0"/>
              <w:shd w:val="clear" w:color="auto" w:fill="auto"/>
              <w:spacing w:after="0" w:line="240" w:lineRule="auto"/>
            </w:pPr>
            <w:r>
              <w:t>Bankovní spojení:</w:t>
            </w:r>
          </w:p>
        </w:tc>
        <w:tc>
          <w:tcPr>
            <w:tcW w:w="5021" w:type="dxa"/>
            <w:shd w:val="clear" w:color="auto" w:fill="FFFFFF"/>
            <w:vAlign w:val="bottom"/>
          </w:tcPr>
          <w:p w:rsidR="007D45F0" w:rsidRDefault="00FC1E4A">
            <w:pPr>
              <w:pStyle w:val="Jin0"/>
              <w:shd w:val="clear" w:color="auto" w:fill="auto"/>
              <w:spacing w:after="0" w:line="240" w:lineRule="auto"/>
            </w:pPr>
            <w:r>
              <w:t>ČNB Praha, Číslo účtu: 18228011/0710</w:t>
            </w:r>
          </w:p>
        </w:tc>
      </w:tr>
    </w:tbl>
    <w:p w:rsidR="007D45F0" w:rsidRDefault="00FC1E4A">
      <w:pPr>
        <w:pStyle w:val="Titulektabulky0"/>
        <w:shd w:val="clear" w:color="auto" w:fill="auto"/>
        <w:ind w:left="5"/>
      </w:pPr>
      <w:r>
        <w:rPr>
          <w:b w:val="0"/>
          <w:bCs w:val="0"/>
        </w:rPr>
        <w:t xml:space="preserve">(dále jen </w:t>
      </w:r>
      <w:r>
        <w:rPr>
          <w:b w:val="0"/>
          <w:bCs w:val="0"/>
          <w:u w:val="single"/>
        </w:rPr>
        <w:t>„objednatel</w:t>
      </w:r>
      <w:r>
        <w:rPr>
          <w:b w:val="0"/>
          <w:bCs w:val="0"/>
        </w:rPr>
        <w:t>“)</w:t>
      </w:r>
    </w:p>
    <w:p w:rsidR="007D45F0" w:rsidRDefault="007D45F0">
      <w:pPr>
        <w:spacing w:after="739" w:line="1" w:lineRule="exact"/>
      </w:pPr>
    </w:p>
    <w:p w:rsidR="007D45F0" w:rsidRDefault="00FC1E4A">
      <w:pPr>
        <w:pStyle w:val="Zkladntext1"/>
        <w:numPr>
          <w:ilvl w:val="0"/>
          <w:numId w:val="1"/>
        </w:numPr>
        <w:shd w:val="clear" w:color="auto" w:fill="auto"/>
        <w:tabs>
          <w:tab w:val="left" w:pos="1946"/>
        </w:tabs>
        <w:spacing w:after="360" w:line="240" w:lineRule="auto"/>
        <w:ind w:left="1380"/>
      </w:pPr>
      <w:r>
        <w:rPr>
          <w:b/>
          <w:bCs/>
        </w:rPr>
        <w:t>Poskytovatel</w:t>
      </w:r>
    </w:p>
    <w:p w:rsidR="007D45F0" w:rsidRDefault="00FC1E4A">
      <w:pPr>
        <w:pStyle w:val="Nadpis50"/>
        <w:keepNext/>
        <w:keepLines/>
        <w:shd w:val="clear" w:color="auto" w:fill="auto"/>
        <w:spacing w:after="120" w:line="240" w:lineRule="auto"/>
        <w:ind w:left="1380"/>
      </w:pPr>
      <w:bookmarkStart w:id="0" w:name="bookmark0"/>
      <w:bookmarkStart w:id="1" w:name="bookmark1"/>
      <w:r>
        <w:t xml:space="preserve">Název: </w:t>
      </w:r>
      <w:r>
        <w:t>Salamandr s.r.o.</w:t>
      </w:r>
      <w:bookmarkEnd w:id="0"/>
      <w:bookmarkEnd w:id="1"/>
    </w:p>
    <w:p w:rsidR="007D45F0" w:rsidRDefault="00FC1E4A">
      <w:pPr>
        <w:pStyle w:val="Zkladntext1"/>
        <w:shd w:val="clear" w:color="auto" w:fill="auto"/>
        <w:spacing w:after="0" w:line="240" w:lineRule="auto"/>
        <w:ind w:left="1380"/>
      </w:pPr>
      <w:r>
        <w:t>Sídlo: Za Hážovkou 1819, 756 61 Rožnov pod Radhoštěm</w:t>
      </w:r>
    </w:p>
    <w:p w:rsidR="007D45F0" w:rsidRDefault="00FC1E4A">
      <w:pPr>
        <w:pStyle w:val="Zkladntext1"/>
        <w:shd w:val="clear" w:color="auto" w:fill="auto"/>
        <w:spacing w:after="0" w:line="240" w:lineRule="auto"/>
        <w:ind w:left="1380"/>
      </w:pPr>
      <w:r>
        <w:t>Jednající: Ing Vojtěch Bajer, jednatel</w:t>
      </w:r>
    </w:p>
    <w:p w:rsidR="007D45F0" w:rsidRDefault="00FC1E4A">
      <w:pPr>
        <w:pStyle w:val="Zkladntext1"/>
        <w:shd w:val="clear" w:color="auto" w:fill="auto"/>
        <w:spacing w:after="0" w:line="240" w:lineRule="auto"/>
        <w:ind w:left="1380"/>
      </w:pPr>
      <w:r>
        <w:t>IČO: 26871513</w:t>
      </w:r>
    </w:p>
    <w:p w:rsidR="007D45F0" w:rsidRDefault="00FC1E4A">
      <w:pPr>
        <w:pStyle w:val="Zkladntext1"/>
        <w:shd w:val="clear" w:color="auto" w:fill="auto"/>
        <w:spacing w:after="0" w:line="240" w:lineRule="auto"/>
        <w:ind w:left="1380"/>
      </w:pPr>
      <w:r>
        <w:t>DIČ: CZ2687151</w:t>
      </w:r>
    </w:p>
    <w:p w:rsidR="007D45F0" w:rsidRDefault="00FC1E4A">
      <w:pPr>
        <w:pStyle w:val="Zkladntext1"/>
        <w:shd w:val="clear" w:color="auto" w:fill="auto"/>
        <w:spacing w:after="800" w:line="240" w:lineRule="auto"/>
        <w:ind w:left="1380"/>
      </w:pPr>
      <w:r>
        <w:t>Bankovní spojení:</w:t>
      </w:r>
    </w:p>
    <w:p w:rsidR="007D45F0" w:rsidRDefault="00FC1E4A">
      <w:pPr>
        <w:pStyle w:val="Zkladntext1"/>
        <w:shd w:val="clear" w:color="auto" w:fill="auto"/>
        <w:spacing w:after="460"/>
        <w:ind w:left="1380"/>
      </w:pPr>
      <w:r>
        <w:t>(dále jen „poskytovatel“)</w:t>
      </w:r>
    </w:p>
    <w:p w:rsidR="007D45F0" w:rsidRDefault="00FC1E4A">
      <w:pPr>
        <w:pStyle w:val="Nadpis50"/>
        <w:keepNext/>
        <w:keepLines/>
        <w:numPr>
          <w:ilvl w:val="0"/>
          <w:numId w:val="2"/>
        </w:numPr>
        <w:shd w:val="clear" w:color="auto" w:fill="auto"/>
        <w:tabs>
          <w:tab w:val="left" w:pos="5524"/>
        </w:tabs>
        <w:ind w:left="5160"/>
      </w:pPr>
      <w:bookmarkStart w:id="2" w:name="bookmark2"/>
      <w:bookmarkStart w:id="3" w:name="bookmark3"/>
      <w:r>
        <w:t>Preambule</w:t>
      </w:r>
      <w:bookmarkEnd w:id="2"/>
      <w:bookmarkEnd w:id="3"/>
    </w:p>
    <w:p w:rsidR="007D45F0" w:rsidRDefault="00FC1E4A">
      <w:pPr>
        <w:pStyle w:val="Zkladntext1"/>
        <w:shd w:val="clear" w:color="auto" w:fill="auto"/>
        <w:spacing w:after="120"/>
        <w:ind w:left="1380" w:firstLine="20"/>
        <w:jc w:val="both"/>
      </w:pPr>
      <w:r>
        <w:t>Smluvní strany konstatují, že tato rámcová dohoda je uzavírána v</w:t>
      </w:r>
      <w:r>
        <w:t xml:space="preserve"> návaznosti na realizované zadávací řízení na veřejnou zakázku s názvem „</w:t>
      </w:r>
      <w:r>
        <w:rPr>
          <w:b/>
          <w:bCs/>
        </w:rPr>
        <w:t xml:space="preserve">Lesnická pěstební opatření na území EVL Beskydy 2023 - </w:t>
      </w:r>
      <w:r>
        <w:rPr>
          <w:b/>
          <w:bCs/>
          <w:u w:val="single"/>
        </w:rPr>
        <w:t>část 1 - Jablunkovsko</w:t>
      </w:r>
      <w:r>
        <w:t xml:space="preserve">“, která byla zadávána jako veřejná zakázka malého rozsahu dle ustanovení § 27 zákona č. 134/2016 Sb., o </w:t>
      </w:r>
      <w:r>
        <w:t>zadávání veřejných zakázek, ve znění pozdějších předpisů (dále jen „ZZVZ“), mimo působnost ZZVZ v souladu s ustanovením § 31 ZZVZ.</w:t>
      </w:r>
    </w:p>
    <w:p w:rsidR="007D45F0" w:rsidRDefault="00FC1E4A">
      <w:pPr>
        <w:pStyle w:val="Zkladntext1"/>
        <w:shd w:val="clear" w:color="auto" w:fill="auto"/>
        <w:spacing w:after="320"/>
        <w:ind w:left="1380" w:firstLine="20"/>
        <w:jc w:val="both"/>
      </w:pPr>
      <w:r>
        <w:t xml:space="preserve">Na základě této rámcové dohody s jedním „dodavatelem“ budou zadávány veřejné zakázky na poskytnutí služby poskytovateli, bez </w:t>
      </w:r>
      <w:r>
        <w:t>obnovení soutěže dle ust. § 134 ZZVZ, resp. budou uzavírány dílčí smlouvy s poskytovatelem.</w:t>
      </w:r>
    </w:p>
    <w:p w:rsidR="007D45F0" w:rsidRDefault="00FC1E4A">
      <w:pPr>
        <w:pStyle w:val="Nadpis50"/>
        <w:keepNext/>
        <w:keepLines/>
        <w:numPr>
          <w:ilvl w:val="0"/>
          <w:numId w:val="2"/>
        </w:numPr>
        <w:shd w:val="clear" w:color="auto" w:fill="auto"/>
        <w:tabs>
          <w:tab w:val="left" w:pos="4320"/>
        </w:tabs>
        <w:spacing w:line="240" w:lineRule="auto"/>
        <w:ind w:left="3960"/>
      </w:pPr>
      <w:bookmarkStart w:id="4" w:name="bookmark4"/>
      <w:bookmarkStart w:id="5" w:name="bookmark5"/>
      <w:r>
        <w:lastRenderedPageBreak/>
        <w:t>Účel a předmět rámcové dohody</w:t>
      </w:r>
      <w:bookmarkEnd w:id="4"/>
      <w:bookmarkEnd w:id="5"/>
    </w:p>
    <w:p w:rsidR="007D45F0" w:rsidRDefault="00FC1E4A">
      <w:pPr>
        <w:pStyle w:val="Zkladntext1"/>
        <w:numPr>
          <w:ilvl w:val="1"/>
          <w:numId w:val="2"/>
        </w:numPr>
        <w:shd w:val="clear" w:color="auto" w:fill="auto"/>
        <w:tabs>
          <w:tab w:val="left" w:pos="1946"/>
        </w:tabs>
        <w:ind w:left="1960" w:hanging="580"/>
        <w:jc w:val="both"/>
      </w:pPr>
      <w:r>
        <w:t>Účelem této rámcové dohody je řádné, kompletní a včasné poskytnutí služby dle potřeby objednatele.</w:t>
      </w:r>
    </w:p>
    <w:p w:rsidR="007D45F0" w:rsidRDefault="00FC1E4A">
      <w:pPr>
        <w:pStyle w:val="Zkladntext1"/>
        <w:numPr>
          <w:ilvl w:val="1"/>
          <w:numId w:val="2"/>
        </w:numPr>
        <w:shd w:val="clear" w:color="auto" w:fill="auto"/>
        <w:tabs>
          <w:tab w:val="left" w:pos="1946"/>
        </w:tabs>
        <w:spacing w:line="276" w:lineRule="auto"/>
        <w:ind w:left="1960" w:hanging="580"/>
        <w:jc w:val="both"/>
      </w:pPr>
      <w:r>
        <w:t>Předmětem této rámcové dohody je vy</w:t>
      </w:r>
      <w:r>
        <w:t>mezení konkrétních rámcových podmínek, na jejichž základě budou mezi poskytovatelem a objednatelem uzavírány jednotlivé dílčí smlouvy. Předmětem této rámcové dohody je rovněž úprava vzájemných práv a povinností smluvních stran.</w:t>
      </w:r>
    </w:p>
    <w:p w:rsidR="007D45F0" w:rsidRDefault="00FC1E4A">
      <w:pPr>
        <w:pStyle w:val="Zkladntext1"/>
        <w:numPr>
          <w:ilvl w:val="1"/>
          <w:numId w:val="2"/>
        </w:numPr>
        <w:shd w:val="clear" w:color="auto" w:fill="auto"/>
        <w:tabs>
          <w:tab w:val="left" w:pos="1946"/>
        </w:tabs>
        <w:ind w:left="1960" w:hanging="580"/>
        <w:jc w:val="both"/>
      </w:pPr>
      <w:r>
        <w:t>Uzavření této dohody nezaklá</w:t>
      </w:r>
      <w:r>
        <w:t>dá povinnost objednatele odebrat jakýkoliv závazný rozsah služby, nebo činit jakékoli výzvy k poskytnutí služby, tj. vystavovat dílčí objednávky. Služba bude poskytována na základě dílčích smluv uzavřených postupem dle této rámcové dohody.</w:t>
      </w:r>
    </w:p>
    <w:p w:rsidR="007D45F0" w:rsidRDefault="00FC1E4A">
      <w:pPr>
        <w:pStyle w:val="Zkladntext1"/>
        <w:numPr>
          <w:ilvl w:val="1"/>
          <w:numId w:val="2"/>
        </w:numPr>
        <w:shd w:val="clear" w:color="auto" w:fill="auto"/>
        <w:tabs>
          <w:tab w:val="left" w:pos="1946"/>
        </w:tabs>
        <w:ind w:left="1960" w:hanging="580"/>
        <w:jc w:val="both"/>
      </w:pPr>
      <w:r>
        <w:t>Předmětem této r</w:t>
      </w:r>
      <w:r>
        <w:t>ámcové dohody je dále závazek poskytovatele, že bude objednateli na základě a v souladu s dílčími smlouvami, službu specifikovanou v čl. 4 této rámcové dohody řádně a včas poskytovat a zároveň závazek objednatele, že službu poskytnutou poskytovatelem na zá</w:t>
      </w:r>
      <w:r>
        <w:t>kladě dílčích smluv převezme a zaplatí za ni cenu v souladu s přílohou č. 2 této rámcové dohody.</w:t>
      </w:r>
    </w:p>
    <w:p w:rsidR="007D45F0" w:rsidRDefault="00FC1E4A">
      <w:pPr>
        <w:pStyle w:val="Zkladntext1"/>
        <w:numPr>
          <w:ilvl w:val="1"/>
          <w:numId w:val="2"/>
        </w:numPr>
        <w:shd w:val="clear" w:color="auto" w:fill="auto"/>
        <w:tabs>
          <w:tab w:val="left" w:pos="1946"/>
        </w:tabs>
        <w:ind w:left="1960" w:hanging="580"/>
        <w:jc w:val="both"/>
      </w:pPr>
      <w:r>
        <w:t xml:space="preserve">Poskytovatel se zavazuje poskytnout službu v jakosti a kvalitě, formě a rozsahu uvedené v této rámcové dohody a dílčích smlouvách. Pokud není jakost a kvalita </w:t>
      </w:r>
      <w:r>
        <w:t xml:space="preserve">služby touto rámcovou dohodou, nebo dílčí smlouvou specifikována, bude služba poskytnuta minimálně v jakosti a kvalitě obvyklé pro službu obdobného typu. Poskytovatel je povinen postupovat s odbornou péčí v souladu s platnými a účinnými právními předpisy, </w:t>
      </w:r>
      <w:r>
        <w:t>případně technickými normami. Poskytovatel je povinen disponovat oprávněním k podnikání v rozsahu nezbytném pro poskytování služby, a to po celou dobu trvání této rámcové dohody. Poskytovatel je povinen neprodleně oznamovat objednateli všechny okolnosti vý</w:t>
      </w:r>
      <w:r>
        <w:t>znamné pro poskytování služby.</w:t>
      </w:r>
    </w:p>
    <w:p w:rsidR="007D45F0" w:rsidRDefault="00FC1E4A">
      <w:pPr>
        <w:pStyle w:val="Zkladntext1"/>
        <w:numPr>
          <w:ilvl w:val="1"/>
          <w:numId w:val="2"/>
        </w:numPr>
        <w:shd w:val="clear" w:color="auto" w:fill="auto"/>
        <w:tabs>
          <w:tab w:val="left" w:pos="1946"/>
        </w:tabs>
        <w:ind w:left="1960" w:hanging="580"/>
        <w:jc w:val="both"/>
      </w:pPr>
      <w:r>
        <w:t>Objednatel je oprávněn kontrolovat poskytování služby. Zjistí-li objednatel, že poskytovatel poskytuje službu v rozporu se svými povinnostmi, je oprávněn poskytovatele na tuto skutečnost upozornit a dožadovat se poskytování s</w:t>
      </w:r>
      <w:r>
        <w:t>lužby řádným způsobem. Objednatel je oprávněn postoupit rozsah kontroly třetím stranám a poskytovatel je povinný na základě odsouhlasení objednatelem se řídit dohodnutými závěry kontroly. Posouzení, zda je služba poskytována v souladu s povinnostmi poskyto</w:t>
      </w:r>
      <w:r>
        <w:t>vatele dle čl. 3.5 výše naleží objednateli. V opačném případě má objednatel nárok na nezaplacení za poskytnutou službu, nebo její příslušnou část.</w:t>
      </w:r>
    </w:p>
    <w:p w:rsidR="007D45F0" w:rsidRDefault="00FC1E4A">
      <w:pPr>
        <w:pStyle w:val="Zkladntext1"/>
        <w:numPr>
          <w:ilvl w:val="1"/>
          <w:numId w:val="2"/>
        </w:numPr>
        <w:shd w:val="clear" w:color="auto" w:fill="auto"/>
        <w:tabs>
          <w:tab w:val="left" w:pos="1946"/>
        </w:tabs>
        <w:spacing w:after="480"/>
        <w:ind w:left="1960" w:hanging="580"/>
        <w:jc w:val="both"/>
      </w:pPr>
      <w:r>
        <w:t>Pokud jsou s poskytnutím služby spojena práva duševního vlastnictví, musí být tato oprávnění (zejména, nikoli</w:t>
      </w:r>
      <w:r>
        <w:t xml:space="preserve"> však výlučně, licence) součástí poskytnutí služby.</w:t>
      </w:r>
    </w:p>
    <w:p w:rsidR="007D45F0" w:rsidRDefault="00FC1E4A">
      <w:pPr>
        <w:pStyle w:val="Nadpis50"/>
        <w:keepNext/>
        <w:keepLines/>
        <w:numPr>
          <w:ilvl w:val="0"/>
          <w:numId w:val="2"/>
        </w:numPr>
        <w:shd w:val="clear" w:color="auto" w:fill="auto"/>
        <w:tabs>
          <w:tab w:val="left" w:pos="5740"/>
        </w:tabs>
        <w:ind w:left="5380"/>
        <w:jc w:val="both"/>
      </w:pPr>
      <w:bookmarkStart w:id="6" w:name="bookmark6"/>
      <w:bookmarkStart w:id="7" w:name="bookmark7"/>
      <w:r>
        <w:t>Služba</w:t>
      </w:r>
      <w:bookmarkEnd w:id="6"/>
      <w:bookmarkEnd w:id="7"/>
    </w:p>
    <w:p w:rsidR="007D45F0" w:rsidRDefault="00FC1E4A">
      <w:pPr>
        <w:pStyle w:val="Zkladntext1"/>
        <w:numPr>
          <w:ilvl w:val="1"/>
          <w:numId w:val="2"/>
        </w:numPr>
        <w:shd w:val="clear" w:color="auto" w:fill="auto"/>
        <w:tabs>
          <w:tab w:val="left" w:pos="1946"/>
        </w:tabs>
        <w:ind w:left="1380"/>
        <w:jc w:val="both"/>
      </w:pPr>
      <w:r>
        <w:t>Předmětem služby dle této rámcové dohody jsou činnosti uvedené v příloze č. 1.</w:t>
      </w:r>
    </w:p>
    <w:p w:rsidR="007D45F0" w:rsidRDefault="00FC1E4A">
      <w:pPr>
        <w:pStyle w:val="Zkladntext1"/>
        <w:numPr>
          <w:ilvl w:val="1"/>
          <w:numId w:val="2"/>
        </w:numPr>
        <w:shd w:val="clear" w:color="auto" w:fill="auto"/>
        <w:tabs>
          <w:tab w:val="left" w:pos="1946"/>
        </w:tabs>
        <w:spacing w:line="276" w:lineRule="auto"/>
        <w:ind w:left="1960" w:hanging="580"/>
        <w:jc w:val="both"/>
      </w:pPr>
      <w:r>
        <w:t xml:space="preserve">Smluvní strany se dohodly, že služba je řádně a včas poskytnuta pokud je tato skutečnost potvrzena v předávacím </w:t>
      </w:r>
      <w:r>
        <w:t>protokolu podepsaném pověřenou osobou objednatele a poskytovatele služby.</w:t>
      </w:r>
    </w:p>
    <w:p w:rsidR="007D45F0" w:rsidRDefault="00FC1E4A">
      <w:pPr>
        <w:pStyle w:val="Zkladntext1"/>
        <w:numPr>
          <w:ilvl w:val="1"/>
          <w:numId w:val="2"/>
        </w:numPr>
        <w:shd w:val="clear" w:color="auto" w:fill="auto"/>
        <w:tabs>
          <w:tab w:val="left" w:pos="1946"/>
        </w:tabs>
        <w:spacing w:line="276" w:lineRule="auto"/>
        <w:ind w:left="1960" w:hanging="580"/>
        <w:jc w:val="both"/>
      </w:pPr>
      <w:r>
        <w:t>Poskytovatel potvrzuje, že se detailně seznámil s rozsahem a povahou služby, že jsou mu známy veškeré podmínky nezbytné k jejímu poskytování a že disponuje takovými kapacitami a odbo</w:t>
      </w:r>
      <w:r>
        <w:t>rnými znalostmi, které jsou nezbytné pro poskytování služby za dohodnutou smluvní cenu stanovenou podle této smlouvy.</w:t>
      </w:r>
    </w:p>
    <w:p w:rsidR="007D45F0" w:rsidRDefault="00FC1E4A">
      <w:pPr>
        <w:pStyle w:val="Zkladntext1"/>
        <w:numPr>
          <w:ilvl w:val="1"/>
          <w:numId w:val="2"/>
        </w:numPr>
        <w:shd w:val="clear" w:color="auto" w:fill="auto"/>
        <w:tabs>
          <w:tab w:val="left" w:pos="1946"/>
        </w:tabs>
        <w:ind w:left="1960" w:hanging="580"/>
        <w:jc w:val="both"/>
      </w:pPr>
      <w:r>
        <w:t>Při poskytování služby je poskytovatel vázán pokyny objednatele. Poskytovatel je povinen upozornit objednatele bez zbytečného odkladu na n</w:t>
      </w:r>
      <w:r>
        <w:t>evhodnou povahu pokynů daných mu objednatelem při poskytování služby, jestliže poskytovatel mohl a měl tuto nevhodnost zjistit při vynaložení odborné péče.</w:t>
      </w:r>
    </w:p>
    <w:p w:rsidR="007D45F0" w:rsidRDefault="00FC1E4A">
      <w:pPr>
        <w:pStyle w:val="Zkladntext1"/>
        <w:numPr>
          <w:ilvl w:val="1"/>
          <w:numId w:val="2"/>
        </w:numPr>
        <w:shd w:val="clear" w:color="auto" w:fill="auto"/>
        <w:tabs>
          <w:tab w:val="left" w:pos="1946"/>
        </w:tabs>
        <w:spacing w:after="480"/>
        <w:ind w:left="1960" w:hanging="580"/>
        <w:jc w:val="both"/>
      </w:pPr>
      <w:r>
        <w:t>Smluvní strany se dohodly, že rozsah služby uvedený v tomto článku představuje odhad objednatele sta</w:t>
      </w:r>
      <w:r>
        <w:t>novený pro potřeby zadávacího řízení na veřejnou zakázku a je pouze orientační a nezávazný.</w:t>
      </w:r>
    </w:p>
    <w:p w:rsidR="007D45F0" w:rsidRDefault="00FC1E4A">
      <w:pPr>
        <w:pStyle w:val="Nadpis50"/>
        <w:keepNext/>
        <w:keepLines/>
        <w:numPr>
          <w:ilvl w:val="0"/>
          <w:numId w:val="2"/>
        </w:numPr>
        <w:shd w:val="clear" w:color="auto" w:fill="auto"/>
        <w:tabs>
          <w:tab w:val="left" w:pos="4960"/>
        </w:tabs>
        <w:ind w:left="4600"/>
      </w:pPr>
      <w:bookmarkStart w:id="8" w:name="bookmark8"/>
      <w:bookmarkStart w:id="9" w:name="bookmark9"/>
      <w:r>
        <w:lastRenderedPageBreak/>
        <w:t>Cena a její splatnost</w:t>
      </w:r>
      <w:bookmarkEnd w:id="8"/>
      <w:bookmarkEnd w:id="9"/>
    </w:p>
    <w:p w:rsidR="007D45F0" w:rsidRDefault="00FC1E4A">
      <w:pPr>
        <w:pStyle w:val="Zkladntext1"/>
        <w:numPr>
          <w:ilvl w:val="1"/>
          <w:numId w:val="2"/>
        </w:numPr>
        <w:shd w:val="clear" w:color="auto" w:fill="auto"/>
        <w:tabs>
          <w:tab w:val="left" w:pos="1946"/>
        </w:tabs>
        <w:spacing w:after="120"/>
        <w:ind w:left="1960" w:hanging="580"/>
        <w:jc w:val="both"/>
      </w:pPr>
      <w:r>
        <w:t xml:space="preserve">Objednatel se zavazuje zaplatit poskytovateli za službu poskytnutou na základě dílčí smlouvy cenu určenou podle cen jednotlivých položek </w:t>
      </w:r>
      <w:r>
        <w:t>uvedených v příloze č. 2. Cena za službu poskytnutou na základě dílčí smlouvy bude vypočtena dle ceny jednotlivé položky služby a jejich počtu uvedené v příloze č. 2.</w:t>
      </w:r>
    </w:p>
    <w:p w:rsidR="007D45F0" w:rsidRDefault="00FC1E4A">
      <w:pPr>
        <w:pStyle w:val="Zkladntext1"/>
        <w:shd w:val="clear" w:color="auto" w:fill="auto"/>
        <w:spacing w:after="120"/>
        <w:ind w:left="1960" w:hanging="580"/>
        <w:jc w:val="both"/>
      </w:pPr>
      <w:r>
        <w:t>5.2 Ceny jednotlivých položek služby jsou považovány za konečné a závazné po celou dobu t</w:t>
      </w:r>
      <w:r>
        <w:t>rvání této rámcové dohody, případně dílčí smlouvy vystavené na základě této rámcové dohody, pokud termín poskytnutí služby na základě takové dílčí smlouvy překročí dobu trvání této rámcové dohody. Ceny jednotlivých položek lze navyšovat pouze v případě změ</w:t>
      </w:r>
      <w:r>
        <w:t>ny daňových předpisů, je</w:t>
      </w:r>
      <w:r>
        <w:softHyphen/>
        <w:t>li poskytovatel plátcem DPH. U neplátce DPH, který do ceny služby DPH nepromítne, nebude cena měněna ani v případě, že by se v průběhu plnění plátcem DPH stal, tj. veškeré s tím související náklady jdou k tíži poskytovatele.</w:t>
      </w:r>
    </w:p>
    <w:p w:rsidR="007D45F0" w:rsidRDefault="00FC1E4A">
      <w:pPr>
        <w:pStyle w:val="Zkladntext1"/>
        <w:numPr>
          <w:ilvl w:val="0"/>
          <w:numId w:val="3"/>
        </w:numPr>
        <w:shd w:val="clear" w:color="auto" w:fill="auto"/>
        <w:tabs>
          <w:tab w:val="left" w:pos="1946"/>
        </w:tabs>
        <w:spacing w:after="120"/>
        <w:ind w:left="1380"/>
        <w:jc w:val="both"/>
      </w:pPr>
      <w:r>
        <w:t>V ceně</w:t>
      </w:r>
      <w:r>
        <w:t xml:space="preserve"> služby jsou zahrnuty veškeré náklady poskytovatele související s poskytnutím služby.</w:t>
      </w:r>
    </w:p>
    <w:p w:rsidR="007D45F0" w:rsidRDefault="00FC1E4A">
      <w:pPr>
        <w:pStyle w:val="Zkladntext1"/>
        <w:numPr>
          <w:ilvl w:val="0"/>
          <w:numId w:val="3"/>
        </w:numPr>
        <w:shd w:val="clear" w:color="auto" w:fill="auto"/>
        <w:tabs>
          <w:tab w:val="left" w:pos="1946"/>
        </w:tabs>
        <w:spacing w:after="120"/>
        <w:ind w:left="1960" w:hanging="580"/>
        <w:jc w:val="both"/>
      </w:pPr>
      <w:r>
        <w:t>Objednatel se zavazuje zaplatit cenu za službu, odpovídající ceně jednotlivých položek služby a jejich počtu, po řádném a úplném poskytnutí služby na základě dílčí smlouv</w:t>
      </w:r>
      <w:r>
        <w:t>y (podpisu předávacího protokolu pověřenou osobou objednatele a poskytovatele služby).</w:t>
      </w:r>
    </w:p>
    <w:p w:rsidR="007D45F0" w:rsidRDefault="00FC1E4A">
      <w:pPr>
        <w:pStyle w:val="Zkladntext1"/>
        <w:numPr>
          <w:ilvl w:val="0"/>
          <w:numId w:val="3"/>
        </w:numPr>
        <w:shd w:val="clear" w:color="auto" w:fill="auto"/>
        <w:tabs>
          <w:tab w:val="left" w:pos="1946"/>
        </w:tabs>
        <w:spacing w:after="120"/>
        <w:ind w:left="1960" w:hanging="580"/>
        <w:jc w:val="both"/>
      </w:pPr>
      <w:r>
        <w:t>Cena za poskytnutou službu dle dílčí smlouvy je splatná ve lhůtě třiceti (30) kalendářních dnů ode dne, kdy byla objednateli doručena faktura (daňový doklad) poskytovate</w:t>
      </w:r>
      <w:r>
        <w:t>le obsahující (i) náležitosti daňového resp. účetního dokladu podle platných obecně závazných právních předpisů, a (ii) odkaz na číslo této rámcové dohody a dílčí objednávky. Nezbytnou přílohou daňového dokladu bude přehled činností vykonaných v souvislost</w:t>
      </w:r>
      <w:r>
        <w:t xml:space="preserve">i s poskytovanou službou; v případě, že objednatel nesouhlasí s přílohou daňového dokladu, tj. přehledem činností, zaplatí poskytovateli jen tu částku, kterou považuje za nespornou. O další částce vyvolá objednatel jednání do 10 dnů od splatnosti daňového </w:t>
      </w:r>
      <w:r>
        <w:t>dokladu. V případě, že se strany nedohodnou, platí názor objednatele.</w:t>
      </w:r>
    </w:p>
    <w:p w:rsidR="007D45F0" w:rsidRDefault="00FC1E4A">
      <w:pPr>
        <w:pStyle w:val="Zkladntext1"/>
        <w:numPr>
          <w:ilvl w:val="0"/>
          <w:numId w:val="3"/>
        </w:numPr>
        <w:shd w:val="clear" w:color="auto" w:fill="auto"/>
        <w:tabs>
          <w:tab w:val="left" w:pos="1946"/>
        </w:tabs>
        <w:spacing w:after="120"/>
        <w:ind w:left="1960" w:hanging="580"/>
        <w:jc w:val="both"/>
      </w:pPr>
      <w:r>
        <w:t>Faktura (daňový doklad) musí být zaslána na adresu: Regionální pracoviště SCHKO Beskydy, Nádražní 36, 75661 Rožnov pod Radhoštěm.</w:t>
      </w:r>
    </w:p>
    <w:p w:rsidR="007D45F0" w:rsidRDefault="00FC1E4A">
      <w:pPr>
        <w:pStyle w:val="Zkladntext1"/>
        <w:numPr>
          <w:ilvl w:val="0"/>
          <w:numId w:val="3"/>
        </w:numPr>
        <w:shd w:val="clear" w:color="auto" w:fill="auto"/>
        <w:tabs>
          <w:tab w:val="left" w:pos="1946"/>
        </w:tabs>
        <w:spacing w:after="120"/>
        <w:ind w:left="1960" w:hanging="580"/>
        <w:jc w:val="both"/>
      </w:pPr>
      <w:r>
        <w:t>Právo poskytovatele vystavit fakturu (daňový doklad) vzn</w:t>
      </w:r>
      <w:r>
        <w:t>iká dokončením služby, poskytnuté na základě dílčí smlouvy pro objednatele, resp. po podpisu předávacího protokolu pověřenou osobou objednatele a poskytovatele služby.</w:t>
      </w:r>
    </w:p>
    <w:p w:rsidR="007D45F0" w:rsidRDefault="00FC1E4A">
      <w:pPr>
        <w:pStyle w:val="Zkladntext1"/>
        <w:numPr>
          <w:ilvl w:val="0"/>
          <w:numId w:val="3"/>
        </w:numPr>
        <w:shd w:val="clear" w:color="auto" w:fill="auto"/>
        <w:tabs>
          <w:tab w:val="left" w:pos="1946"/>
        </w:tabs>
        <w:spacing w:after="120"/>
        <w:ind w:left="1960" w:hanging="580"/>
        <w:jc w:val="both"/>
      </w:pPr>
      <w:r>
        <w:t>Objednatel má právo fakturu (daňový doklad) poskytovateli před uplynutím lhůty splatnost</w:t>
      </w:r>
      <w:r>
        <w:t xml:space="preserve">i vrátit, aniž by došlo k prodlení s jeho úhradou, (i) obsahuje-li nesprávné údaje nebo (ii) chybí-li na faktuře (daňovém dokladu) odkaz na číslo této rámcové dohody, nebo dílčí objednávky. Nová lhůta splatnosti v délce třiceti (30) kalendářních dnů počne </w:t>
      </w:r>
      <w:r>
        <w:t>plynout ode dne doručení opravené faktury (daňového dokladu) objednateli.</w:t>
      </w:r>
    </w:p>
    <w:p w:rsidR="007D45F0" w:rsidRDefault="00FC1E4A">
      <w:pPr>
        <w:pStyle w:val="Zkladntext1"/>
        <w:numPr>
          <w:ilvl w:val="0"/>
          <w:numId w:val="3"/>
        </w:numPr>
        <w:shd w:val="clear" w:color="auto" w:fill="auto"/>
        <w:tabs>
          <w:tab w:val="left" w:pos="1946"/>
        </w:tabs>
        <w:spacing w:after="120" w:line="276" w:lineRule="auto"/>
        <w:ind w:left="1960" w:hanging="580"/>
        <w:jc w:val="both"/>
      </w:pPr>
      <w:r>
        <w:t>Celková cena, tj. součet všech uhrazených faktur za jednotlivé dílčí objednávky po dobu plnění dle této rámcové dohody nepřekročí částku 581 000,- Kč bez DPH (slovy: pětsetosmdesátje</w:t>
      </w:r>
      <w:r>
        <w:t>dnatisíc korun českých).</w:t>
      </w:r>
    </w:p>
    <w:p w:rsidR="007D45F0" w:rsidRDefault="00FC1E4A">
      <w:pPr>
        <w:pStyle w:val="Nadpis50"/>
        <w:keepNext/>
        <w:keepLines/>
        <w:numPr>
          <w:ilvl w:val="0"/>
          <w:numId w:val="2"/>
        </w:numPr>
        <w:shd w:val="clear" w:color="auto" w:fill="auto"/>
        <w:tabs>
          <w:tab w:val="left" w:pos="4820"/>
        </w:tabs>
        <w:spacing w:line="240" w:lineRule="auto"/>
        <w:ind w:left="4460"/>
      </w:pPr>
      <w:bookmarkStart w:id="10" w:name="bookmark10"/>
      <w:bookmarkStart w:id="11" w:name="bookmark11"/>
      <w:r>
        <w:t>Uzavírání dílčích smluv</w:t>
      </w:r>
      <w:bookmarkEnd w:id="10"/>
      <w:bookmarkEnd w:id="11"/>
    </w:p>
    <w:p w:rsidR="007D45F0" w:rsidRDefault="00FC1E4A">
      <w:pPr>
        <w:pStyle w:val="Zkladntext1"/>
        <w:numPr>
          <w:ilvl w:val="1"/>
          <w:numId w:val="2"/>
        </w:numPr>
        <w:shd w:val="clear" w:color="auto" w:fill="auto"/>
        <w:tabs>
          <w:tab w:val="left" w:pos="1935"/>
        </w:tabs>
        <w:spacing w:line="276" w:lineRule="auto"/>
        <w:ind w:left="1920" w:hanging="540"/>
        <w:jc w:val="both"/>
      </w:pPr>
      <w:r>
        <w:t xml:space="preserve">Jednotlivé dílčí smlouvy dle této rámcové dohody budou uzavírány na základě dílčí objednávky odeslané objednatelem poskytovateli, jenž je návrhem na uzavření dílčí smlouvy a odeslání potvrzení (akceptace) </w:t>
      </w:r>
      <w:r>
        <w:t>dílčí objednávky poskytovatelem, jenž je přijetím návrhu na uzavření dílčí smlouvy.</w:t>
      </w:r>
    </w:p>
    <w:p w:rsidR="007D45F0" w:rsidRDefault="00FC1E4A">
      <w:pPr>
        <w:pStyle w:val="Zkladntext1"/>
        <w:shd w:val="clear" w:color="auto" w:fill="auto"/>
        <w:ind w:left="1380"/>
        <w:jc w:val="both"/>
      </w:pPr>
      <w:r>
        <w:t>6.2 Objednatel se zavazuje zaslat poskytovateli dílčí objednávku následovně:</w:t>
      </w:r>
    </w:p>
    <w:p w:rsidR="007D45F0" w:rsidRDefault="00FC1E4A">
      <w:pPr>
        <w:pStyle w:val="Zkladntext1"/>
        <w:shd w:val="clear" w:color="auto" w:fill="auto"/>
        <w:ind w:left="1920"/>
        <w:jc w:val="both"/>
      </w:pPr>
      <w:r>
        <w:t>- elektronickou poštou (e-mailem) na e-mailovou adresu poskytovatele uvedenou</w:t>
      </w:r>
    </w:p>
    <w:p w:rsidR="007D45F0" w:rsidRDefault="00FC1E4A">
      <w:pPr>
        <w:pStyle w:val="Zkladntext1"/>
        <w:shd w:val="clear" w:color="auto" w:fill="auto"/>
        <w:ind w:left="2060"/>
        <w:jc w:val="both"/>
      </w:pPr>
      <w:r>
        <w:t>v záhlaví této rá</w:t>
      </w:r>
      <w:r>
        <w:t>mcové dohody.</w:t>
      </w:r>
    </w:p>
    <w:p w:rsidR="007D45F0" w:rsidRDefault="00FC1E4A">
      <w:pPr>
        <w:pStyle w:val="Zkladntext1"/>
        <w:numPr>
          <w:ilvl w:val="0"/>
          <w:numId w:val="4"/>
        </w:numPr>
        <w:shd w:val="clear" w:color="auto" w:fill="auto"/>
        <w:tabs>
          <w:tab w:val="left" w:pos="1935"/>
        </w:tabs>
        <w:ind w:left="1380"/>
        <w:jc w:val="both"/>
      </w:pPr>
      <w:r>
        <w:t>Dílčí objednávka musí obsahovat minimálně:</w:t>
      </w:r>
    </w:p>
    <w:p w:rsidR="007D45F0" w:rsidRDefault="00FC1E4A">
      <w:pPr>
        <w:pStyle w:val="Zkladntext1"/>
        <w:shd w:val="clear" w:color="auto" w:fill="auto"/>
        <w:spacing w:line="240" w:lineRule="auto"/>
        <w:ind w:left="1840" w:firstLine="120"/>
        <w:jc w:val="both"/>
      </w:pPr>
      <w:r>
        <w:lastRenderedPageBreak/>
        <w:t>- objednávanou službu (případně jednotlivé položky) včetně uvedení rozsahu dle čl. 4 a 5 této rámcové dohody,</w:t>
      </w:r>
    </w:p>
    <w:p w:rsidR="007D45F0" w:rsidRDefault="00FC1E4A">
      <w:pPr>
        <w:pStyle w:val="Zkladntext1"/>
        <w:shd w:val="clear" w:color="auto" w:fill="auto"/>
        <w:jc w:val="center"/>
      </w:pPr>
      <w:r>
        <w:t>- místo a čas poskytnutí služby v souladu s čl. 7 této rámcové dohody.</w:t>
      </w:r>
    </w:p>
    <w:p w:rsidR="007D45F0" w:rsidRDefault="00FC1E4A">
      <w:pPr>
        <w:pStyle w:val="Zkladntext1"/>
        <w:shd w:val="clear" w:color="auto" w:fill="auto"/>
        <w:spacing w:line="276" w:lineRule="auto"/>
        <w:ind w:left="1920" w:hanging="540"/>
        <w:jc w:val="both"/>
      </w:pPr>
      <w:r>
        <w:t xml:space="preserve">6.4 Poskytovatel </w:t>
      </w:r>
      <w:r>
        <w:t>se zavazuje nejpozději do 3 (třech) pracovních dnů ode dne doručení Dílčí objednávky potvrdit její přijetí a to stejným způsobem, jakým mu byla doručena. Dílčí objednávka je považována za doručenou poskytovateli okamžikem, kdy byla doručena na poštovní ser</w:t>
      </w:r>
      <w:r>
        <w:t>ver poskytovatele (v případě odeslání dílčí objednávky elektronickou poštou (e-mailem)).</w:t>
      </w:r>
    </w:p>
    <w:p w:rsidR="007D45F0" w:rsidRDefault="00FC1E4A">
      <w:pPr>
        <w:pStyle w:val="Zkladntext1"/>
        <w:numPr>
          <w:ilvl w:val="0"/>
          <w:numId w:val="5"/>
        </w:numPr>
        <w:shd w:val="clear" w:color="auto" w:fill="auto"/>
        <w:tabs>
          <w:tab w:val="left" w:pos="1935"/>
        </w:tabs>
        <w:ind w:left="1920" w:hanging="540"/>
        <w:jc w:val="both"/>
      </w:pPr>
      <w:r>
        <w:t>Porušení povinnosti dle čl. 6.4 výše nezbavuje poskytovatele povinnosti poskytnout službu dle dílčí objednávky řádně a včas. V případě, že poskytovatel ve lhůtě dle čl</w:t>
      </w:r>
      <w:r>
        <w:t>. 6.4 výše přijetí dílčí objednávky nepotvrdí, považuje se dílčí objednávka za přijatou 3. (třetím) pracovním dnem po dni doručení dílčí objednávky poskytovateli.</w:t>
      </w:r>
    </w:p>
    <w:p w:rsidR="007D45F0" w:rsidRDefault="00FC1E4A">
      <w:pPr>
        <w:pStyle w:val="Zkladntext1"/>
        <w:numPr>
          <w:ilvl w:val="0"/>
          <w:numId w:val="5"/>
        </w:numPr>
        <w:shd w:val="clear" w:color="auto" w:fill="auto"/>
        <w:tabs>
          <w:tab w:val="left" w:pos="1935"/>
        </w:tabs>
        <w:ind w:left="1920" w:hanging="540"/>
        <w:jc w:val="both"/>
      </w:pPr>
      <w:r>
        <w:t>Dílčí smlouva se považuje za uzavřenou na základě potvrzení dílčí objednávky poskytovatelem v</w:t>
      </w:r>
      <w:r>
        <w:t xml:space="preserve"> souladu s čl. 6.4 výše. Dílčí smlouva se dále považuje za uzavřenou v případě, kdy poskytovatel poruší povinnost dle čl. 6.4 výše a dílčí objednávka je považována za přijatou dle čl. 6.5 výše (pokud poskytovatel dílčí objednávku v souladu s čl. 6.7 této r</w:t>
      </w:r>
      <w:r>
        <w:t>ámcové dohody oprávněně neodmítne). Dílčí smlouva je dále považována za uzavřenou v případě poskytnutí služby Poskytovatelem.</w:t>
      </w:r>
    </w:p>
    <w:p w:rsidR="007D45F0" w:rsidRDefault="00FC1E4A">
      <w:pPr>
        <w:pStyle w:val="Zkladntext1"/>
        <w:numPr>
          <w:ilvl w:val="0"/>
          <w:numId w:val="5"/>
        </w:numPr>
        <w:shd w:val="clear" w:color="auto" w:fill="auto"/>
        <w:tabs>
          <w:tab w:val="left" w:pos="1935"/>
        </w:tabs>
        <w:spacing w:after="480"/>
        <w:ind w:left="1920" w:hanging="540"/>
        <w:jc w:val="both"/>
      </w:pPr>
      <w:r>
        <w:t>Poskytovatel je oprávněn dílčí objednávku odmítnout v případě, že dílčí objednávka obsahuje termín zahájení poskytování služby kra</w:t>
      </w:r>
      <w:r>
        <w:t>tší 5 (slovy pět) dnů, nebo v případě mimořádné nepřekonatelné a nepředvídatelné překážky vzniklé nezávisle na vůli poskytovatele ve smyslu § 2913 odst. 2 občanského zákoníku.</w:t>
      </w:r>
    </w:p>
    <w:p w:rsidR="007D45F0" w:rsidRDefault="00FC1E4A">
      <w:pPr>
        <w:pStyle w:val="Nadpis50"/>
        <w:keepNext/>
        <w:keepLines/>
        <w:numPr>
          <w:ilvl w:val="0"/>
          <w:numId w:val="2"/>
        </w:numPr>
        <w:shd w:val="clear" w:color="auto" w:fill="auto"/>
        <w:tabs>
          <w:tab w:val="left" w:pos="5480"/>
        </w:tabs>
        <w:ind w:left="5120"/>
      </w:pPr>
      <w:bookmarkStart w:id="12" w:name="bookmark12"/>
      <w:bookmarkStart w:id="13" w:name="bookmark13"/>
      <w:r>
        <w:t>Místo a čas</w:t>
      </w:r>
      <w:bookmarkEnd w:id="12"/>
      <w:bookmarkEnd w:id="13"/>
    </w:p>
    <w:p w:rsidR="007D45F0" w:rsidRDefault="00FC1E4A">
      <w:pPr>
        <w:pStyle w:val="Zkladntext1"/>
        <w:numPr>
          <w:ilvl w:val="1"/>
          <w:numId w:val="2"/>
        </w:numPr>
        <w:shd w:val="clear" w:color="auto" w:fill="auto"/>
        <w:tabs>
          <w:tab w:val="left" w:pos="1935"/>
        </w:tabs>
        <w:spacing w:line="276" w:lineRule="auto"/>
        <w:ind w:left="1920" w:hanging="540"/>
        <w:jc w:val="both"/>
      </w:pPr>
      <w:r>
        <w:t xml:space="preserve">Smluvní strany si sjednaly, že poskytovatel poskytne službu na </w:t>
      </w:r>
      <w:r>
        <w:t>základě dílčí smlouvy v termínu stanoveném v dílčí objednávce. Termín zahájení poskytování služby v dílčí objednávce nebude kratší než 5 (slovy pět) dnů ode dne doručení dílčí objednávky poskytovateli.</w:t>
      </w:r>
    </w:p>
    <w:p w:rsidR="007D45F0" w:rsidRDefault="00FC1E4A">
      <w:pPr>
        <w:pStyle w:val="Zkladntext1"/>
        <w:numPr>
          <w:ilvl w:val="1"/>
          <w:numId w:val="2"/>
        </w:numPr>
        <w:shd w:val="clear" w:color="auto" w:fill="auto"/>
        <w:tabs>
          <w:tab w:val="left" w:pos="1935"/>
        </w:tabs>
        <w:spacing w:after="480"/>
        <w:ind w:left="1380"/>
        <w:jc w:val="both"/>
      </w:pPr>
      <w:r>
        <w:t>Místem poskytování služby je území dle přílohy č. 3.</w:t>
      </w:r>
    </w:p>
    <w:p w:rsidR="007D45F0" w:rsidRDefault="00FC1E4A">
      <w:pPr>
        <w:pStyle w:val="Nadpis50"/>
        <w:keepNext/>
        <w:keepLines/>
        <w:numPr>
          <w:ilvl w:val="0"/>
          <w:numId w:val="2"/>
        </w:numPr>
        <w:shd w:val="clear" w:color="auto" w:fill="auto"/>
        <w:tabs>
          <w:tab w:val="left" w:pos="3880"/>
        </w:tabs>
        <w:ind w:left="3520"/>
      </w:pPr>
      <w:bookmarkStart w:id="14" w:name="bookmark14"/>
      <w:bookmarkStart w:id="15" w:name="bookmark15"/>
      <w:r>
        <w:t>Doba trvání a ukončení rámcové dohody</w:t>
      </w:r>
      <w:bookmarkEnd w:id="14"/>
      <w:bookmarkEnd w:id="15"/>
    </w:p>
    <w:p w:rsidR="007D45F0" w:rsidRDefault="00FC1E4A">
      <w:pPr>
        <w:pStyle w:val="Zkladntext1"/>
        <w:numPr>
          <w:ilvl w:val="1"/>
          <w:numId w:val="2"/>
        </w:numPr>
        <w:shd w:val="clear" w:color="auto" w:fill="auto"/>
        <w:tabs>
          <w:tab w:val="left" w:pos="1935"/>
        </w:tabs>
        <w:ind w:left="1380"/>
        <w:jc w:val="both"/>
      </w:pPr>
      <w:r>
        <w:t xml:space="preserve">Doba trvání rámcové dohody je v souladu s § 131 odst. 3 ZZVZ sjednána na dobu do </w:t>
      </w:r>
      <w:proofErr w:type="gramStart"/>
      <w:r>
        <w:t>31.12.2023</w:t>
      </w:r>
      <w:proofErr w:type="gramEnd"/>
      <w:r>
        <w:t>.</w:t>
      </w:r>
    </w:p>
    <w:p w:rsidR="007D45F0" w:rsidRDefault="00FC1E4A">
      <w:pPr>
        <w:pStyle w:val="Zkladntext1"/>
        <w:numPr>
          <w:ilvl w:val="1"/>
          <w:numId w:val="2"/>
        </w:numPr>
        <w:shd w:val="clear" w:color="auto" w:fill="auto"/>
        <w:tabs>
          <w:tab w:val="left" w:pos="1935"/>
        </w:tabs>
        <w:ind w:left="1380"/>
        <w:jc w:val="both"/>
      </w:pPr>
      <w:r>
        <w:t>Tuto rámcovou dohodu lze ukončit písemnou dohodou smluvních stran nebo písemnou výpovědí ze strany objednatele i bez udání dů</w:t>
      </w:r>
      <w:r>
        <w:t>vodů s výpovědní dobou 2 měsíců, která začne běžet prvním dnem následujícím po doručení písemné výpovědi poskytovateli. Ve výpovědi je objednatel oprávněn stanovit delší výpovědní dobu. To se nedotýká účinnosti již uzavřených dílčích smluv. Dílčí smlouvu n</w:t>
      </w:r>
      <w:r>
        <w:t>elze dle tohoto článku (</w:t>
      </w:r>
      <w:proofErr w:type="gramStart"/>
      <w:r>
        <w:t>8.2.) rámcové</w:t>
      </w:r>
      <w:proofErr w:type="gramEnd"/>
      <w:r>
        <w:t xml:space="preserve"> dohody vypovědět.</w:t>
      </w:r>
    </w:p>
    <w:p w:rsidR="007D45F0" w:rsidRDefault="00FC1E4A">
      <w:pPr>
        <w:pStyle w:val="Zkladntext1"/>
        <w:numPr>
          <w:ilvl w:val="1"/>
          <w:numId w:val="2"/>
        </w:numPr>
        <w:shd w:val="clear" w:color="auto" w:fill="auto"/>
        <w:tabs>
          <w:tab w:val="left" w:pos="1964"/>
        </w:tabs>
        <w:ind w:left="1380"/>
        <w:jc w:val="both"/>
      </w:pPr>
      <w:r>
        <w:t>Na platnost a účinnost dílčích smluv řádně uzavřených v době trvání této rámcové dohody nebude mít případné ukončení této rámcové dohody jakýkoliv vliv.</w:t>
      </w:r>
    </w:p>
    <w:p w:rsidR="007D45F0" w:rsidRDefault="00FC1E4A">
      <w:pPr>
        <w:pStyle w:val="Zkladntext1"/>
        <w:numPr>
          <w:ilvl w:val="1"/>
          <w:numId w:val="2"/>
        </w:numPr>
        <w:shd w:val="clear" w:color="auto" w:fill="auto"/>
        <w:tabs>
          <w:tab w:val="left" w:pos="1964"/>
        </w:tabs>
        <w:ind w:left="1380"/>
        <w:jc w:val="both"/>
      </w:pPr>
      <w:r>
        <w:t>Objednatel je oprávněn tuto rámcovou dohodu tak</w:t>
      </w:r>
      <w:r>
        <w:t>é písemně vypovědět (bez předchozí výzvy), jestliže poskytovatel podstatným způsobem porušuje povinnosti, které pro něj z této rámcové dohody, nebo dílčí smlouvy plynou, zejména neposkytuje-li poskytovatel službu v souladu s podmínkami sjednanými v této rá</w:t>
      </w:r>
      <w:r>
        <w:t>mcové dohodě, dílčí smlouvě, nebo pokyny objednatele, a to s účinky výpovědi k okamžiku jejího doručení poskytovateli, nestanoví-li objednatel delší výpovědní dobu. Pro vyloučení pochybností smluvní strany konstatují, že za porušení povinnosti podstatným z</w:t>
      </w:r>
      <w:r>
        <w:t>působem je považováno opakované (více než 2x) porušení výše uvedených povinností, nebo 1x porušení povinností u kterých je v této rámcové dohodě uvedeno, že se jedná o podstatné porušení rámcové dohody. Ostatní sankční nároky dle této rámcové dohody zůstáv</w:t>
      </w:r>
      <w:r>
        <w:t>ání nedotčeny, stejně jako nárok na náhradu vzniklé škody.</w:t>
      </w:r>
    </w:p>
    <w:p w:rsidR="007D45F0" w:rsidRDefault="00FC1E4A">
      <w:pPr>
        <w:pStyle w:val="Zkladntext1"/>
        <w:numPr>
          <w:ilvl w:val="1"/>
          <w:numId w:val="2"/>
        </w:numPr>
        <w:shd w:val="clear" w:color="auto" w:fill="auto"/>
        <w:tabs>
          <w:tab w:val="left" w:pos="1964"/>
        </w:tabs>
        <w:ind w:left="1380"/>
        <w:jc w:val="both"/>
      </w:pPr>
      <w:r>
        <w:lastRenderedPageBreak/>
        <w:t xml:space="preserve">Objednatel je oprávněn odstoupit od dílčí objednávky (bez předchozí výzvy) v případě, že služba není poskytována v souladu s touto rámcovou dohodou, dílčí objednávkou, nebo pokyny objednatele a to </w:t>
      </w:r>
      <w:r>
        <w:t>zejména (nikoli však výlučně) pokud není služba poskytována řádně a včas, bez vad a nedodělků, v termínu stanoveném v dílčí objednávce. Ostatní sankční nároky dle této rámcové dohody zůstávají nedotčeny, stejně jako nárok na náhradu vzniklé škody.</w:t>
      </w:r>
    </w:p>
    <w:p w:rsidR="007D45F0" w:rsidRDefault="00FC1E4A">
      <w:pPr>
        <w:pStyle w:val="Zkladntext1"/>
        <w:numPr>
          <w:ilvl w:val="1"/>
          <w:numId w:val="2"/>
        </w:numPr>
        <w:shd w:val="clear" w:color="auto" w:fill="auto"/>
        <w:tabs>
          <w:tab w:val="left" w:pos="1964"/>
        </w:tabs>
        <w:ind w:left="1380"/>
        <w:jc w:val="both"/>
      </w:pPr>
      <w:r>
        <w:t>Objednat</w:t>
      </w:r>
      <w:r>
        <w:t>el je oprávněn od této rámcové dohody odstoupit v případě, že:</w:t>
      </w:r>
    </w:p>
    <w:p w:rsidR="007D45F0" w:rsidRDefault="00FC1E4A">
      <w:pPr>
        <w:pStyle w:val="Zkladntext1"/>
        <w:shd w:val="clear" w:color="auto" w:fill="auto"/>
        <w:ind w:left="1380" w:firstLine="580"/>
        <w:jc w:val="both"/>
      </w:pPr>
      <w:r>
        <w:t>- poskytovatel pozbude kteréhokoliv kvalifikačního předpokladu, jehož splnění bylo předpokladem pro zadání veřejné zakázky, na základě níž byla uzavřena tato rámcová dohoda,</w:t>
      </w:r>
    </w:p>
    <w:p w:rsidR="007D45F0" w:rsidRDefault="00FC1E4A">
      <w:pPr>
        <w:pStyle w:val="Zkladntext1"/>
        <w:shd w:val="clear" w:color="auto" w:fill="auto"/>
        <w:spacing w:line="276" w:lineRule="auto"/>
        <w:ind w:left="1380" w:firstLine="500"/>
        <w:jc w:val="both"/>
      </w:pPr>
      <w:r>
        <w:t>- vůči majetku posk</w:t>
      </w:r>
      <w:r>
        <w:t>ytovatele bude probíhat insolvenční řízení, nebo bude insolvenční návrh zamítnut proto, že majetek nepostačuje k úhradě nákladů insolvenčního řízení,</w:t>
      </w:r>
    </w:p>
    <w:p w:rsidR="007D45F0" w:rsidRDefault="00FC1E4A">
      <w:pPr>
        <w:pStyle w:val="Zkladntext1"/>
        <w:shd w:val="clear" w:color="auto" w:fill="auto"/>
        <w:ind w:left="1880"/>
        <w:jc w:val="both"/>
      </w:pPr>
      <w:r>
        <w:t>- poskytovatel vstoupí do likvidace.</w:t>
      </w:r>
    </w:p>
    <w:p w:rsidR="007D45F0" w:rsidRDefault="00FC1E4A">
      <w:pPr>
        <w:pStyle w:val="Zkladntext1"/>
        <w:shd w:val="clear" w:color="auto" w:fill="auto"/>
        <w:ind w:left="1380"/>
        <w:jc w:val="both"/>
      </w:pPr>
      <w:r>
        <w:t>Odstoupení však nemá vliv na nárok na náhradu škody nebo na zaplacení</w:t>
      </w:r>
      <w:r>
        <w:t xml:space="preserve"> smluvních pokut či úroků z prodlení.</w:t>
      </w:r>
    </w:p>
    <w:p w:rsidR="007D45F0" w:rsidRDefault="00FC1E4A">
      <w:pPr>
        <w:pStyle w:val="Zkladntext1"/>
        <w:numPr>
          <w:ilvl w:val="1"/>
          <w:numId w:val="2"/>
        </w:numPr>
        <w:shd w:val="clear" w:color="auto" w:fill="auto"/>
        <w:tabs>
          <w:tab w:val="left" w:pos="1964"/>
        </w:tabs>
        <w:spacing w:after="480"/>
        <w:ind w:left="1380"/>
        <w:jc w:val="both"/>
      </w:pPr>
      <w:r>
        <w:t>Poskytovatel je oprávněn od této rámcové dohody odstoupit v případě, že bude Objednatel v prodlení s úhradou řádně vystavené faktury po dobu delší než 90 dnů.</w:t>
      </w:r>
    </w:p>
    <w:p w:rsidR="007D45F0" w:rsidRDefault="00FC1E4A">
      <w:pPr>
        <w:pStyle w:val="Nadpis50"/>
        <w:keepNext/>
        <w:keepLines/>
        <w:numPr>
          <w:ilvl w:val="0"/>
          <w:numId w:val="2"/>
        </w:numPr>
        <w:shd w:val="clear" w:color="auto" w:fill="auto"/>
        <w:tabs>
          <w:tab w:val="left" w:pos="5180"/>
        </w:tabs>
        <w:ind w:left="4820"/>
      </w:pPr>
      <w:bookmarkStart w:id="16" w:name="bookmark16"/>
      <w:bookmarkStart w:id="17" w:name="bookmark17"/>
      <w:r>
        <w:t>Nebezpečí škody</w:t>
      </w:r>
      <w:bookmarkEnd w:id="16"/>
      <w:bookmarkEnd w:id="17"/>
    </w:p>
    <w:p w:rsidR="007D45F0" w:rsidRDefault="00FC1E4A">
      <w:pPr>
        <w:pStyle w:val="Zkladntext1"/>
        <w:numPr>
          <w:ilvl w:val="1"/>
          <w:numId w:val="2"/>
        </w:numPr>
        <w:shd w:val="clear" w:color="auto" w:fill="auto"/>
        <w:tabs>
          <w:tab w:val="left" w:pos="1964"/>
        </w:tabs>
        <w:ind w:left="1940" w:hanging="560"/>
        <w:jc w:val="both"/>
      </w:pPr>
      <w:r>
        <w:t xml:space="preserve">Poskytovatel prohlašuje a odpovídá </w:t>
      </w:r>
      <w:r>
        <w:t>objednateli za právní bezvadnost poskytnutí služby a za skutečnost, že uzavřením této rámcové dohody není porušena žádná povinnost poskytovatele nebo práva či oprávněné zájmy jiných osob.</w:t>
      </w:r>
    </w:p>
    <w:p w:rsidR="007D45F0" w:rsidRDefault="00FC1E4A">
      <w:pPr>
        <w:pStyle w:val="Zkladntext1"/>
        <w:numPr>
          <w:ilvl w:val="1"/>
          <w:numId w:val="2"/>
        </w:numPr>
        <w:shd w:val="clear" w:color="auto" w:fill="auto"/>
        <w:tabs>
          <w:tab w:val="left" w:pos="1964"/>
        </w:tabs>
        <w:spacing w:after="480"/>
        <w:ind w:left="1940" w:hanging="560"/>
        <w:jc w:val="both"/>
      </w:pPr>
      <w:r>
        <w:t>Poskytovatel odpovídá za škodu, která jeho činností vznikne, jak obj</w:t>
      </w:r>
      <w:r>
        <w:t>ednateli, tak i třetím osobám, bez jakýchkoliv omezení.</w:t>
      </w:r>
    </w:p>
    <w:p w:rsidR="007D45F0" w:rsidRDefault="00FC1E4A">
      <w:pPr>
        <w:pStyle w:val="Nadpis50"/>
        <w:keepNext/>
        <w:keepLines/>
        <w:numPr>
          <w:ilvl w:val="0"/>
          <w:numId w:val="2"/>
        </w:numPr>
        <w:shd w:val="clear" w:color="auto" w:fill="auto"/>
        <w:tabs>
          <w:tab w:val="left" w:pos="4526"/>
        </w:tabs>
        <w:ind w:left="4060"/>
      </w:pPr>
      <w:bookmarkStart w:id="18" w:name="bookmark18"/>
      <w:bookmarkStart w:id="19" w:name="bookmark19"/>
      <w:r>
        <w:t>Záruka a odpovědnost za vady</w:t>
      </w:r>
      <w:bookmarkEnd w:id="18"/>
      <w:bookmarkEnd w:id="19"/>
    </w:p>
    <w:p w:rsidR="007D45F0" w:rsidRDefault="00FC1E4A">
      <w:pPr>
        <w:pStyle w:val="Zkladntext1"/>
        <w:numPr>
          <w:ilvl w:val="1"/>
          <w:numId w:val="2"/>
        </w:numPr>
        <w:shd w:val="clear" w:color="auto" w:fill="auto"/>
        <w:tabs>
          <w:tab w:val="left" w:pos="1964"/>
        </w:tabs>
        <w:spacing w:line="276" w:lineRule="auto"/>
        <w:ind w:left="1940" w:hanging="560"/>
        <w:jc w:val="both"/>
      </w:pPr>
      <w:r>
        <w:t>Odpovědnost za vady se řídí ustanoveními občanského zákoníku. Služba má vady, není-li poskytnuta ve sjednaném rozsahu, kvalitě (jakosti), provedení, nebo je jakkoli poskyt</w:t>
      </w:r>
      <w:r>
        <w:t>nuta v rozporu s touto rámcovou dohodou, nebo dílčí smlouvou, nebo pokyny objednatele.</w:t>
      </w:r>
    </w:p>
    <w:p w:rsidR="007D45F0" w:rsidRDefault="00FC1E4A">
      <w:pPr>
        <w:pStyle w:val="Zkladntext1"/>
        <w:numPr>
          <w:ilvl w:val="1"/>
          <w:numId w:val="2"/>
        </w:numPr>
        <w:shd w:val="clear" w:color="auto" w:fill="auto"/>
        <w:tabs>
          <w:tab w:val="left" w:pos="1964"/>
        </w:tabs>
        <w:spacing w:after="120"/>
        <w:ind w:left="1940" w:hanging="560"/>
        <w:jc w:val="both"/>
      </w:pPr>
      <w:r>
        <w:t>V případě, že objednatel po poskytnutí služby službu akceptuje podpisem předávacího protokolu a vady se projeví dodatečně, je objednatel oprávněn vůči poskytovateli uplatnit reklamaci bez zbytečného odkladu, nejpozději však do 14 dnů od jejich zjištění. Re</w:t>
      </w:r>
      <w:r>
        <w:t>klamaci poskytnuté služby (rozpor faktického poskytnutí služby s požadavky na poskytnutí služby dle této rámcové dohody, nebo dílčí smlouvy, nebo pokyny objednatele) odešle objednatel poskytovateli písemně, nebo elektronicky (e-mailem) na adresu poskytovat</w:t>
      </w:r>
      <w:r>
        <w:t>ele uvedenou v záhlaví této rámcové dohody. Objednatel je oprávněn reklamovat poskytnutou službu (rozpor faktického poskytnutí služby s požadavky na poskytnutí služby dle této rámcové dohody, nebo dílčí smlouvy, nebo pokyny objednatele) nejpozději do 6 (še</w:t>
      </w:r>
      <w:r>
        <w:t>sti) měsíců ode dne jejího poskytnutí, resp. ode dne podpisu předávacího protokolu oprávněnou osobou objednatele a poskytovatele služby.</w:t>
      </w:r>
    </w:p>
    <w:p w:rsidR="007D45F0" w:rsidRDefault="00FC1E4A">
      <w:pPr>
        <w:pStyle w:val="Zkladntext1"/>
        <w:numPr>
          <w:ilvl w:val="1"/>
          <w:numId w:val="2"/>
        </w:numPr>
        <w:shd w:val="clear" w:color="auto" w:fill="auto"/>
        <w:tabs>
          <w:tab w:val="left" w:pos="1962"/>
        </w:tabs>
        <w:spacing w:after="120"/>
        <w:ind w:left="1960" w:hanging="580"/>
        <w:jc w:val="both"/>
      </w:pPr>
      <w:r>
        <w:t>Poskytovatel odstraní reklamovaný rozpor faktického poskytnutí služby s požadavky na poskytnutí služby dle této rámcové</w:t>
      </w:r>
      <w:r>
        <w:t xml:space="preserve"> dohody, nebo dílčí smlouvy, nebo pokyny objednatele v co nejkratším možném termínu, nejpozději však do 14 dnů ode dne doručení reklamace poskytovateli.</w:t>
      </w:r>
    </w:p>
    <w:p w:rsidR="007D45F0" w:rsidRDefault="00FC1E4A">
      <w:pPr>
        <w:pStyle w:val="Zkladntext1"/>
        <w:numPr>
          <w:ilvl w:val="1"/>
          <w:numId w:val="2"/>
        </w:numPr>
        <w:shd w:val="clear" w:color="auto" w:fill="auto"/>
        <w:tabs>
          <w:tab w:val="left" w:pos="1962"/>
        </w:tabs>
        <w:spacing w:after="120"/>
        <w:ind w:left="1960" w:hanging="580"/>
        <w:jc w:val="both"/>
      </w:pPr>
      <w:r>
        <w:t>Reklamace budou řešeny primárně opakovaným poskytnutím služby, resp. příslušné části služby, jež byla p</w:t>
      </w:r>
      <w:r>
        <w:t>oskytnuta v rozporu s touto rámcovou dohodou, nebo dílčí smlouvou, nebo pokyny objednatele, na náklady poskytovatele, nebo slevou z ceny služby, resp. její příslušné části, jež byla poskytnuta v rozporu s touto rámcovou dohodou, nebo dílčí smlouvou, nebo p</w:t>
      </w:r>
      <w:r>
        <w:t>okyny objednatele. Reklamace může být řešena i jiným způsobem. O způsobu řešení reklamace rozhoduje objednatel.</w:t>
      </w:r>
    </w:p>
    <w:p w:rsidR="007D45F0" w:rsidRDefault="00FC1E4A">
      <w:pPr>
        <w:pStyle w:val="Zkladntext1"/>
        <w:numPr>
          <w:ilvl w:val="1"/>
          <w:numId w:val="2"/>
        </w:numPr>
        <w:shd w:val="clear" w:color="auto" w:fill="auto"/>
        <w:tabs>
          <w:tab w:val="left" w:pos="1962"/>
        </w:tabs>
        <w:spacing w:after="480"/>
        <w:ind w:left="1960" w:hanging="580"/>
        <w:jc w:val="both"/>
      </w:pPr>
      <w:r>
        <w:lastRenderedPageBreak/>
        <w:t>V případě, že objednatel zvolil způsob řešení reklamace slevou z ceny služby, resp. její příslušné části a tato část již byla objednatelem zapla</w:t>
      </w:r>
      <w:r>
        <w:t>cena, je poskytovatel povinen vrátit platbu za příslušnou část služby zpět objednateli (včetně dobropisu) a to do 15 dnů ode dne obdržení výzvy objednatele.</w:t>
      </w:r>
    </w:p>
    <w:p w:rsidR="007D45F0" w:rsidRDefault="00FC1E4A">
      <w:pPr>
        <w:pStyle w:val="Nadpis50"/>
        <w:keepNext/>
        <w:keepLines/>
        <w:numPr>
          <w:ilvl w:val="0"/>
          <w:numId w:val="2"/>
        </w:numPr>
        <w:shd w:val="clear" w:color="auto" w:fill="auto"/>
        <w:tabs>
          <w:tab w:val="left" w:pos="4306"/>
        </w:tabs>
        <w:ind w:left="3840"/>
      </w:pPr>
      <w:bookmarkStart w:id="20" w:name="bookmark20"/>
      <w:bookmarkStart w:id="21" w:name="bookmark21"/>
      <w:r>
        <w:t>Smluvní pokuty a úroky z prodlení</w:t>
      </w:r>
      <w:bookmarkEnd w:id="20"/>
      <w:bookmarkEnd w:id="21"/>
    </w:p>
    <w:p w:rsidR="007D45F0" w:rsidRDefault="00FC1E4A">
      <w:pPr>
        <w:pStyle w:val="Zkladntext1"/>
        <w:numPr>
          <w:ilvl w:val="1"/>
          <w:numId w:val="2"/>
        </w:numPr>
        <w:shd w:val="clear" w:color="auto" w:fill="auto"/>
        <w:tabs>
          <w:tab w:val="left" w:pos="1962"/>
        </w:tabs>
        <w:spacing w:after="120" w:line="276" w:lineRule="auto"/>
        <w:ind w:left="1960" w:hanging="580"/>
        <w:jc w:val="both"/>
      </w:pPr>
      <w:r>
        <w:t xml:space="preserve">V případě prodlení poskytovatele s termínem zahájení poskytování </w:t>
      </w:r>
      <w:r>
        <w:t>služby a/nebo dokončení poskytování služby stanoveném v dílčí objednávce, je povinen zaplatit objednateli smluvní pokutu ve výši 0,1 % z ceny služby dle dílčí objednávky bez DPH za každý započatý den prodlení až do výše celkové ceny služby dle příslušné dí</w:t>
      </w:r>
      <w:r>
        <w:t>lčí objednávky.</w:t>
      </w:r>
    </w:p>
    <w:p w:rsidR="007D45F0" w:rsidRDefault="00FC1E4A">
      <w:pPr>
        <w:pStyle w:val="Zkladntext1"/>
        <w:numPr>
          <w:ilvl w:val="1"/>
          <w:numId w:val="2"/>
        </w:numPr>
        <w:shd w:val="clear" w:color="auto" w:fill="auto"/>
        <w:tabs>
          <w:tab w:val="left" w:pos="1962"/>
        </w:tabs>
        <w:spacing w:after="120"/>
        <w:ind w:left="1960" w:hanging="580"/>
        <w:jc w:val="both"/>
      </w:pPr>
      <w:r>
        <w:t xml:space="preserve">V případě prodlení poskytovatele s odstraněním vady služby, resp. rozporu faktického poskytnutí služby s požadavky na poskytnutí služby dle této rámcové dohody, nebo dílčí smlouvy, nebo pokyny objednatele dle čl. </w:t>
      </w:r>
      <w:proofErr w:type="gramStart"/>
      <w:r>
        <w:t>10.3. této</w:t>
      </w:r>
      <w:proofErr w:type="gramEnd"/>
      <w:r>
        <w:t xml:space="preserve"> rámcové dohody, </w:t>
      </w:r>
      <w:r>
        <w:t>je povinen zaplatit objednateli smluvní pokutu ve výši 0,1 % z ceny příslušné části služby bez DPH dle dílčí objednávky za každý započatý den prodlení až do výše celkové ceny služby dle příslušné dílčí objednávky.</w:t>
      </w:r>
    </w:p>
    <w:p w:rsidR="007D45F0" w:rsidRDefault="00FC1E4A">
      <w:pPr>
        <w:pStyle w:val="Zkladntext1"/>
        <w:numPr>
          <w:ilvl w:val="1"/>
          <w:numId w:val="2"/>
        </w:numPr>
        <w:shd w:val="clear" w:color="auto" w:fill="auto"/>
        <w:tabs>
          <w:tab w:val="left" w:pos="1962"/>
        </w:tabs>
        <w:spacing w:after="120"/>
        <w:ind w:left="1960" w:hanging="580"/>
        <w:jc w:val="both"/>
      </w:pPr>
      <w:r>
        <w:t>V případě, že poskytovatel poskytuje služb</w:t>
      </w:r>
      <w:r>
        <w:t>u v rozporu s touto rámcovou dohodou, dílčí smlouvou, nebo pokyny objednatele, i po upozornění objednatelem na tuto skutečnost, je objednatel oprávněn vůči poskytovateli uplatnit smluvní pokutu ve výši 0,1% ceny služby v Kč bez DPH za každý jednotlivý příp</w:t>
      </w:r>
      <w:r>
        <w:t>ad porušení, tj. i opakovaně.</w:t>
      </w:r>
    </w:p>
    <w:p w:rsidR="007D45F0" w:rsidRDefault="00FC1E4A">
      <w:pPr>
        <w:pStyle w:val="Zkladntext1"/>
        <w:numPr>
          <w:ilvl w:val="1"/>
          <w:numId w:val="2"/>
        </w:numPr>
        <w:shd w:val="clear" w:color="auto" w:fill="auto"/>
        <w:tabs>
          <w:tab w:val="left" w:pos="1962"/>
        </w:tabs>
        <w:spacing w:after="120"/>
        <w:ind w:left="1960" w:hanging="580"/>
        <w:jc w:val="both"/>
      </w:pPr>
      <w:r>
        <w:t xml:space="preserve">V případě, že poskytovatel ve lhůtě dle čl. 6.4 této rámcové dohody nepotvrdí přijetí dílčí objednávky (pokud ji v souladu s čl. </w:t>
      </w:r>
      <w:proofErr w:type="gramStart"/>
      <w:r>
        <w:t>6.7. této</w:t>
      </w:r>
      <w:proofErr w:type="gramEnd"/>
      <w:r>
        <w:t xml:space="preserve"> rámcové dohody oprávněně neodmítne), je objednatel oprávněn vůči poskytovateli uplatnit</w:t>
      </w:r>
      <w:r>
        <w:t xml:space="preserve"> smluvní pokutu ve výši 5 000,- Kč bez DPH za každý jednotlivý případ porušení.</w:t>
      </w:r>
    </w:p>
    <w:p w:rsidR="007D45F0" w:rsidRDefault="00FC1E4A">
      <w:pPr>
        <w:pStyle w:val="Zkladntext1"/>
        <w:numPr>
          <w:ilvl w:val="1"/>
          <w:numId w:val="2"/>
        </w:numPr>
        <w:shd w:val="clear" w:color="auto" w:fill="auto"/>
        <w:tabs>
          <w:tab w:val="left" w:pos="1962"/>
        </w:tabs>
        <w:spacing w:after="120" w:line="276" w:lineRule="auto"/>
        <w:ind w:left="1960" w:hanging="580"/>
        <w:jc w:val="both"/>
      </w:pPr>
      <w:r>
        <w:t>V případě prodlení objednatele s placením řádně vystavené faktury, je objednatel povinen zaplatit poskytovateli úrok z prodlení ve výši 0,05 % z nezaplacené částky bez DPH za k</w:t>
      </w:r>
      <w:r>
        <w:t>aždý započatý den prodlení.</w:t>
      </w:r>
    </w:p>
    <w:p w:rsidR="007D45F0" w:rsidRDefault="00FC1E4A">
      <w:pPr>
        <w:pStyle w:val="Zkladntext1"/>
        <w:numPr>
          <w:ilvl w:val="1"/>
          <w:numId w:val="2"/>
        </w:numPr>
        <w:shd w:val="clear" w:color="auto" w:fill="auto"/>
        <w:tabs>
          <w:tab w:val="left" w:pos="1962"/>
        </w:tabs>
        <w:spacing w:after="120"/>
        <w:ind w:left="1960" w:hanging="580"/>
        <w:jc w:val="both"/>
      </w:pPr>
      <w:r>
        <w:t>Všechny smluvní sankce uplatněné dle této rámcové dohody, nebo dílčí smlouvy jsou splatné do čtrnácti (14) kalendářních dnů ode dne doručení písemného oznámení o jejich uplatnění stranou oprávněnou straně povinné. Ujednání o úro</w:t>
      </w:r>
      <w:r>
        <w:t>ku z prodlení a smluvních pokutách zůstávají případným ukončením této rámcové dohody, nebo dílčí smlouvy nedotčena a trvají i po skončení účinnosti této rámcové dohody, nebo dílčí smlouvy.</w:t>
      </w:r>
    </w:p>
    <w:p w:rsidR="007D45F0" w:rsidRDefault="00FC1E4A">
      <w:pPr>
        <w:pStyle w:val="Zkladntext1"/>
        <w:numPr>
          <w:ilvl w:val="1"/>
          <w:numId w:val="2"/>
        </w:numPr>
        <w:shd w:val="clear" w:color="auto" w:fill="auto"/>
        <w:tabs>
          <w:tab w:val="left" w:pos="1962"/>
        </w:tabs>
        <w:ind w:left="1960" w:hanging="580"/>
        <w:jc w:val="both"/>
      </w:pPr>
      <w:r>
        <w:t xml:space="preserve">Uplatněním smluvní pokuty podle této rámcové dohody, nebo dílčí </w:t>
      </w:r>
      <w:r>
        <w:t>smlouvy není dotčeno právo objednatele na náhradu škody.</w:t>
      </w:r>
    </w:p>
    <w:p w:rsidR="007D45F0" w:rsidRDefault="00FC1E4A">
      <w:pPr>
        <w:pStyle w:val="Zkladntext1"/>
        <w:numPr>
          <w:ilvl w:val="1"/>
          <w:numId w:val="2"/>
        </w:numPr>
        <w:shd w:val="clear" w:color="auto" w:fill="auto"/>
        <w:tabs>
          <w:tab w:val="left" w:pos="1962"/>
        </w:tabs>
        <w:spacing w:after="460" w:line="276" w:lineRule="auto"/>
        <w:ind w:left="1960" w:hanging="580"/>
        <w:jc w:val="both"/>
      </w:pPr>
      <w:r>
        <w:t xml:space="preserve">Smluvní pokutu nelze požadovat, způsobí-li porušení smluvní povinnosti zásah vyšší moci, a to po celou dobu trvání zásahu vyšší moci. Za zásah vyšší moci se považuje zejména nemožnost plnění vzniklá </w:t>
      </w:r>
      <w:r>
        <w:t>živelnou událostí (včetně pandemie Covid-19) nebo událost naplňující znaky uvedené v § 2913 odst. 2 zákona č. 89/2012 Sb., občanského zákoníku.</w:t>
      </w:r>
    </w:p>
    <w:p w:rsidR="007D45F0" w:rsidRDefault="00FC1E4A">
      <w:pPr>
        <w:pStyle w:val="Nadpis50"/>
        <w:keepNext/>
        <w:keepLines/>
        <w:numPr>
          <w:ilvl w:val="0"/>
          <w:numId w:val="2"/>
        </w:numPr>
        <w:shd w:val="clear" w:color="auto" w:fill="auto"/>
        <w:tabs>
          <w:tab w:val="left" w:pos="5646"/>
        </w:tabs>
        <w:ind w:left="5180"/>
      </w:pPr>
      <w:bookmarkStart w:id="22" w:name="bookmark22"/>
      <w:bookmarkStart w:id="23" w:name="bookmark23"/>
      <w:r>
        <w:t>Vyšší moc</w:t>
      </w:r>
      <w:bookmarkEnd w:id="22"/>
      <w:bookmarkEnd w:id="23"/>
    </w:p>
    <w:p w:rsidR="007D45F0" w:rsidRDefault="00FC1E4A">
      <w:pPr>
        <w:pStyle w:val="Zkladntext1"/>
        <w:numPr>
          <w:ilvl w:val="1"/>
          <w:numId w:val="2"/>
        </w:numPr>
        <w:shd w:val="clear" w:color="auto" w:fill="auto"/>
        <w:tabs>
          <w:tab w:val="left" w:pos="1962"/>
        </w:tabs>
        <w:ind w:left="1960" w:hanging="580"/>
        <w:jc w:val="both"/>
      </w:pPr>
      <w:r>
        <w:t>Pro účely této rámcové dohody se za vyšší moc považují případy, kdy smluvní strana prokáže, že jí ve s</w:t>
      </w:r>
      <w:r>
        <w:t>plnění povinnosti z této rámcové dohody, nebo dílčí smlouvy dočasně nebo trvale zabránila mimořádná nepředvídatelná a nepřekonatelná překážka vzniklá nezávisle na vůli této smluvní strany. Za okolnosti vyšší moci se považují okolnosti, které vznikly po uza</w:t>
      </w:r>
      <w:r>
        <w:t>vření této rámcové dohody, nebo dílčí smlouvy, zejména (nikoli však výlučně) válečný konflikt, přírodní katastrofa (např. povodeň), masivní výpadek elektrické energie nebo dodávek ropy, embargo nebo epidemie (včetně COVID 19), popřípadě krizové opatření vy</w:t>
      </w:r>
      <w:r>
        <w:t>hlášené orgánem veřejné moci při epidemii.</w:t>
      </w:r>
    </w:p>
    <w:p w:rsidR="007D45F0" w:rsidRDefault="00FC1E4A">
      <w:pPr>
        <w:pStyle w:val="Zkladntext1"/>
        <w:numPr>
          <w:ilvl w:val="1"/>
          <w:numId w:val="2"/>
        </w:numPr>
        <w:shd w:val="clear" w:color="auto" w:fill="auto"/>
        <w:tabs>
          <w:tab w:val="left" w:pos="1962"/>
        </w:tabs>
        <w:spacing w:line="276" w:lineRule="auto"/>
        <w:ind w:left="1960" w:hanging="580"/>
        <w:jc w:val="both"/>
      </w:pPr>
      <w:r>
        <w:lastRenderedPageBreak/>
        <w:t>Za vyšší moc se pro účely této rámcové dohody, nebo dílčí smlouvy nepovažuje překážka vzniklá z poměrů smluvní strany, která se překážky dle odstavce 12.1 dovolává, nebo vzniklá až v době, kdy byla tato smluvní st</w:t>
      </w:r>
      <w:r>
        <w:t>rana v prodlení s plněním smluvené povinnosti.</w:t>
      </w:r>
    </w:p>
    <w:p w:rsidR="007D45F0" w:rsidRDefault="00FC1E4A">
      <w:pPr>
        <w:pStyle w:val="Zkladntext1"/>
        <w:numPr>
          <w:ilvl w:val="1"/>
          <w:numId w:val="2"/>
        </w:numPr>
        <w:shd w:val="clear" w:color="auto" w:fill="auto"/>
        <w:tabs>
          <w:tab w:val="left" w:pos="1962"/>
        </w:tabs>
        <w:ind w:left="1960" w:hanging="580"/>
        <w:jc w:val="both"/>
      </w:pPr>
      <w:r>
        <w:t>Smluvní strana postižená vyšší mocí je povinna neprodleně druhou smluvní stranu o výskytu vyšší moci písemně informovat.</w:t>
      </w:r>
    </w:p>
    <w:p w:rsidR="007D45F0" w:rsidRDefault="00FC1E4A">
      <w:pPr>
        <w:pStyle w:val="Zkladntext1"/>
        <w:numPr>
          <w:ilvl w:val="1"/>
          <w:numId w:val="2"/>
        </w:numPr>
        <w:shd w:val="clear" w:color="auto" w:fill="auto"/>
        <w:tabs>
          <w:tab w:val="left" w:pos="1962"/>
        </w:tabs>
        <w:spacing w:after="460" w:line="276" w:lineRule="auto"/>
        <w:ind w:left="1960" w:hanging="580"/>
        <w:jc w:val="both"/>
      </w:pPr>
      <w:r>
        <w:t>V případě vyšší moci se prodlužuje lhůta ke splnění smluvních povinností o dobu, během k</w:t>
      </w:r>
      <w:r>
        <w:t>teré budou následky vyšší moci trvat včetně doby prokazatelně nutné k jejich odstranění. O ukončení vyšší moci a odstranění následků musí postižená smluvní strana druhou stranu písemně informovat.</w:t>
      </w:r>
    </w:p>
    <w:p w:rsidR="007D45F0" w:rsidRDefault="00FC1E4A">
      <w:pPr>
        <w:pStyle w:val="Nadpis50"/>
        <w:keepNext/>
        <w:keepLines/>
        <w:numPr>
          <w:ilvl w:val="0"/>
          <w:numId w:val="2"/>
        </w:numPr>
        <w:shd w:val="clear" w:color="auto" w:fill="auto"/>
        <w:tabs>
          <w:tab w:val="left" w:pos="5306"/>
        </w:tabs>
        <w:ind w:left="4840"/>
      </w:pPr>
      <w:bookmarkStart w:id="24" w:name="bookmark24"/>
      <w:bookmarkStart w:id="25" w:name="bookmark25"/>
      <w:r>
        <w:t>Ostatní ujednání</w:t>
      </w:r>
      <w:bookmarkEnd w:id="24"/>
      <w:bookmarkEnd w:id="25"/>
    </w:p>
    <w:p w:rsidR="007D45F0" w:rsidRDefault="00FC1E4A">
      <w:pPr>
        <w:pStyle w:val="Zkladntext1"/>
        <w:numPr>
          <w:ilvl w:val="1"/>
          <w:numId w:val="2"/>
        </w:numPr>
        <w:shd w:val="clear" w:color="auto" w:fill="auto"/>
        <w:tabs>
          <w:tab w:val="left" w:pos="1962"/>
        </w:tabs>
        <w:ind w:left="1960" w:hanging="580"/>
        <w:jc w:val="both"/>
      </w:pPr>
      <w:r>
        <w:t>Objednatel je v souladu s § 136 odst. 1 ZZ</w:t>
      </w:r>
      <w:r>
        <w:t>VZ oprávněn požadovat od poskytovatele během trvání této rámcové dohody předložení dokladů o kvalifikaci.</w:t>
      </w:r>
    </w:p>
    <w:p w:rsidR="007D45F0" w:rsidRDefault="00FC1E4A">
      <w:pPr>
        <w:pStyle w:val="Zkladntext1"/>
        <w:numPr>
          <w:ilvl w:val="1"/>
          <w:numId w:val="2"/>
        </w:numPr>
        <w:shd w:val="clear" w:color="auto" w:fill="auto"/>
        <w:tabs>
          <w:tab w:val="left" w:pos="1962"/>
        </w:tabs>
        <w:spacing w:line="276" w:lineRule="auto"/>
        <w:ind w:left="1960" w:hanging="580"/>
        <w:jc w:val="both"/>
      </w:pPr>
      <w:r>
        <w:t>Poskytovatel není oprávněn převádět práva a povinnosti vyplývající z této rámcové dohody nebo dílčí smlouvy na třetí osobu bez předchozího písemného s</w:t>
      </w:r>
      <w:r>
        <w:t>ouhlasu objednatele.</w:t>
      </w:r>
    </w:p>
    <w:p w:rsidR="007D45F0" w:rsidRDefault="00FC1E4A">
      <w:pPr>
        <w:pStyle w:val="Zkladntext1"/>
        <w:numPr>
          <w:ilvl w:val="1"/>
          <w:numId w:val="2"/>
        </w:numPr>
        <w:shd w:val="clear" w:color="auto" w:fill="auto"/>
        <w:tabs>
          <w:tab w:val="left" w:pos="1962"/>
        </w:tabs>
        <w:ind w:left="1960" w:hanging="580"/>
        <w:jc w:val="both"/>
      </w:pPr>
      <w:r>
        <w:t>Objednatel je oprávněn v souladu s § 222 odst. 10 ZZVZ nahradit poskytovatele jiným dodavatelem, a to takovým, který se jako účastník zadávacího řízení na veřejnou zakázku, jejímž výsledkem bylo uzavření této rámcové dohody, umístil da</w:t>
      </w:r>
      <w:r>
        <w:t>lší v pořadí za poskytovatelem. Nový poskytovatel je povinen prokázat před podpisem rámcové dohody splnění podmínek dle ZZVZ a zadávacích podmínek uvedené veřejné zakázky, a to ve stejném rozsahu, jako tomu bylo u nahrazovaného (původního) poskytovatele. R</w:t>
      </w:r>
      <w:r>
        <w:t>ámcová dohoda s novým poskytovatelem bude uzavřena ve stejném rozsahu a obsahu povinností smluvních stran jako tato rámcová dohoda. Změna poskytovatele dle tohoto článku bude v souladu s § 100 odst. 2 ZZVZ a § 222 odst. 10 ZZVZ považována za nepodstatnou z</w:t>
      </w:r>
      <w:r>
        <w:t>měnu závazku.</w:t>
      </w:r>
    </w:p>
    <w:p w:rsidR="007D45F0" w:rsidRDefault="00FC1E4A">
      <w:pPr>
        <w:pStyle w:val="Zkladntext1"/>
        <w:numPr>
          <w:ilvl w:val="1"/>
          <w:numId w:val="2"/>
        </w:numPr>
        <w:shd w:val="clear" w:color="auto" w:fill="auto"/>
        <w:tabs>
          <w:tab w:val="left" w:pos="1962"/>
        </w:tabs>
        <w:ind w:left="1960" w:hanging="580"/>
        <w:jc w:val="both"/>
      </w:pPr>
      <w:r>
        <w:t>Poskytovatel není oprávněn pro poskytování služby využít jiné poddodavatele a ve větším rozsahu, než který uvedl v nabídce, kterou podal do zadávacího řízení, jež předcházelo uzavření této rámcové dohody. Změna poddodavatele je možná pouze se</w:t>
      </w:r>
      <w:r>
        <w:t xml:space="preserve"> souhlasem objednatele. Pokud jde o poddodavatele, jímž poskytovatel prokazoval část kvalifikace v zadávacím řízení, musí nový poddodavatel splňovat kvalifikaci alespoň v takovém rozsahu, v jakém ji splňoval původní poddodavatel. Porušení povinností je pov</w:t>
      </w:r>
      <w:r>
        <w:t>ažováno za podstatné porušení této rámcové dohody.</w:t>
      </w:r>
    </w:p>
    <w:p w:rsidR="007D45F0" w:rsidRDefault="00FC1E4A">
      <w:pPr>
        <w:pStyle w:val="Zkladntext1"/>
        <w:numPr>
          <w:ilvl w:val="1"/>
          <w:numId w:val="2"/>
        </w:numPr>
        <w:shd w:val="clear" w:color="auto" w:fill="auto"/>
        <w:tabs>
          <w:tab w:val="left" w:pos="1962"/>
        </w:tabs>
        <w:ind w:left="1960" w:hanging="580"/>
        <w:jc w:val="both"/>
      </w:pPr>
      <w:r>
        <w:t xml:space="preserve">Poskytovatel je povinen zabezpečit ve svých poddodavatelských smlouvách splnění veškerých povinností vyplývajících poskytovateli z této rámcové dohody. Porušení povinnosti je považováno za podstatné </w:t>
      </w:r>
      <w:r>
        <w:t>porušení této rámcové dohody.</w:t>
      </w:r>
    </w:p>
    <w:p w:rsidR="007D45F0" w:rsidRDefault="00FC1E4A">
      <w:pPr>
        <w:pStyle w:val="Zkladntext1"/>
        <w:numPr>
          <w:ilvl w:val="1"/>
          <w:numId w:val="2"/>
        </w:numPr>
        <w:shd w:val="clear" w:color="auto" w:fill="auto"/>
        <w:tabs>
          <w:tab w:val="left" w:pos="1962"/>
        </w:tabs>
        <w:spacing w:after="480"/>
        <w:ind w:left="1960" w:hanging="580"/>
        <w:jc w:val="both"/>
      </w:pPr>
      <w:r>
        <w:t>Poskytovatel bere na vědomí, že objednatel je povinen zveřejnit tuto rámcovou dohodu a související informace a dokumenty týkající se jejího plnění ve smyslu ZZVZ (včetně dílčích smluv, výše skutečně uhrazené ceny atd.). Objedn</w:t>
      </w:r>
      <w:r>
        <w:t>atel neuveřejní informace, u kterých to vyžaduje ochrana informací a údajů podle zvláštních právních předpisů, tj. zejména takové, které se týkají autorských práv ve smyslu zákona č. 121/2000 Sb., autorský zákon, ve znění pozdějších předpisů, obchodního ta</w:t>
      </w:r>
      <w:r>
        <w:t>jemství dle § 504 občanského zákoníku a důvěrných informací dle § 1730 občanského zákoníku.</w:t>
      </w:r>
    </w:p>
    <w:p w:rsidR="007D45F0" w:rsidRDefault="00FC1E4A">
      <w:pPr>
        <w:pStyle w:val="Nadpis50"/>
        <w:keepNext/>
        <w:keepLines/>
        <w:numPr>
          <w:ilvl w:val="0"/>
          <w:numId w:val="2"/>
        </w:numPr>
        <w:shd w:val="clear" w:color="auto" w:fill="auto"/>
        <w:tabs>
          <w:tab w:val="left" w:pos="4992"/>
        </w:tabs>
        <w:ind w:left="4540"/>
      </w:pPr>
      <w:bookmarkStart w:id="26" w:name="bookmark26"/>
      <w:bookmarkStart w:id="27" w:name="bookmark27"/>
      <w:r>
        <w:t>Závěrečná ustanovení</w:t>
      </w:r>
      <w:bookmarkEnd w:id="26"/>
      <w:bookmarkEnd w:id="27"/>
    </w:p>
    <w:p w:rsidR="007D45F0" w:rsidRDefault="00FC1E4A">
      <w:pPr>
        <w:pStyle w:val="Zkladntext1"/>
        <w:numPr>
          <w:ilvl w:val="1"/>
          <w:numId w:val="2"/>
        </w:numPr>
        <w:shd w:val="clear" w:color="auto" w:fill="auto"/>
        <w:tabs>
          <w:tab w:val="left" w:pos="1962"/>
        </w:tabs>
        <w:ind w:left="1380"/>
        <w:jc w:val="both"/>
      </w:pPr>
      <w:r>
        <w:t>Rámcová dohoda je vyhotovena v elektronickém originále.</w:t>
      </w:r>
    </w:p>
    <w:p w:rsidR="007D45F0" w:rsidRDefault="00FC1E4A">
      <w:pPr>
        <w:pStyle w:val="Zkladntext1"/>
        <w:numPr>
          <w:ilvl w:val="1"/>
          <w:numId w:val="2"/>
        </w:numPr>
        <w:shd w:val="clear" w:color="auto" w:fill="auto"/>
        <w:tabs>
          <w:tab w:val="left" w:pos="1962"/>
        </w:tabs>
        <w:ind w:left="1960" w:hanging="580"/>
        <w:jc w:val="both"/>
      </w:pPr>
      <w:r>
        <w:t xml:space="preserve">Poskytovatel bere na vědomí, že tato rámcová dohoda může podléhat povinnosti jejího </w:t>
      </w:r>
      <w:r>
        <w:t>uveřejnění podle zákona č. 340/2015 Sb., o zvláštních podmínkách účinnosti některých smluv, uveřejňování těchto smluv a o registru smluv (dále jen „zákon o registru smluv“), zákona č. 134/2016 Sb., o zadávání veřejných zakázek, ve znění pozdějších předpisů</w:t>
      </w:r>
      <w:r>
        <w:t xml:space="preserve"> a/nebo jejího zpřístupnění podle </w:t>
      </w:r>
      <w:r>
        <w:lastRenderedPageBreak/>
        <w:t>zákona č. 106/1999 Sb., o svobodném přístupu k informacím, ve znění pozdějších předpisů a tímto s uveřejněním či zpřístupněním podle výše uvedených právních předpisů souhlasí.</w:t>
      </w:r>
    </w:p>
    <w:p w:rsidR="007D45F0" w:rsidRDefault="00FC1E4A">
      <w:pPr>
        <w:pStyle w:val="Zkladntext1"/>
        <w:numPr>
          <w:ilvl w:val="1"/>
          <w:numId w:val="2"/>
        </w:numPr>
        <w:shd w:val="clear" w:color="auto" w:fill="auto"/>
        <w:tabs>
          <w:tab w:val="left" w:pos="1962"/>
        </w:tabs>
        <w:ind w:left="1960" w:hanging="580"/>
        <w:jc w:val="both"/>
      </w:pPr>
      <w:r>
        <w:t>Tato rámcová dohoda nabývá platnosti dnem podp</w:t>
      </w:r>
      <w:r>
        <w:t>isu oprávněným zástupcem poslední smluvní strany.</w:t>
      </w:r>
    </w:p>
    <w:p w:rsidR="007D45F0" w:rsidRDefault="00FC1E4A">
      <w:pPr>
        <w:pStyle w:val="Zkladntext1"/>
        <w:numPr>
          <w:ilvl w:val="1"/>
          <w:numId w:val="2"/>
        </w:numPr>
        <w:shd w:val="clear" w:color="auto" w:fill="auto"/>
        <w:tabs>
          <w:tab w:val="left" w:pos="1962"/>
        </w:tabs>
        <w:spacing w:line="276" w:lineRule="auto"/>
        <w:ind w:left="1960" w:hanging="580"/>
        <w:jc w:val="both"/>
      </w:pPr>
      <w:r>
        <w:t>Tato rámcová dohoda nabývá účinnosti dnem podpisu oprávněným zástupcem poslední smluvní strany. Podléhá-li však tato rámcová dohoda povinnosti uveřejnění prostřednictvím registru smluv podle zákona o regist</w:t>
      </w:r>
      <w:r>
        <w:t>ru smluv, nenabude účinnosti dříve, než dnem jejího uveřejnění. Smluvní strany se budou vzájemně o nabytí účinnosti rámcové dohody neprodleně informovat.</w:t>
      </w:r>
    </w:p>
    <w:p w:rsidR="007D45F0" w:rsidRDefault="00FC1E4A">
      <w:pPr>
        <w:pStyle w:val="Zkladntext1"/>
        <w:numPr>
          <w:ilvl w:val="1"/>
          <w:numId w:val="2"/>
        </w:numPr>
        <w:shd w:val="clear" w:color="auto" w:fill="auto"/>
        <w:tabs>
          <w:tab w:val="left" w:pos="1962"/>
        </w:tabs>
        <w:ind w:left="1960" w:hanging="580"/>
        <w:jc w:val="both"/>
      </w:pPr>
      <w:r>
        <w:t>Tuto rámcovou dohodu je možné měnit či doplňovat pouze formou písemných vzestupně číslovaných dodatků.</w:t>
      </w:r>
    </w:p>
    <w:p w:rsidR="007D45F0" w:rsidRDefault="00FC1E4A">
      <w:pPr>
        <w:pStyle w:val="Zkladntext1"/>
        <w:numPr>
          <w:ilvl w:val="1"/>
          <w:numId w:val="2"/>
        </w:numPr>
        <w:shd w:val="clear" w:color="auto" w:fill="auto"/>
        <w:tabs>
          <w:tab w:val="left" w:pos="1962"/>
        </w:tabs>
        <w:spacing w:line="276" w:lineRule="auto"/>
        <w:ind w:left="1960" w:hanging="580"/>
        <w:jc w:val="both"/>
      </w:pPr>
      <w:r>
        <w:t>Smluvní strany se zavazují, že v případě sporů o obsah a plnění této rámcové dohody vynaloží veškeré úsilí, aby tyto spory byly vyřešeny smírnou cestou. Pokud nedojde k dohodě, je příslušný obecný soud žalované strany.</w:t>
      </w:r>
    </w:p>
    <w:p w:rsidR="007D45F0" w:rsidRDefault="00FC1E4A">
      <w:pPr>
        <w:pStyle w:val="Zkladntext1"/>
        <w:numPr>
          <w:ilvl w:val="1"/>
          <w:numId w:val="2"/>
        </w:numPr>
        <w:shd w:val="clear" w:color="auto" w:fill="auto"/>
        <w:tabs>
          <w:tab w:val="left" w:pos="1962"/>
        </w:tabs>
        <w:ind w:left="1960" w:hanging="580"/>
        <w:jc w:val="both"/>
        <w:sectPr w:rsidR="007D45F0">
          <w:footerReference w:type="default" r:id="rId9"/>
          <w:footerReference w:type="first" r:id="rId10"/>
          <w:pgSz w:w="11900" w:h="16840"/>
          <w:pgMar w:top="1408" w:right="1374" w:bottom="1236" w:left="4" w:header="0" w:footer="3" w:gutter="0"/>
          <w:pgNumType w:start="1"/>
          <w:cols w:space="720"/>
          <w:noEndnote/>
          <w:titlePg/>
          <w:docGrid w:linePitch="360"/>
        </w:sectPr>
      </w:pPr>
      <w:r>
        <w:t xml:space="preserve">Smluvní strany prohlašují, že tato rámcová dohoda je výrazem jejich vážné a svobodné vůle, je uzavřena nikoli v tísni za nápadně nevýhodných podmínek. </w:t>
      </w:r>
      <w:r>
        <w:t>Smluvní strany rámcovou dohodu přečetly, s jejím obsahem souhlasí a na důkaz toho připojují vlastnoruční podpisy.</w:t>
      </w:r>
    </w:p>
    <w:p w:rsidR="007D45F0" w:rsidRDefault="00FC1E4A">
      <w:pPr>
        <w:pStyle w:val="Zkladntext1"/>
        <w:shd w:val="clear" w:color="auto" w:fill="auto"/>
        <w:spacing w:after="140" w:line="240" w:lineRule="auto"/>
        <w:ind w:left="1380"/>
      </w:pPr>
      <w:r>
        <w:lastRenderedPageBreak/>
        <w:t>Přílohy:</w:t>
      </w:r>
    </w:p>
    <w:p w:rsidR="007D45F0" w:rsidRDefault="00FC1E4A">
      <w:pPr>
        <w:pStyle w:val="Zkladntext1"/>
        <w:numPr>
          <w:ilvl w:val="0"/>
          <w:numId w:val="6"/>
        </w:numPr>
        <w:shd w:val="clear" w:color="auto" w:fill="auto"/>
        <w:tabs>
          <w:tab w:val="left" w:pos="1836"/>
        </w:tabs>
        <w:spacing w:after="140" w:line="240" w:lineRule="auto"/>
        <w:ind w:left="1380"/>
      </w:pPr>
      <w:r>
        <w:t>Podrobná specifikace díla</w:t>
      </w:r>
    </w:p>
    <w:p w:rsidR="007D45F0" w:rsidRDefault="00FC1E4A">
      <w:pPr>
        <w:pStyle w:val="Zkladntext1"/>
        <w:numPr>
          <w:ilvl w:val="0"/>
          <w:numId w:val="6"/>
        </w:numPr>
        <w:shd w:val="clear" w:color="auto" w:fill="auto"/>
        <w:tabs>
          <w:tab w:val="left" w:pos="1836"/>
        </w:tabs>
        <w:spacing w:after="140" w:line="240" w:lineRule="auto"/>
        <w:ind w:left="1380"/>
      </w:pPr>
      <w:r>
        <w:t>Položkový rozpočet</w:t>
      </w:r>
    </w:p>
    <w:p w:rsidR="007D45F0" w:rsidRDefault="00FC1E4A">
      <w:pPr>
        <w:pStyle w:val="Zkladntext1"/>
        <w:numPr>
          <w:ilvl w:val="0"/>
          <w:numId w:val="6"/>
        </w:numPr>
        <w:shd w:val="clear" w:color="auto" w:fill="auto"/>
        <w:tabs>
          <w:tab w:val="left" w:pos="1836"/>
        </w:tabs>
        <w:spacing w:after="140" w:line="240" w:lineRule="auto"/>
        <w:ind w:left="1380"/>
      </w:pPr>
      <w:r>
        <w:t>Mapový zákres</w:t>
      </w:r>
    </w:p>
    <w:p w:rsidR="007D45F0" w:rsidRDefault="00FC1E4A">
      <w:pPr>
        <w:pStyle w:val="Zkladntext1"/>
        <w:numPr>
          <w:ilvl w:val="0"/>
          <w:numId w:val="6"/>
        </w:numPr>
        <w:shd w:val="clear" w:color="auto" w:fill="auto"/>
        <w:tabs>
          <w:tab w:val="left" w:pos="1836"/>
        </w:tabs>
        <w:spacing w:after="140" w:line="240" w:lineRule="auto"/>
        <w:ind w:left="1380"/>
      </w:pPr>
      <w:r>
        <w:t>Kontaktní osoby zhotovitele a objednatele</w:t>
      </w:r>
    </w:p>
    <w:p w:rsidR="007D45F0" w:rsidRDefault="00FC1E4A">
      <w:pPr>
        <w:spacing w:line="1" w:lineRule="exact"/>
      </w:pPr>
      <w:r>
        <w:rPr>
          <w:noProof/>
          <w:lang w:bidi="ar-SA"/>
        </w:rPr>
        <mc:AlternateContent>
          <mc:Choice Requires="wps">
            <w:drawing>
              <wp:anchor distT="723900" distB="3175" distL="0" distR="0" simplePos="0" relativeHeight="125829381" behindDoc="0" locked="0" layoutInCell="1" allowOverlap="1">
                <wp:simplePos x="0" y="0"/>
                <wp:positionH relativeFrom="page">
                  <wp:posOffset>880745</wp:posOffset>
                </wp:positionH>
                <wp:positionV relativeFrom="paragraph">
                  <wp:posOffset>723900</wp:posOffset>
                </wp:positionV>
                <wp:extent cx="1466215" cy="1708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466215" cy="170815"/>
                        </a:xfrm>
                        <a:prstGeom prst="rect">
                          <a:avLst/>
                        </a:prstGeom>
                        <a:noFill/>
                      </wps:spPr>
                      <wps:txbx>
                        <w:txbxContent>
                          <w:p w:rsidR="007D45F0" w:rsidRDefault="00FC1E4A">
                            <w:pPr>
                              <w:pStyle w:val="Zkladntext1"/>
                              <w:shd w:val="clear" w:color="auto" w:fill="auto"/>
                              <w:tabs>
                                <w:tab w:val="left" w:leader="dot" w:pos="2242"/>
                              </w:tabs>
                              <w:spacing w:after="0" w:line="240" w:lineRule="auto"/>
                            </w:pPr>
                            <w:r>
                              <w:t>V Praze, dne</w:t>
                            </w:r>
                            <w:r>
                              <w:tab/>
                            </w:r>
                          </w:p>
                        </w:txbxContent>
                      </wps:txbx>
                      <wps:bodyPr wrap="none" lIns="0" tIns="0" rIns="0" bIns="0"/>
                    </wps:wsp>
                  </a:graphicData>
                </a:graphic>
              </wp:anchor>
            </w:drawing>
          </mc:Choice>
          <mc:Fallback>
            <w:pict>
              <v:shape id="_x0000_s1033" type="#_x0000_t202" style="position:absolute;margin-left:69.349999999999994pt;margin-top:57.pt;width:115.45pt;height:13.449999999999999pt;z-index:-125829372;mso-wrap-distance-left:0;mso-wrap-distance-top:57.pt;mso-wrap-distance-right:0;mso-wrap-distance-bottom:0.25pt;mso-position-horizontal-relative:page" filled="f" stroked="f">
                <v:textbox inset="0,0,0,0">
                  <w:txbxContent>
                    <w:p>
                      <w:pPr>
                        <w:pStyle w:val="Style8"/>
                        <w:keepNext w:val="0"/>
                        <w:keepLines w:val="0"/>
                        <w:widowControl w:val="0"/>
                        <w:shd w:val="clear" w:color="auto" w:fill="auto"/>
                        <w:tabs>
                          <w:tab w:leader="dot" w:pos="2242"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Praze, dne</w:t>
                        <w:tab/>
                      </w:r>
                    </w:p>
                  </w:txbxContent>
                </v:textbox>
                <w10:wrap type="topAndBottom" anchorx="page"/>
              </v:shape>
            </w:pict>
          </mc:Fallback>
        </mc:AlternateContent>
      </w:r>
      <w:r>
        <w:rPr>
          <w:noProof/>
          <w:lang w:bidi="ar-SA"/>
        </w:rPr>
        <mc:AlternateContent>
          <mc:Choice Requires="wps">
            <w:drawing>
              <wp:anchor distT="723900" distB="0" distL="0" distR="0" simplePos="0" relativeHeight="125829383" behindDoc="0" locked="0" layoutInCell="1" allowOverlap="1">
                <wp:simplePos x="0" y="0"/>
                <wp:positionH relativeFrom="page">
                  <wp:posOffset>4892040</wp:posOffset>
                </wp:positionH>
                <wp:positionV relativeFrom="paragraph">
                  <wp:posOffset>723900</wp:posOffset>
                </wp:positionV>
                <wp:extent cx="1776730" cy="1739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776730" cy="173990"/>
                        </a:xfrm>
                        <a:prstGeom prst="rect">
                          <a:avLst/>
                        </a:prstGeom>
                        <a:noFill/>
                      </wps:spPr>
                      <wps:txbx>
                        <w:txbxContent>
                          <w:p w:rsidR="007D45F0" w:rsidRDefault="00FC1E4A">
                            <w:pPr>
                              <w:pStyle w:val="Zkladntext1"/>
                              <w:shd w:val="clear" w:color="auto" w:fill="auto"/>
                              <w:tabs>
                                <w:tab w:val="left" w:leader="dot" w:pos="2731"/>
                              </w:tabs>
                              <w:spacing w:after="0" w:line="240" w:lineRule="auto"/>
                            </w:pPr>
                            <w:r>
                              <w:t>V Rožnově p.</w:t>
                            </w:r>
                            <w:r>
                              <w:t xml:space="preserve"> R. dne</w:t>
                            </w:r>
                            <w:r>
                              <w:tab/>
                            </w:r>
                          </w:p>
                        </w:txbxContent>
                      </wps:txbx>
                      <wps:bodyPr wrap="none" lIns="0" tIns="0" rIns="0" bIns="0"/>
                    </wps:wsp>
                  </a:graphicData>
                </a:graphic>
              </wp:anchor>
            </w:drawing>
          </mc:Choice>
          <mc:Fallback>
            <w:pict>
              <v:shape id="_x0000_s1035" type="#_x0000_t202" style="position:absolute;margin-left:385.19999999999999pt;margin-top:57.pt;width:139.90000000000001pt;height:13.699999999999999pt;z-index:-125829370;mso-wrap-distance-left:0;mso-wrap-distance-top:57.pt;mso-wrap-distance-right:0;mso-position-horizontal-relative:page" filled="f" stroked="f">
                <v:textbox inset="0,0,0,0">
                  <w:txbxContent>
                    <w:p>
                      <w:pPr>
                        <w:pStyle w:val="Style8"/>
                        <w:keepNext w:val="0"/>
                        <w:keepLines w:val="0"/>
                        <w:widowControl w:val="0"/>
                        <w:shd w:val="clear" w:color="auto" w:fill="auto"/>
                        <w:tabs>
                          <w:tab w:leader="dot" w:pos="2731" w:val="left"/>
                        </w:tabs>
                        <w:bidi w:val="0"/>
                        <w:spacing w:before="0" w:after="0" w:line="240" w:lineRule="auto"/>
                        <w:ind w:left="0" w:right="0" w:firstLine="0"/>
                        <w:jc w:val="left"/>
                      </w:pPr>
                      <w:r>
                        <w:rPr>
                          <w:color w:val="000000"/>
                          <w:spacing w:val="0"/>
                          <w:w w:val="100"/>
                          <w:position w:val="0"/>
                          <w:shd w:val="clear" w:color="auto" w:fill="auto"/>
                          <w:lang w:val="cs-CZ" w:eastAsia="cs-CZ" w:bidi="cs-CZ"/>
                        </w:rPr>
                        <w:t>V Rožnově p. R. dne</w:t>
                        <w:tab/>
                      </w:r>
                    </w:p>
                  </w:txbxContent>
                </v:textbox>
                <w10:wrap type="topAndBottom" anchorx="page"/>
              </v:shape>
            </w:pict>
          </mc:Fallback>
        </mc:AlternateContent>
      </w:r>
    </w:p>
    <w:p w:rsidR="007D45F0" w:rsidRDefault="00FC1E4A">
      <w:pPr>
        <w:spacing w:line="1" w:lineRule="exact"/>
        <w:sectPr w:rsidR="007D45F0">
          <w:pgSz w:w="11900" w:h="16840"/>
          <w:pgMar w:top="1422" w:right="1374" w:bottom="1422" w:left="5" w:header="0" w:footer="3" w:gutter="0"/>
          <w:cols w:space="720"/>
          <w:noEndnote/>
          <w:docGrid w:linePitch="360"/>
        </w:sectPr>
      </w:pPr>
      <w:r>
        <w:rPr>
          <w:noProof/>
          <w:lang w:bidi="ar-SA"/>
        </w:rPr>
        <mc:AlternateContent>
          <mc:Choice Requires="wps">
            <w:drawing>
              <wp:anchor distT="1028700" distB="0" distL="0" distR="0" simplePos="0" relativeHeight="125829385" behindDoc="0" locked="0" layoutInCell="1" allowOverlap="1">
                <wp:simplePos x="0" y="0"/>
                <wp:positionH relativeFrom="page">
                  <wp:posOffset>887095</wp:posOffset>
                </wp:positionH>
                <wp:positionV relativeFrom="paragraph">
                  <wp:posOffset>1028700</wp:posOffset>
                </wp:positionV>
                <wp:extent cx="1923415" cy="1739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923415" cy="173990"/>
                        </a:xfrm>
                        <a:prstGeom prst="rect">
                          <a:avLst/>
                        </a:prstGeom>
                        <a:noFill/>
                      </wps:spPr>
                      <wps:txbx>
                        <w:txbxContent>
                          <w:p w:rsidR="007D45F0" w:rsidRDefault="00FC1E4A">
                            <w:pPr>
                              <w:pStyle w:val="Zkladntext1"/>
                              <w:shd w:val="clear" w:color="auto" w:fill="auto"/>
                              <w:spacing w:after="0" w:line="240" w:lineRule="auto"/>
                            </w:pPr>
                            <w:r>
                              <w:t>RNDr. František Pelc (objednatel)</w:t>
                            </w:r>
                          </w:p>
                        </w:txbxContent>
                      </wps:txbx>
                      <wps:bodyPr wrap="none" lIns="0" tIns="0" rIns="0" bIns="0"/>
                    </wps:wsp>
                  </a:graphicData>
                </a:graphic>
              </wp:anchor>
            </w:drawing>
          </mc:Choice>
          <mc:Fallback>
            <w:pict>
              <v:shape id="_x0000_s1037" type="#_x0000_t202" style="position:absolute;margin-left:69.849999999999994pt;margin-top:81.pt;width:151.44999999999999pt;height:13.699999999999999pt;z-index:-125829368;mso-wrap-distance-left:0;mso-wrap-distance-top:81.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RNDr. František Pelc (objednatel)</w:t>
                      </w:r>
                    </w:p>
                  </w:txbxContent>
                </v:textbox>
                <w10:wrap type="topAndBottom" anchorx="page"/>
              </v:shape>
            </w:pict>
          </mc:Fallback>
        </mc:AlternateContent>
      </w:r>
      <w:r>
        <w:rPr>
          <w:noProof/>
          <w:lang w:bidi="ar-SA"/>
        </w:rPr>
        <mc:AlternateContent>
          <mc:Choice Requires="wps">
            <w:drawing>
              <wp:anchor distT="1028700" distB="0" distL="0" distR="0" simplePos="0" relativeHeight="125829387" behindDoc="0" locked="0" layoutInCell="1" allowOverlap="1">
                <wp:simplePos x="0" y="0"/>
                <wp:positionH relativeFrom="page">
                  <wp:posOffset>4810125</wp:posOffset>
                </wp:positionH>
                <wp:positionV relativeFrom="paragraph">
                  <wp:posOffset>1028700</wp:posOffset>
                </wp:positionV>
                <wp:extent cx="1862455" cy="1739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862455" cy="173990"/>
                        </a:xfrm>
                        <a:prstGeom prst="rect">
                          <a:avLst/>
                        </a:prstGeom>
                        <a:noFill/>
                      </wps:spPr>
                      <wps:txbx>
                        <w:txbxContent>
                          <w:p w:rsidR="007D45F0" w:rsidRDefault="00FC1E4A">
                            <w:pPr>
                              <w:pStyle w:val="Zkladntext1"/>
                              <w:shd w:val="clear" w:color="auto" w:fill="auto"/>
                              <w:spacing w:after="0" w:line="240" w:lineRule="auto"/>
                            </w:pPr>
                            <w:r>
                              <w:t>Ing. Vojtěch Bajer (poskytovatel)</w:t>
                            </w:r>
                          </w:p>
                        </w:txbxContent>
                      </wps:txbx>
                      <wps:bodyPr wrap="none" lIns="0" tIns="0" rIns="0" bIns="0"/>
                    </wps:wsp>
                  </a:graphicData>
                </a:graphic>
              </wp:anchor>
            </w:drawing>
          </mc:Choice>
          <mc:Fallback>
            <w:pict>
              <v:shape id="_x0000_s1039" type="#_x0000_t202" style="position:absolute;margin-left:378.75pt;margin-top:81.pt;width:146.65000000000001pt;height:13.699999999999999pt;z-index:-125829366;mso-wrap-distance-left:0;mso-wrap-distance-top:81.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Vojtěch Bajer (poskytovatel)</w:t>
                      </w:r>
                    </w:p>
                  </w:txbxContent>
                </v:textbox>
                <w10:wrap type="topAndBottom" anchorx="page"/>
              </v:shape>
            </w:pict>
          </mc:Fallback>
        </mc:AlternateContent>
      </w:r>
    </w:p>
    <w:p w:rsidR="007D45F0" w:rsidRDefault="00FC1E4A">
      <w:pPr>
        <w:pStyle w:val="Zkladntext20"/>
        <w:shd w:val="clear" w:color="auto" w:fill="auto"/>
        <w:spacing w:after="480"/>
        <w:jc w:val="both"/>
        <w:rPr>
          <w:sz w:val="24"/>
          <w:szCs w:val="24"/>
        </w:rPr>
      </w:pPr>
      <w:r>
        <w:rPr>
          <w:b/>
          <w:bCs/>
          <w:sz w:val="24"/>
          <w:szCs w:val="24"/>
          <w:u w:val="single"/>
        </w:rPr>
        <w:lastRenderedPageBreak/>
        <w:t>Příloha č. 1 - Podrobná specifikace díla část 1 - Jablunkovsko</w:t>
      </w:r>
    </w:p>
    <w:p w:rsidR="007D45F0" w:rsidRDefault="00FC1E4A">
      <w:pPr>
        <w:pStyle w:val="Zkladntext20"/>
        <w:shd w:val="clear" w:color="auto" w:fill="auto"/>
        <w:spacing w:after="240"/>
        <w:ind w:left="1440" w:hanging="1440"/>
        <w:jc w:val="both"/>
      </w:pPr>
      <w:r>
        <w:rPr>
          <w:b/>
          <w:bCs/>
        </w:rPr>
        <w:t xml:space="preserve">Kód LE 04b </w:t>
      </w:r>
      <w:r>
        <w:rPr>
          <w:b/>
          <w:bCs/>
          <w:i/>
          <w:iCs/>
        </w:rPr>
        <w:t>Nátěr terminálů jedle a nedostatečně zastoupených listnáčů repelenty proti</w:t>
      </w:r>
      <w:r>
        <w:rPr>
          <w:b/>
          <w:bCs/>
          <w:i/>
          <w:iCs/>
        </w:rPr>
        <w:t xml:space="preserve"> okusu zvěří</w:t>
      </w:r>
    </w:p>
    <w:p w:rsidR="007D45F0" w:rsidRDefault="00FC1E4A">
      <w:pPr>
        <w:pStyle w:val="Zkladntext20"/>
        <w:shd w:val="clear" w:color="auto" w:fill="auto"/>
        <w:jc w:val="both"/>
      </w:pPr>
      <w:r>
        <w:t>Jedná se o nátěr terminálních vrcholů jedle ze skupinových podsadeb a rozptýleného přirozeného zmlazení a listnáčů (javoru, jeřábu, třešně, jilmu) z přirozené obnovy. Lokality jsou hůře dostupné, převážně na svazích, práce zahrnuje časově náro</w:t>
      </w:r>
      <w:r>
        <w:t>čné vyhledávání semenáčů v přirozených lesích s ležícím tlejícím dřevem. Opatření bude provedeno dle standardu péče o přírodu a krajinu pro lesní porosty, který vydala AOPK ČR (označení SPPK D02).</w:t>
      </w:r>
    </w:p>
    <w:p w:rsidR="007D45F0" w:rsidRDefault="00FC1E4A">
      <w:pPr>
        <w:pStyle w:val="Zkladntext20"/>
        <w:shd w:val="clear" w:color="auto" w:fill="auto"/>
        <w:spacing w:after="420"/>
        <w:jc w:val="both"/>
      </w:pPr>
      <w:r>
        <w:rPr>
          <w:i/>
          <w:iCs/>
        </w:rPr>
        <w:t>Celkový rozsah ošetřovaných semenáčů a sazenic bude cca 140</w:t>
      </w:r>
      <w:r>
        <w:rPr>
          <w:i/>
          <w:iCs/>
        </w:rPr>
        <w:t xml:space="preserve"> 000 ks jedinců.</w:t>
      </w:r>
    </w:p>
    <w:p w:rsidR="007D45F0" w:rsidRDefault="00FC1E4A">
      <w:pPr>
        <w:pStyle w:val="Zkladntext20"/>
        <w:shd w:val="clear" w:color="auto" w:fill="auto"/>
        <w:spacing w:after="240"/>
        <w:jc w:val="both"/>
      </w:pPr>
      <w:r>
        <w:rPr>
          <w:b/>
          <w:bCs/>
        </w:rPr>
        <w:t>Kód LE 04a Nátěr kmenů repelenty proti loupání</w:t>
      </w:r>
    </w:p>
    <w:p w:rsidR="007D45F0" w:rsidRDefault="00FC1E4A">
      <w:pPr>
        <w:pStyle w:val="Zkladntext20"/>
        <w:numPr>
          <w:ilvl w:val="0"/>
          <w:numId w:val="7"/>
        </w:numPr>
        <w:shd w:val="clear" w:color="auto" w:fill="auto"/>
        <w:tabs>
          <w:tab w:val="left" w:pos="723"/>
        </w:tabs>
        <w:spacing w:after="240"/>
        <w:ind w:firstLine="440"/>
        <w:jc w:val="both"/>
      </w:pPr>
      <w:r>
        <w:rPr>
          <w:b/>
          <w:bCs/>
          <w:i/>
          <w:iCs/>
        </w:rPr>
        <w:t>nátěr repelentem Wobra</w:t>
      </w:r>
    </w:p>
    <w:p w:rsidR="007D45F0" w:rsidRDefault="00FC1E4A">
      <w:pPr>
        <w:pStyle w:val="Zkladntext20"/>
        <w:shd w:val="clear" w:color="auto" w:fill="auto"/>
        <w:jc w:val="both"/>
      </w:pPr>
      <w:r>
        <w:t xml:space="preserve">Nejperspektivnější jedle </w:t>
      </w:r>
      <w:r>
        <w:rPr>
          <w:b/>
          <w:bCs/>
        </w:rPr>
        <w:t xml:space="preserve">vyšší než 2 m </w:t>
      </w:r>
      <w:r>
        <w:t>budou ošetřeny proti ohryzu a loupání kmínků repelentním přípravkem Wobra. Natřeny budou kmínky i přesleny větví. Jedle nebudou od</w:t>
      </w:r>
      <w:r>
        <w:t>větvovány, aby nedošlo ke snížení jejich vitality ztrátou asimilačního aparátu - rostou v zástinu mateřského porostu. Jedná se o špatně dostupné lokality s jedlemi rozptýlenými ve fragmentech přirozených lesů ponechaných samovolnému vývoji. Opatření bude p</w:t>
      </w:r>
      <w:r>
        <w:t>rovedeno dle standardu péče o přírodu a krajinu pro lesní porosty, který vydala AOPK ČR (označení SPPK D02).</w:t>
      </w:r>
    </w:p>
    <w:p w:rsidR="007D45F0" w:rsidRDefault="00FC1E4A">
      <w:pPr>
        <w:pStyle w:val="Zkladntext20"/>
        <w:shd w:val="clear" w:color="auto" w:fill="auto"/>
        <w:spacing w:after="240"/>
        <w:jc w:val="both"/>
      </w:pPr>
      <w:r>
        <w:rPr>
          <w:i/>
          <w:iCs/>
        </w:rPr>
        <w:t>Celkově bude takto ošetřeno cca 100 ks jedlí.</w:t>
      </w:r>
    </w:p>
    <w:p w:rsidR="007D45F0" w:rsidRDefault="00FC1E4A">
      <w:pPr>
        <w:pStyle w:val="Zkladntext20"/>
        <w:numPr>
          <w:ilvl w:val="0"/>
          <w:numId w:val="7"/>
        </w:numPr>
        <w:shd w:val="clear" w:color="auto" w:fill="auto"/>
        <w:tabs>
          <w:tab w:val="left" w:pos="723"/>
        </w:tabs>
        <w:spacing w:after="180"/>
        <w:ind w:firstLine="440"/>
        <w:jc w:val="both"/>
      </w:pPr>
      <w:r>
        <w:rPr>
          <w:b/>
          <w:bCs/>
          <w:i/>
          <w:iCs/>
        </w:rPr>
        <w:t>nátěr repelentem Stopkus</w:t>
      </w:r>
    </w:p>
    <w:p w:rsidR="007D45F0" w:rsidRDefault="00FC1E4A">
      <w:pPr>
        <w:pStyle w:val="Zkladntext20"/>
        <w:shd w:val="clear" w:color="auto" w:fill="auto"/>
        <w:spacing w:line="259" w:lineRule="auto"/>
        <w:jc w:val="both"/>
      </w:pPr>
      <w:r>
        <w:t>Přípravkem Stopkus budou natírány kmínky menších rozptýleně rostoucích jedlí</w:t>
      </w:r>
      <w:r>
        <w:t xml:space="preserve"> převážně z přirozené obnovy s výškou cca </w:t>
      </w:r>
      <w:r>
        <w:rPr>
          <w:b/>
          <w:bCs/>
        </w:rPr>
        <w:t>od 1 m do 2 m</w:t>
      </w:r>
      <w:r>
        <w:t>, a to proti vytloukání paroží jelení a srnčí zvěře. Modrým repelentním přípravkem budou natřeny kmínky i přesleny větví. Jedná se o špatně přístupné svažité lokality.</w:t>
      </w:r>
    </w:p>
    <w:p w:rsidR="007D45F0" w:rsidRDefault="00FC1E4A">
      <w:pPr>
        <w:pStyle w:val="Zkladntext20"/>
        <w:shd w:val="clear" w:color="auto" w:fill="auto"/>
        <w:spacing w:after="420" w:line="259" w:lineRule="auto"/>
        <w:jc w:val="both"/>
      </w:pPr>
      <w:r>
        <w:rPr>
          <w:i/>
          <w:iCs/>
        </w:rPr>
        <w:t>Celkově bude takto ošetřeno cca 1</w:t>
      </w:r>
      <w:r>
        <w:rPr>
          <w:i/>
          <w:iCs/>
        </w:rPr>
        <w:t>00 ks jedlí.</w:t>
      </w:r>
    </w:p>
    <w:p w:rsidR="007D45F0" w:rsidRDefault="00FC1E4A">
      <w:pPr>
        <w:pStyle w:val="Zkladntext20"/>
        <w:shd w:val="clear" w:color="auto" w:fill="auto"/>
        <w:spacing w:after="240"/>
        <w:jc w:val="both"/>
      </w:pPr>
      <w:r>
        <w:rPr>
          <w:b/>
          <w:bCs/>
        </w:rPr>
        <w:t>Kód LE 16a Instalace trvalé individuální ochrany ze svařovaného pletiva</w:t>
      </w:r>
    </w:p>
    <w:p w:rsidR="007D45F0" w:rsidRDefault="00FC1E4A">
      <w:pPr>
        <w:pStyle w:val="Zkladntext20"/>
        <w:shd w:val="clear" w:color="auto" w:fill="auto"/>
        <w:spacing w:after="240"/>
        <w:jc w:val="both"/>
      </w:pPr>
      <w:r>
        <w:t xml:space="preserve">Nové oplůtky v NPR Mionší budou postaveny k ochraně rozptýleně rostoucích jedlí z přirozené obnovy, které svou výškou již odrostly nižším kovovým klecím a také v místech, </w:t>
      </w:r>
      <w:r>
        <w:t>kde byly v minulosti již tyto oplůtky instalovány, ale podlehly rozpadu (uhnilé smrkové kůly a zrezivělé pletivo). Nové oplůtky budou označeny kovovými štítky pro další evidenci a sledování vývoje jedlí.</w:t>
      </w:r>
    </w:p>
    <w:p w:rsidR="007D45F0" w:rsidRDefault="00FC1E4A">
      <w:pPr>
        <w:pStyle w:val="Zkladntext20"/>
        <w:shd w:val="clear" w:color="auto" w:fill="auto"/>
        <w:jc w:val="both"/>
      </w:pPr>
      <w:r>
        <w:rPr>
          <w:b/>
          <w:bCs/>
          <w:i/>
          <w:iCs/>
        </w:rPr>
        <w:t xml:space="preserve">Popis oplůtku: </w:t>
      </w:r>
      <w:r>
        <w:rPr>
          <w:i/>
          <w:iCs/>
        </w:rPr>
        <w:t xml:space="preserve">částečně samonosné svařované pletivo </w:t>
      </w:r>
      <w:r>
        <w:rPr>
          <w:i/>
          <w:iCs/>
        </w:rPr>
        <w:t>o výšce 1,5 m a obvodu 2 m bude přichyceno ke dvěma dubovým hranolům o rozměrech 200 cm x 5 cm x 5 cm. Dubové hranoly budou zatlučeny do země minimálně 30 cm tak, aby v budoucnu po uhnití mohly být opětovně zatlučeny.</w:t>
      </w:r>
    </w:p>
    <w:p w:rsidR="007D45F0" w:rsidRDefault="00FC1E4A">
      <w:pPr>
        <w:pStyle w:val="Zkladntext20"/>
        <w:shd w:val="clear" w:color="auto" w:fill="auto"/>
        <w:spacing w:after="420"/>
        <w:jc w:val="both"/>
      </w:pPr>
      <w:r>
        <w:rPr>
          <w:i/>
          <w:iCs/>
        </w:rPr>
        <w:t xml:space="preserve">Celkově bude takto instalováno cca 25 </w:t>
      </w:r>
      <w:r>
        <w:rPr>
          <w:i/>
          <w:iCs/>
        </w:rPr>
        <w:t>ks oplůtků.</w:t>
      </w:r>
    </w:p>
    <w:p w:rsidR="007D45F0" w:rsidRDefault="00FC1E4A">
      <w:pPr>
        <w:pStyle w:val="Zkladntext20"/>
        <w:shd w:val="clear" w:color="auto" w:fill="auto"/>
        <w:spacing w:after="180"/>
        <w:jc w:val="both"/>
      </w:pPr>
      <w:r>
        <w:rPr>
          <w:b/>
          <w:bCs/>
        </w:rPr>
        <w:t xml:space="preserve">Kód LE 17f </w:t>
      </w:r>
      <w:r>
        <w:rPr>
          <w:b/>
          <w:bCs/>
          <w:i/>
          <w:iCs/>
        </w:rPr>
        <w:t>Výsadba, dosadba, podsadba, JD, prostokořenné, 26 - 50 cm</w:t>
      </w:r>
    </w:p>
    <w:p w:rsidR="007D45F0" w:rsidRDefault="00FC1E4A">
      <w:pPr>
        <w:pStyle w:val="Zkladntext20"/>
        <w:shd w:val="clear" w:color="auto" w:fill="auto"/>
        <w:spacing w:after="160" w:line="259" w:lineRule="auto"/>
        <w:jc w:val="both"/>
      </w:pPr>
      <w:r>
        <w:t>Práce budou prováděny na špatně dostupných lokalitách v kulturních smrčinách samovolně hynoucích v důsledku poškození václavkou a kůrovci, nebo v bučinách na prudkých kamenitých svazích. Podsadba bude prováděna hlavně na světlinách vznikajících v okolí usc</w:t>
      </w:r>
      <w:r>
        <w:t>hlých, vyvrácených či zlomených smrků. Prostokořenné sazenice se budou vysazovat jamkovou sadbou v mezerách mimo přirozené zmlazení. Jedle budou vysazovány v hloučcích po 12, resp. 13 kusech v hustém sponu cca 60 cm od sebe tak, aby sazenice uvnitř hloučku</w:t>
      </w:r>
      <w:r>
        <w:t xml:space="preserve"> byla do budoucna co nejvíce chráněná proti poškození zvěří. Hloučky vysazených jedlí budou od sebe vzdáleny nejméně 5 m.</w:t>
      </w:r>
    </w:p>
    <w:p w:rsidR="007D45F0" w:rsidRDefault="00FC1E4A">
      <w:pPr>
        <w:pStyle w:val="Zkladntext20"/>
        <w:shd w:val="clear" w:color="auto" w:fill="auto"/>
        <w:ind w:left="860"/>
      </w:pPr>
      <w:r>
        <w:t xml:space="preserve">K výsadbě </w:t>
      </w:r>
      <w:proofErr w:type="gramStart"/>
      <w:r>
        <w:t>bude</w:t>
      </w:r>
      <w:proofErr w:type="gramEnd"/>
      <w:r>
        <w:t xml:space="preserve"> použito autochtonního sadebního materiálu pěstovaného alternativním způsobem v lesní školce na základě dlouhodobé dohod</w:t>
      </w:r>
      <w:r>
        <w:t xml:space="preserve">y se Správou CHKO </w:t>
      </w:r>
      <w:proofErr w:type="gramStart"/>
      <w:r>
        <w:t>Beskydy</w:t>
      </w:r>
      <w:proofErr w:type="gramEnd"/>
      <w:r>
        <w:t xml:space="preserve">. Vysazovány budou </w:t>
      </w:r>
      <w:r>
        <w:lastRenderedPageBreak/>
        <w:t>prostokořenné jedlové sazenice s výškou nadzemní části přesahující 25 cm a s tloušťkou kořenového krčku přesahující 5 mm.</w:t>
      </w:r>
    </w:p>
    <w:p w:rsidR="007D45F0" w:rsidRDefault="00FC1E4A">
      <w:pPr>
        <w:pStyle w:val="Zkladntext20"/>
        <w:shd w:val="clear" w:color="auto" w:fill="auto"/>
        <w:spacing w:after="160"/>
        <w:ind w:firstLine="860"/>
      </w:pPr>
      <w:r>
        <w:rPr>
          <w:i/>
          <w:iCs/>
        </w:rPr>
        <w:t>Celkem bude vysazeno cca 9 500 ks jedlí.</w:t>
      </w:r>
    </w:p>
    <w:p w:rsidR="007D45F0" w:rsidRDefault="00FC1E4A">
      <w:pPr>
        <w:pStyle w:val="Zkladntext20"/>
        <w:shd w:val="clear" w:color="auto" w:fill="auto"/>
        <w:spacing w:line="259" w:lineRule="auto"/>
        <w:ind w:firstLine="860"/>
      </w:pPr>
      <w:r>
        <w:rPr>
          <w:b/>
          <w:bCs/>
        </w:rPr>
        <w:t xml:space="preserve">Kód LE 17j </w:t>
      </w:r>
      <w:r>
        <w:rPr>
          <w:b/>
          <w:bCs/>
          <w:i/>
          <w:iCs/>
        </w:rPr>
        <w:t xml:space="preserve">Výsadba, dosadba, podsadba, listnaté, </w:t>
      </w:r>
      <w:r>
        <w:rPr>
          <w:b/>
          <w:bCs/>
          <w:i/>
          <w:iCs/>
        </w:rPr>
        <w:t>prostokořenné: 36 - 50 cm</w:t>
      </w:r>
    </w:p>
    <w:p w:rsidR="007D45F0" w:rsidRDefault="00FC1E4A">
      <w:pPr>
        <w:pStyle w:val="Zkladntext20"/>
        <w:shd w:val="clear" w:color="auto" w:fill="auto"/>
        <w:spacing w:line="259" w:lineRule="auto"/>
        <w:ind w:left="860"/>
        <w:jc w:val="both"/>
      </w:pPr>
      <w:r>
        <w:t>Práce budou prováděny na špatně dostupných lokalitách v kulturních smrčinách samovolně hynoucích v důsledku poškození václavkou a kůrovci. Vysazováno bude do oplocenek, nebo formou podsadeb do světlin, vznikajících v okolí uschlýc</w:t>
      </w:r>
      <w:r>
        <w:t>h, vyvrácených či zlomených smrků. Prostokořenné sazenice se budou vysazovat jamkovou sadbou v mezerách mimo přirozené zmlazení. Buky a javory budou vysazovány v hloučcích po 10 - 50 kusech podle velikosti dané plochy, ve sponu cca 100 x 100 cm, hloučky bu</w:t>
      </w:r>
      <w:r>
        <w:t xml:space="preserve">dou od sebe vzdáleny nejméně 5 m. K výsadbě </w:t>
      </w:r>
      <w:proofErr w:type="gramStart"/>
      <w:r>
        <w:t>bude</w:t>
      </w:r>
      <w:proofErr w:type="gramEnd"/>
      <w:r>
        <w:t xml:space="preserve"> použito autochtonního sadebního materiálu pěstovaného alternativním způsobem v lesní školce na základě dlouhodobé dohody se Správou CHKO </w:t>
      </w:r>
      <w:proofErr w:type="gramStart"/>
      <w:r>
        <w:t>Beskydy</w:t>
      </w:r>
      <w:proofErr w:type="gramEnd"/>
      <w:r>
        <w:t>.</w:t>
      </w:r>
    </w:p>
    <w:p w:rsidR="007D45F0" w:rsidRDefault="00FC1E4A">
      <w:pPr>
        <w:pStyle w:val="Zkladntext20"/>
        <w:shd w:val="clear" w:color="auto" w:fill="auto"/>
        <w:spacing w:after="420" w:line="259" w:lineRule="auto"/>
        <w:ind w:left="860"/>
      </w:pPr>
      <w:r>
        <w:rPr>
          <w:i/>
          <w:iCs/>
        </w:rPr>
        <w:t>Celkem bude vysazeno cca 500 ks buku, javoru nebo třešně.</w:t>
      </w:r>
    </w:p>
    <w:p w:rsidR="007D45F0" w:rsidRDefault="00FC1E4A">
      <w:pPr>
        <w:pStyle w:val="Zkladntext20"/>
        <w:shd w:val="clear" w:color="auto" w:fill="auto"/>
        <w:spacing w:after="160"/>
        <w:ind w:left="860"/>
        <w:rPr>
          <w:sz w:val="24"/>
          <w:szCs w:val="24"/>
        </w:rPr>
      </w:pPr>
      <w:r>
        <w:rPr>
          <w:b/>
          <w:bCs/>
          <w:sz w:val="24"/>
          <w:szCs w:val="24"/>
        </w:rPr>
        <w:t>Nen</w:t>
      </w:r>
      <w:r>
        <w:rPr>
          <w:b/>
          <w:bCs/>
          <w:sz w:val="24"/>
          <w:szCs w:val="24"/>
        </w:rPr>
        <w:t>í-li výše uvedeno jinak, budou opatření vedoucí ke zlepšení druhové a prostorové struktury lesa probíhat dle Standardu péče o přírodu a krajinu č. SPPK D 02 005:2014.</w:t>
      </w:r>
      <w:r>
        <w:br w:type="page"/>
      </w:r>
    </w:p>
    <w:p w:rsidR="007D45F0" w:rsidRDefault="00FC1E4A">
      <w:pPr>
        <w:pStyle w:val="Nadpis40"/>
        <w:keepNext/>
        <w:keepLines/>
        <w:shd w:val="clear" w:color="auto" w:fill="auto"/>
        <w:spacing w:after="0"/>
      </w:pPr>
      <w:bookmarkStart w:id="28" w:name="bookmark28"/>
      <w:bookmarkStart w:id="29" w:name="bookmark29"/>
      <w:r>
        <w:lastRenderedPageBreak/>
        <w:t>Lesnické práce na území EVL Beskydy - rok 2023</w:t>
      </w:r>
      <w:bookmarkEnd w:id="28"/>
      <w:bookmarkEnd w:id="29"/>
    </w:p>
    <w:p w:rsidR="007D45F0" w:rsidRDefault="00FC1E4A">
      <w:pPr>
        <w:pStyle w:val="Nadpis40"/>
        <w:keepNext/>
        <w:keepLines/>
        <w:shd w:val="clear" w:color="auto" w:fill="auto"/>
        <w:spacing w:after="0"/>
      </w:pPr>
      <w:bookmarkStart w:id="30" w:name="bookmark30"/>
      <w:bookmarkStart w:id="31" w:name="bookmark31"/>
      <w:r>
        <w:t>Část Jablunkovsko</w:t>
      </w:r>
      <w:bookmarkEnd w:id="30"/>
      <w:bookmarkEnd w:id="31"/>
    </w:p>
    <w:p w:rsidR="007D45F0" w:rsidRDefault="00FC1E4A">
      <w:pPr>
        <w:pStyle w:val="Nadpis40"/>
        <w:keepNext/>
        <w:keepLines/>
        <w:shd w:val="clear" w:color="auto" w:fill="auto"/>
        <w:spacing w:after="320"/>
      </w:pPr>
      <w:r>
        <w:rPr>
          <w:noProof/>
          <w:lang w:bidi="ar-SA"/>
        </w:rPr>
        <mc:AlternateContent>
          <mc:Choice Requires="wps">
            <w:drawing>
              <wp:anchor distT="0" distB="0" distL="114300" distR="114300" simplePos="0" relativeHeight="125829389" behindDoc="0" locked="0" layoutInCell="1" allowOverlap="1">
                <wp:simplePos x="0" y="0"/>
                <wp:positionH relativeFrom="page">
                  <wp:posOffset>4431030</wp:posOffset>
                </wp:positionH>
                <wp:positionV relativeFrom="paragraph">
                  <wp:posOffset>12700</wp:posOffset>
                </wp:positionV>
                <wp:extent cx="1057910" cy="24701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057910" cy="247015"/>
                        </a:xfrm>
                        <a:prstGeom prst="rect">
                          <a:avLst/>
                        </a:prstGeom>
                        <a:noFill/>
                      </wps:spPr>
                      <wps:txbx>
                        <w:txbxContent>
                          <w:p w:rsidR="007D45F0" w:rsidRDefault="00FC1E4A">
                            <w:pPr>
                              <w:pStyle w:val="Jin0"/>
                              <w:pBdr>
                                <w:top w:val="single" w:sz="4" w:space="0" w:color="auto"/>
                                <w:left w:val="single" w:sz="4" w:space="0" w:color="auto"/>
                                <w:bottom w:val="single" w:sz="4" w:space="0" w:color="auto"/>
                                <w:right w:val="single" w:sz="4" w:space="0" w:color="auto"/>
                              </w:pBdr>
                              <w:shd w:val="clear" w:color="auto" w:fill="auto"/>
                              <w:spacing w:after="0" w:line="240" w:lineRule="auto"/>
                              <w:rPr>
                                <w:sz w:val="28"/>
                                <w:szCs w:val="28"/>
                              </w:rPr>
                            </w:pPr>
                            <w:r>
                              <w:rPr>
                                <w:rFonts w:ascii="Calibri" w:eastAsia="Calibri" w:hAnsi="Calibri" w:cs="Calibri"/>
                                <w:b/>
                                <w:bCs/>
                                <w:sz w:val="28"/>
                                <w:szCs w:val="28"/>
                              </w:rPr>
                              <w:t>581 000,00 Kč</w:t>
                            </w:r>
                          </w:p>
                        </w:txbxContent>
                      </wps:txbx>
                      <wps:bodyPr wrap="none" lIns="0" tIns="0" rIns="0" bIns="0"/>
                    </wps:wsp>
                  </a:graphicData>
                </a:graphic>
              </wp:anchor>
            </w:drawing>
          </mc:Choice>
          <mc:Fallback>
            <w:pict>
              <v:shape id="_x0000_s1041" type="#_x0000_t202" style="position:absolute;margin-left:348.89999999999998pt;margin-top:1.pt;width:83.299999999999997pt;height:19.449999999999999pt;z-index:-125829364;mso-wrap-distance-left:9.pt;mso-wrap-distance-right:9.pt;mso-position-horizontal-relative:page" filled="f" stroked="f">
                <v:textbox inset="0,0,0,0">
                  <w:txbxContent>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rPr>
                          <w:sz w:val="28"/>
                          <w:szCs w:val="28"/>
                        </w:rPr>
                      </w:pPr>
                      <w:r>
                        <w:rPr>
                          <w:rFonts w:ascii="Calibri" w:eastAsia="Calibri" w:hAnsi="Calibri" w:cs="Calibri"/>
                          <w:b/>
                          <w:bCs/>
                          <w:color w:val="000000"/>
                          <w:spacing w:val="0"/>
                          <w:w w:val="100"/>
                          <w:position w:val="0"/>
                          <w:sz w:val="28"/>
                          <w:szCs w:val="28"/>
                          <w:shd w:val="clear" w:color="auto" w:fill="auto"/>
                          <w:lang w:val="cs-CZ" w:eastAsia="cs-CZ" w:bidi="cs-CZ"/>
                        </w:rPr>
                        <w:t>581 000,00 Kč</w:t>
                      </w:r>
                    </w:p>
                  </w:txbxContent>
                </v:textbox>
                <w10:wrap type="square" side="left" anchorx="page"/>
              </v:shape>
            </w:pict>
          </mc:Fallback>
        </mc:AlternateContent>
      </w:r>
      <w:bookmarkStart w:id="32" w:name="bookmark32"/>
      <w:bookmarkStart w:id="33" w:name="bookmark33"/>
      <w:r>
        <w:t>Maximální hodnota bez DPH:</w:t>
      </w:r>
      <w:bookmarkEnd w:id="32"/>
      <w:bookmarkEnd w:id="33"/>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758"/>
        <w:gridCol w:w="874"/>
        <w:gridCol w:w="3581"/>
        <w:gridCol w:w="758"/>
        <w:gridCol w:w="1075"/>
        <w:gridCol w:w="1550"/>
        <w:gridCol w:w="1685"/>
      </w:tblGrid>
      <w:tr w:rsidR="007D45F0">
        <w:tblPrEx>
          <w:tblCellMar>
            <w:top w:w="0" w:type="dxa"/>
            <w:bottom w:w="0" w:type="dxa"/>
          </w:tblCellMar>
        </w:tblPrEx>
        <w:trPr>
          <w:trHeight w:hRule="exact" w:val="610"/>
          <w:jc w:val="center"/>
        </w:trPr>
        <w:tc>
          <w:tcPr>
            <w:tcW w:w="10828" w:type="dxa"/>
            <w:gridSpan w:val="8"/>
            <w:tcBorders>
              <w:top w:val="single" w:sz="4" w:space="0" w:color="auto"/>
              <w:left w:val="single" w:sz="4" w:space="0" w:color="auto"/>
              <w:right w:val="single" w:sz="4" w:space="0" w:color="auto"/>
            </w:tcBorders>
            <w:shd w:val="clear" w:color="auto" w:fill="EAEEE7"/>
            <w:vAlign w:val="bottom"/>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Část: Jablunkovsko</w:t>
            </w:r>
          </w:p>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Zhotovitel: Salamandr s.r.o.</w:t>
            </w:r>
          </w:p>
        </w:tc>
      </w:tr>
      <w:tr w:rsidR="007D45F0">
        <w:tblPrEx>
          <w:tblCellMar>
            <w:top w:w="0" w:type="dxa"/>
            <w:bottom w:w="0" w:type="dxa"/>
          </w:tblCellMar>
        </w:tblPrEx>
        <w:trPr>
          <w:trHeight w:hRule="exact" w:val="581"/>
          <w:jc w:val="center"/>
        </w:trPr>
        <w:tc>
          <w:tcPr>
            <w:tcW w:w="10828" w:type="dxa"/>
            <w:gridSpan w:val="8"/>
            <w:tcBorders>
              <w:top w:val="single" w:sz="4" w:space="0" w:color="auto"/>
              <w:left w:val="single" w:sz="4" w:space="0" w:color="auto"/>
              <w:right w:val="single" w:sz="4" w:space="0" w:color="auto"/>
            </w:tcBorders>
            <w:shd w:val="clear" w:color="auto" w:fill="FFFFFF"/>
            <w:vAlign w:val="bottom"/>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Seznam opatření a činností</w:t>
            </w:r>
          </w:p>
        </w:tc>
      </w:tr>
      <w:tr w:rsidR="007D45F0">
        <w:tblPrEx>
          <w:tblCellMar>
            <w:top w:w="0" w:type="dxa"/>
            <w:bottom w:w="0" w:type="dxa"/>
          </w:tblCellMar>
        </w:tblPrEx>
        <w:trPr>
          <w:trHeight w:hRule="exact" w:val="581"/>
          <w:jc w:val="center"/>
        </w:trPr>
        <w:tc>
          <w:tcPr>
            <w:tcW w:w="547" w:type="dxa"/>
            <w:tcBorders>
              <w:top w:val="single" w:sz="4" w:space="0" w:color="auto"/>
              <w:left w:val="single" w:sz="4" w:space="0" w:color="auto"/>
            </w:tcBorders>
            <w:shd w:val="clear" w:color="auto" w:fill="BFBFBF"/>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Č.</w:t>
            </w:r>
          </w:p>
        </w:tc>
        <w:tc>
          <w:tcPr>
            <w:tcW w:w="758" w:type="dxa"/>
            <w:tcBorders>
              <w:top w:val="single" w:sz="4" w:space="0" w:color="auto"/>
              <w:left w:val="single" w:sz="4" w:space="0" w:color="auto"/>
            </w:tcBorders>
            <w:shd w:val="clear" w:color="auto" w:fill="BFBFBF"/>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Rok</w:t>
            </w:r>
          </w:p>
        </w:tc>
        <w:tc>
          <w:tcPr>
            <w:tcW w:w="874" w:type="dxa"/>
            <w:tcBorders>
              <w:top w:val="single" w:sz="4" w:space="0" w:color="auto"/>
              <w:left w:val="single" w:sz="4" w:space="0" w:color="auto"/>
            </w:tcBorders>
            <w:shd w:val="clear" w:color="auto" w:fill="BFBFBF"/>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Kód</w:t>
            </w:r>
          </w:p>
        </w:tc>
        <w:tc>
          <w:tcPr>
            <w:tcW w:w="3581" w:type="dxa"/>
            <w:tcBorders>
              <w:top w:val="single" w:sz="4" w:space="0" w:color="auto"/>
              <w:left w:val="single" w:sz="4" w:space="0" w:color="auto"/>
            </w:tcBorders>
            <w:shd w:val="clear" w:color="auto" w:fill="BFBFBF"/>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Opatření a činnost</w:t>
            </w:r>
          </w:p>
        </w:tc>
        <w:tc>
          <w:tcPr>
            <w:tcW w:w="758" w:type="dxa"/>
            <w:tcBorders>
              <w:top w:val="single" w:sz="4" w:space="0" w:color="auto"/>
              <w:left w:val="single" w:sz="4" w:space="0" w:color="auto"/>
            </w:tcBorders>
            <w:shd w:val="clear" w:color="auto" w:fill="BFBFBF"/>
          </w:tcPr>
          <w:p w:rsidR="007D45F0" w:rsidRDefault="00FC1E4A">
            <w:pPr>
              <w:pStyle w:val="Jin0"/>
              <w:shd w:val="clear" w:color="auto" w:fill="auto"/>
              <w:spacing w:after="0" w:line="240" w:lineRule="auto"/>
              <w:rPr>
                <w:sz w:val="22"/>
                <w:szCs w:val="22"/>
              </w:rPr>
            </w:pPr>
            <w:proofErr w:type="gramStart"/>
            <w:r>
              <w:rPr>
                <w:rFonts w:ascii="Calibri" w:eastAsia="Calibri" w:hAnsi="Calibri" w:cs="Calibri"/>
                <w:b/>
                <w:bCs/>
                <w:sz w:val="22"/>
                <w:szCs w:val="22"/>
              </w:rPr>
              <w:t>M.J.</w:t>
            </w:r>
            <w:proofErr w:type="gramEnd"/>
          </w:p>
        </w:tc>
        <w:tc>
          <w:tcPr>
            <w:tcW w:w="1075" w:type="dxa"/>
            <w:tcBorders>
              <w:top w:val="single" w:sz="4" w:space="0" w:color="auto"/>
              <w:left w:val="single" w:sz="4" w:space="0" w:color="auto"/>
            </w:tcBorders>
            <w:shd w:val="clear" w:color="auto" w:fill="BFBFBF"/>
          </w:tcPr>
          <w:p w:rsidR="007D45F0" w:rsidRDefault="00FC1E4A">
            <w:pPr>
              <w:pStyle w:val="Jin0"/>
              <w:shd w:val="clear" w:color="auto" w:fill="auto"/>
              <w:spacing w:after="0" w:line="240" w:lineRule="auto"/>
              <w:ind w:right="160"/>
              <w:jc w:val="right"/>
              <w:rPr>
                <w:sz w:val="22"/>
                <w:szCs w:val="22"/>
              </w:rPr>
            </w:pPr>
            <w:r>
              <w:rPr>
                <w:rFonts w:ascii="Calibri" w:eastAsia="Calibri" w:hAnsi="Calibri" w:cs="Calibri"/>
                <w:b/>
                <w:bCs/>
                <w:sz w:val="22"/>
                <w:szCs w:val="22"/>
              </w:rPr>
              <w:t>Množství</w:t>
            </w:r>
          </w:p>
        </w:tc>
        <w:tc>
          <w:tcPr>
            <w:tcW w:w="1550" w:type="dxa"/>
            <w:tcBorders>
              <w:top w:val="single" w:sz="4" w:space="0" w:color="auto"/>
              <w:left w:val="single" w:sz="4" w:space="0" w:color="auto"/>
            </w:tcBorders>
            <w:shd w:val="clear" w:color="auto" w:fill="BFBFBF"/>
            <w:vAlign w:val="bottom"/>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Jednotková</w:t>
            </w:r>
          </w:p>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cena *</w:t>
            </w:r>
          </w:p>
        </w:tc>
        <w:tc>
          <w:tcPr>
            <w:tcW w:w="1685" w:type="dxa"/>
            <w:tcBorders>
              <w:top w:val="single" w:sz="4" w:space="0" w:color="auto"/>
              <w:left w:val="single" w:sz="4" w:space="0" w:color="auto"/>
              <w:right w:val="single" w:sz="4" w:space="0" w:color="auto"/>
            </w:tcBorders>
            <w:shd w:val="clear" w:color="auto" w:fill="BFBFBF"/>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Celková cena</w:t>
            </w:r>
          </w:p>
        </w:tc>
      </w:tr>
      <w:tr w:rsidR="007D45F0">
        <w:tblPrEx>
          <w:tblCellMar>
            <w:top w:w="0" w:type="dxa"/>
            <w:bottom w:w="0" w:type="dxa"/>
          </w:tblCellMar>
        </w:tblPrEx>
        <w:trPr>
          <w:trHeight w:hRule="exact" w:val="302"/>
          <w:jc w:val="center"/>
        </w:trPr>
        <w:tc>
          <w:tcPr>
            <w:tcW w:w="547" w:type="dxa"/>
            <w:tcBorders>
              <w:top w:val="single" w:sz="4" w:space="0" w:color="auto"/>
              <w:left w:val="single" w:sz="4" w:space="0" w:color="auto"/>
            </w:tcBorders>
            <w:shd w:val="clear" w:color="auto" w:fill="EAEEE7"/>
            <w:vAlign w:val="bottom"/>
          </w:tcPr>
          <w:p w:rsidR="007D45F0" w:rsidRDefault="00FC1E4A">
            <w:pPr>
              <w:pStyle w:val="Jin0"/>
              <w:shd w:val="clear" w:color="auto" w:fill="auto"/>
              <w:spacing w:after="0" w:line="240" w:lineRule="auto"/>
              <w:ind w:firstLine="380"/>
              <w:rPr>
                <w:sz w:val="22"/>
                <w:szCs w:val="22"/>
              </w:rPr>
            </w:pPr>
            <w:r>
              <w:rPr>
                <w:rFonts w:ascii="Calibri" w:eastAsia="Calibri" w:hAnsi="Calibri" w:cs="Calibri"/>
                <w:sz w:val="22"/>
                <w:szCs w:val="22"/>
              </w:rPr>
              <w:t>1</w:t>
            </w:r>
          </w:p>
        </w:tc>
        <w:tc>
          <w:tcPr>
            <w:tcW w:w="758" w:type="dxa"/>
            <w:tcBorders>
              <w:top w:val="single" w:sz="4" w:space="0" w:color="auto"/>
              <w:left w:val="single" w:sz="4" w:space="0" w:color="auto"/>
            </w:tcBorders>
            <w:shd w:val="clear" w:color="auto" w:fill="EAEEE7"/>
            <w:vAlign w:val="bottom"/>
          </w:tcPr>
          <w:p w:rsidR="007D45F0" w:rsidRDefault="00FC1E4A">
            <w:pPr>
              <w:pStyle w:val="Jin0"/>
              <w:shd w:val="clear" w:color="auto" w:fill="auto"/>
              <w:spacing w:after="0" w:line="240" w:lineRule="auto"/>
              <w:ind w:firstLine="240"/>
              <w:rPr>
                <w:sz w:val="22"/>
                <w:szCs w:val="22"/>
              </w:rPr>
            </w:pPr>
            <w:r>
              <w:rPr>
                <w:rFonts w:ascii="Calibri" w:eastAsia="Calibri" w:hAnsi="Calibri" w:cs="Calibri"/>
                <w:sz w:val="22"/>
                <w:szCs w:val="22"/>
              </w:rPr>
              <w:t>2023</w:t>
            </w:r>
          </w:p>
        </w:tc>
        <w:tc>
          <w:tcPr>
            <w:tcW w:w="874" w:type="dxa"/>
            <w:tcBorders>
              <w:top w:val="single" w:sz="4" w:space="0" w:color="auto"/>
              <w:left w:val="single" w:sz="4" w:space="0" w:color="auto"/>
            </w:tcBorders>
            <w:shd w:val="clear" w:color="auto" w:fill="EAEEE7"/>
            <w:vAlign w:val="bottom"/>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LE04</w:t>
            </w:r>
          </w:p>
        </w:tc>
        <w:tc>
          <w:tcPr>
            <w:tcW w:w="8649" w:type="dxa"/>
            <w:gridSpan w:val="5"/>
            <w:tcBorders>
              <w:top w:val="single" w:sz="4" w:space="0" w:color="auto"/>
              <w:left w:val="single" w:sz="4" w:space="0" w:color="auto"/>
              <w:right w:val="single" w:sz="4" w:space="0" w:color="auto"/>
            </w:tcBorders>
            <w:shd w:val="clear" w:color="auto" w:fill="EAEEE7"/>
            <w:vAlign w:val="center"/>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Chemická ochrana výsadeb, kultur a kmenů proti zvěři</w:t>
            </w:r>
          </w:p>
        </w:tc>
      </w:tr>
      <w:tr w:rsidR="007D45F0">
        <w:tblPrEx>
          <w:tblCellMar>
            <w:top w:w="0" w:type="dxa"/>
            <w:bottom w:w="0" w:type="dxa"/>
          </w:tblCellMar>
        </w:tblPrEx>
        <w:trPr>
          <w:trHeight w:hRule="exact" w:val="614"/>
          <w:jc w:val="center"/>
        </w:trPr>
        <w:tc>
          <w:tcPr>
            <w:tcW w:w="547" w:type="dxa"/>
            <w:tcBorders>
              <w:top w:val="single" w:sz="4" w:space="0" w:color="auto"/>
              <w:left w:val="single" w:sz="4" w:space="0" w:color="auto"/>
            </w:tcBorders>
            <w:shd w:val="clear" w:color="auto" w:fill="FFFFFF"/>
          </w:tcPr>
          <w:p w:rsidR="007D45F0" w:rsidRDefault="007D45F0">
            <w:pPr>
              <w:rPr>
                <w:sz w:val="10"/>
                <w:szCs w:val="10"/>
              </w:rPr>
            </w:pPr>
          </w:p>
        </w:tc>
        <w:tc>
          <w:tcPr>
            <w:tcW w:w="758" w:type="dxa"/>
            <w:tcBorders>
              <w:top w:val="single" w:sz="4" w:space="0" w:color="auto"/>
              <w:left w:val="single" w:sz="4" w:space="0" w:color="auto"/>
            </w:tcBorders>
            <w:shd w:val="clear" w:color="auto" w:fill="FFFFFF"/>
          </w:tcPr>
          <w:p w:rsidR="007D45F0" w:rsidRDefault="007D45F0">
            <w:pPr>
              <w:rPr>
                <w:sz w:val="10"/>
                <w:szCs w:val="10"/>
              </w:rPr>
            </w:pPr>
          </w:p>
        </w:tc>
        <w:tc>
          <w:tcPr>
            <w:tcW w:w="874"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LE04b</w:t>
            </w:r>
          </w:p>
        </w:tc>
        <w:tc>
          <w:tcPr>
            <w:tcW w:w="3581" w:type="dxa"/>
            <w:tcBorders>
              <w:top w:val="single" w:sz="4" w:space="0" w:color="auto"/>
              <w:left w:val="single" w:sz="4" w:space="0" w:color="auto"/>
            </w:tcBorders>
            <w:shd w:val="clear" w:color="auto" w:fill="FFFFFF"/>
            <w:vAlign w:val="bottom"/>
          </w:tcPr>
          <w:p w:rsidR="007D45F0" w:rsidRDefault="00FC1E4A">
            <w:pPr>
              <w:pStyle w:val="Jin0"/>
              <w:shd w:val="clear" w:color="auto" w:fill="auto"/>
              <w:spacing w:after="0" w:line="254" w:lineRule="auto"/>
              <w:rPr>
                <w:sz w:val="22"/>
                <w:szCs w:val="22"/>
              </w:rPr>
            </w:pPr>
            <w:r>
              <w:rPr>
                <w:rFonts w:ascii="Calibri" w:eastAsia="Calibri" w:hAnsi="Calibri" w:cs="Calibri"/>
                <w:b/>
                <w:bCs/>
                <w:sz w:val="22"/>
                <w:szCs w:val="22"/>
              </w:rPr>
              <w:t>Nátěr terminálů repelenty proti ohryzu</w:t>
            </w:r>
          </w:p>
        </w:tc>
        <w:tc>
          <w:tcPr>
            <w:tcW w:w="758"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ks</w:t>
            </w:r>
          </w:p>
        </w:tc>
        <w:tc>
          <w:tcPr>
            <w:tcW w:w="1075"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jc w:val="right"/>
              <w:rPr>
                <w:sz w:val="22"/>
                <w:szCs w:val="22"/>
              </w:rPr>
            </w:pPr>
            <w:r>
              <w:rPr>
                <w:rFonts w:ascii="Calibri" w:eastAsia="Calibri" w:hAnsi="Calibri" w:cs="Calibri"/>
                <w:b/>
                <w:bCs/>
                <w:sz w:val="22"/>
                <w:szCs w:val="22"/>
              </w:rPr>
              <w:t>140 000</w:t>
            </w:r>
          </w:p>
        </w:tc>
        <w:tc>
          <w:tcPr>
            <w:tcW w:w="1550" w:type="dxa"/>
            <w:tcBorders>
              <w:top w:val="single" w:sz="4" w:space="0" w:color="auto"/>
              <w:left w:val="single" w:sz="4" w:space="0" w:color="auto"/>
            </w:tcBorders>
            <w:shd w:val="clear" w:color="auto" w:fill="EAEEE7"/>
          </w:tcPr>
          <w:p w:rsidR="007D45F0" w:rsidRDefault="00FC1E4A">
            <w:pPr>
              <w:pStyle w:val="Jin0"/>
              <w:shd w:val="clear" w:color="auto" w:fill="auto"/>
              <w:spacing w:after="0" w:line="240" w:lineRule="auto"/>
              <w:jc w:val="right"/>
              <w:rPr>
                <w:sz w:val="22"/>
                <w:szCs w:val="22"/>
              </w:rPr>
            </w:pPr>
            <w:r>
              <w:rPr>
                <w:rFonts w:ascii="Calibri" w:eastAsia="Calibri" w:hAnsi="Calibri" w:cs="Calibri"/>
                <w:sz w:val="22"/>
                <w:szCs w:val="22"/>
              </w:rPr>
              <w:t>1,95</w:t>
            </w:r>
          </w:p>
        </w:tc>
        <w:tc>
          <w:tcPr>
            <w:tcW w:w="1685" w:type="dxa"/>
            <w:tcBorders>
              <w:top w:val="single" w:sz="4" w:space="0" w:color="auto"/>
              <w:left w:val="single" w:sz="4" w:space="0" w:color="auto"/>
              <w:right w:val="single" w:sz="4" w:space="0" w:color="auto"/>
            </w:tcBorders>
            <w:shd w:val="clear" w:color="auto" w:fill="FFFFFF"/>
          </w:tcPr>
          <w:p w:rsidR="007D45F0" w:rsidRDefault="00FC1E4A">
            <w:pPr>
              <w:pStyle w:val="Jin0"/>
              <w:shd w:val="clear" w:color="auto" w:fill="auto"/>
              <w:spacing w:after="0" w:line="240" w:lineRule="auto"/>
              <w:ind w:firstLine="600"/>
              <w:jc w:val="both"/>
              <w:rPr>
                <w:sz w:val="22"/>
                <w:szCs w:val="22"/>
              </w:rPr>
            </w:pPr>
            <w:r>
              <w:rPr>
                <w:rFonts w:ascii="Calibri" w:eastAsia="Calibri" w:hAnsi="Calibri" w:cs="Calibri"/>
                <w:sz w:val="22"/>
                <w:szCs w:val="22"/>
              </w:rPr>
              <w:t>273 000,00</w:t>
            </w:r>
          </w:p>
        </w:tc>
      </w:tr>
      <w:tr w:rsidR="007D45F0">
        <w:tblPrEx>
          <w:tblCellMar>
            <w:top w:w="0" w:type="dxa"/>
            <w:bottom w:w="0" w:type="dxa"/>
          </w:tblCellMar>
        </w:tblPrEx>
        <w:trPr>
          <w:trHeight w:hRule="exact" w:val="302"/>
          <w:jc w:val="center"/>
        </w:trPr>
        <w:tc>
          <w:tcPr>
            <w:tcW w:w="547" w:type="dxa"/>
            <w:tcBorders>
              <w:top w:val="single" w:sz="4" w:space="0" w:color="auto"/>
              <w:left w:val="single" w:sz="4" w:space="0" w:color="auto"/>
            </w:tcBorders>
            <w:shd w:val="clear" w:color="auto" w:fill="EAEEE7"/>
            <w:vAlign w:val="bottom"/>
          </w:tcPr>
          <w:p w:rsidR="007D45F0" w:rsidRDefault="00FC1E4A">
            <w:pPr>
              <w:pStyle w:val="Jin0"/>
              <w:shd w:val="clear" w:color="auto" w:fill="auto"/>
              <w:spacing w:after="0" w:line="240" w:lineRule="auto"/>
              <w:ind w:firstLine="380"/>
              <w:rPr>
                <w:sz w:val="22"/>
                <w:szCs w:val="22"/>
              </w:rPr>
            </w:pPr>
            <w:r>
              <w:rPr>
                <w:rFonts w:ascii="Calibri" w:eastAsia="Calibri" w:hAnsi="Calibri" w:cs="Calibri"/>
                <w:sz w:val="22"/>
                <w:szCs w:val="22"/>
              </w:rPr>
              <w:t>2</w:t>
            </w:r>
          </w:p>
        </w:tc>
        <w:tc>
          <w:tcPr>
            <w:tcW w:w="758" w:type="dxa"/>
            <w:tcBorders>
              <w:top w:val="single" w:sz="4" w:space="0" w:color="auto"/>
              <w:left w:val="single" w:sz="4" w:space="0" w:color="auto"/>
            </w:tcBorders>
            <w:shd w:val="clear" w:color="auto" w:fill="EAEEE7"/>
            <w:vAlign w:val="bottom"/>
          </w:tcPr>
          <w:p w:rsidR="007D45F0" w:rsidRDefault="00FC1E4A">
            <w:pPr>
              <w:pStyle w:val="Jin0"/>
              <w:shd w:val="clear" w:color="auto" w:fill="auto"/>
              <w:spacing w:after="0" w:line="240" w:lineRule="auto"/>
              <w:ind w:firstLine="240"/>
              <w:rPr>
                <w:sz w:val="22"/>
                <w:szCs w:val="22"/>
              </w:rPr>
            </w:pPr>
            <w:r>
              <w:rPr>
                <w:rFonts w:ascii="Calibri" w:eastAsia="Calibri" w:hAnsi="Calibri" w:cs="Calibri"/>
                <w:sz w:val="22"/>
                <w:szCs w:val="22"/>
              </w:rPr>
              <w:t>2023</w:t>
            </w:r>
          </w:p>
        </w:tc>
        <w:tc>
          <w:tcPr>
            <w:tcW w:w="874" w:type="dxa"/>
            <w:tcBorders>
              <w:top w:val="single" w:sz="4" w:space="0" w:color="auto"/>
              <w:left w:val="single" w:sz="4" w:space="0" w:color="auto"/>
            </w:tcBorders>
            <w:shd w:val="clear" w:color="auto" w:fill="EAEEE7"/>
            <w:vAlign w:val="bottom"/>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LE04</w:t>
            </w:r>
          </w:p>
        </w:tc>
        <w:tc>
          <w:tcPr>
            <w:tcW w:w="8649" w:type="dxa"/>
            <w:gridSpan w:val="5"/>
            <w:tcBorders>
              <w:top w:val="single" w:sz="4" w:space="0" w:color="auto"/>
              <w:left w:val="single" w:sz="4" w:space="0" w:color="auto"/>
              <w:right w:val="single" w:sz="4" w:space="0" w:color="auto"/>
            </w:tcBorders>
            <w:shd w:val="clear" w:color="auto" w:fill="EAEEE7"/>
            <w:vAlign w:val="center"/>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Chemická ochrana výsadeb, kultur a kmenů proti zvěři</w:t>
            </w:r>
          </w:p>
        </w:tc>
      </w:tr>
      <w:tr w:rsidR="007D45F0">
        <w:tblPrEx>
          <w:tblCellMar>
            <w:top w:w="0" w:type="dxa"/>
            <w:bottom w:w="0" w:type="dxa"/>
          </w:tblCellMar>
        </w:tblPrEx>
        <w:trPr>
          <w:trHeight w:hRule="exact" w:val="643"/>
          <w:jc w:val="center"/>
        </w:trPr>
        <w:tc>
          <w:tcPr>
            <w:tcW w:w="547" w:type="dxa"/>
            <w:tcBorders>
              <w:top w:val="single" w:sz="4" w:space="0" w:color="auto"/>
              <w:left w:val="single" w:sz="4" w:space="0" w:color="auto"/>
            </w:tcBorders>
            <w:shd w:val="clear" w:color="auto" w:fill="FFFFFF"/>
          </w:tcPr>
          <w:p w:rsidR="007D45F0" w:rsidRDefault="007D45F0">
            <w:pPr>
              <w:rPr>
                <w:sz w:val="10"/>
                <w:szCs w:val="10"/>
              </w:rPr>
            </w:pPr>
          </w:p>
        </w:tc>
        <w:tc>
          <w:tcPr>
            <w:tcW w:w="758" w:type="dxa"/>
            <w:tcBorders>
              <w:top w:val="single" w:sz="4" w:space="0" w:color="auto"/>
              <w:left w:val="single" w:sz="4" w:space="0" w:color="auto"/>
            </w:tcBorders>
            <w:shd w:val="clear" w:color="auto" w:fill="FFFFFF"/>
          </w:tcPr>
          <w:p w:rsidR="007D45F0" w:rsidRDefault="007D45F0">
            <w:pPr>
              <w:rPr>
                <w:sz w:val="10"/>
                <w:szCs w:val="10"/>
              </w:rPr>
            </w:pPr>
          </w:p>
        </w:tc>
        <w:tc>
          <w:tcPr>
            <w:tcW w:w="874"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LE04a</w:t>
            </w:r>
          </w:p>
        </w:tc>
        <w:tc>
          <w:tcPr>
            <w:tcW w:w="3581" w:type="dxa"/>
            <w:tcBorders>
              <w:top w:val="single" w:sz="4" w:space="0" w:color="auto"/>
              <w:left w:val="single" w:sz="4" w:space="0" w:color="auto"/>
            </w:tcBorders>
            <w:shd w:val="clear" w:color="auto" w:fill="FFFFFF"/>
            <w:vAlign w:val="bottom"/>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Nátěr kmenů repelenty proti loupání -</w:t>
            </w:r>
          </w:p>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Wobra</w:t>
            </w:r>
          </w:p>
        </w:tc>
        <w:tc>
          <w:tcPr>
            <w:tcW w:w="758"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ks</w:t>
            </w:r>
          </w:p>
        </w:tc>
        <w:tc>
          <w:tcPr>
            <w:tcW w:w="1075" w:type="dxa"/>
            <w:tcBorders>
              <w:top w:val="single" w:sz="4" w:space="0" w:color="auto"/>
              <w:left w:val="single" w:sz="4" w:space="0" w:color="auto"/>
            </w:tcBorders>
            <w:shd w:val="clear" w:color="auto" w:fill="FFFFFF"/>
            <w:vAlign w:val="center"/>
          </w:tcPr>
          <w:p w:rsidR="007D45F0" w:rsidRDefault="00FC1E4A">
            <w:pPr>
              <w:pStyle w:val="Jin0"/>
              <w:shd w:val="clear" w:color="auto" w:fill="auto"/>
              <w:spacing w:after="0" w:line="240" w:lineRule="auto"/>
              <w:jc w:val="right"/>
              <w:rPr>
                <w:sz w:val="22"/>
                <w:szCs w:val="22"/>
              </w:rPr>
            </w:pPr>
            <w:r>
              <w:rPr>
                <w:rFonts w:ascii="Calibri" w:eastAsia="Calibri" w:hAnsi="Calibri" w:cs="Calibri"/>
                <w:b/>
                <w:bCs/>
                <w:sz w:val="22"/>
                <w:szCs w:val="22"/>
              </w:rPr>
              <w:t>100</w:t>
            </w:r>
          </w:p>
        </w:tc>
        <w:tc>
          <w:tcPr>
            <w:tcW w:w="1550" w:type="dxa"/>
            <w:tcBorders>
              <w:top w:val="single" w:sz="4" w:space="0" w:color="auto"/>
              <w:left w:val="single" w:sz="4" w:space="0" w:color="auto"/>
            </w:tcBorders>
            <w:shd w:val="clear" w:color="auto" w:fill="EAEEE7"/>
          </w:tcPr>
          <w:p w:rsidR="007D45F0" w:rsidRDefault="00FC1E4A">
            <w:pPr>
              <w:pStyle w:val="Jin0"/>
              <w:shd w:val="clear" w:color="auto" w:fill="auto"/>
              <w:spacing w:after="0" w:line="240" w:lineRule="auto"/>
              <w:jc w:val="right"/>
              <w:rPr>
                <w:sz w:val="22"/>
                <w:szCs w:val="22"/>
              </w:rPr>
            </w:pPr>
            <w:r>
              <w:rPr>
                <w:rFonts w:ascii="Calibri" w:eastAsia="Calibri" w:hAnsi="Calibri" w:cs="Calibri"/>
                <w:sz w:val="22"/>
                <w:szCs w:val="22"/>
              </w:rPr>
              <w:t>135,00</w:t>
            </w:r>
          </w:p>
        </w:tc>
        <w:tc>
          <w:tcPr>
            <w:tcW w:w="1685" w:type="dxa"/>
            <w:tcBorders>
              <w:top w:val="single" w:sz="4" w:space="0" w:color="auto"/>
              <w:left w:val="single" w:sz="4" w:space="0" w:color="auto"/>
              <w:right w:val="single" w:sz="4" w:space="0" w:color="auto"/>
            </w:tcBorders>
            <w:shd w:val="clear" w:color="auto" w:fill="FFFFFF"/>
          </w:tcPr>
          <w:p w:rsidR="007D45F0" w:rsidRDefault="00FC1E4A">
            <w:pPr>
              <w:pStyle w:val="Jin0"/>
              <w:shd w:val="clear" w:color="auto" w:fill="auto"/>
              <w:spacing w:after="0" w:line="240" w:lineRule="auto"/>
              <w:ind w:firstLine="720"/>
              <w:jc w:val="both"/>
              <w:rPr>
                <w:sz w:val="22"/>
                <w:szCs w:val="22"/>
              </w:rPr>
            </w:pPr>
            <w:r>
              <w:rPr>
                <w:rFonts w:ascii="Calibri" w:eastAsia="Calibri" w:hAnsi="Calibri" w:cs="Calibri"/>
                <w:sz w:val="22"/>
                <w:szCs w:val="22"/>
              </w:rPr>
              <w:t>13 500,00</w:t>
            </w:r>
          </w:p>
        </w:tc>
      </w:tr>
      <w:tr w:rsidR="007D45F0">
        <w:tblPrEx>
          <w:tblCellMar>
            <w:top w:w="0" w:type="dxa"/>
            <w:bottom w:w="0" w:type="dxa"/>
          </w:tblCellMar>
        </w:tblPrEx>
        <w:trPr>
          <w:trHeight w:hRule="exact" w:val="302"/>
          <w:jc w:val="center"/>
        </w:trPr>
        <w:tc>
          <w:tcPr>
            <w:tcW w:w="547" w:type="dxa"/>
            <w:tcBorders>
              <w:top w:val="single" w:sz="4" w:space="0" w:color="auto"/>
              <w:left w:val="single" w:sz="4" w:space="0" w:color="auto"/>
            </w:tcBorders>
            <w:shd w:val="clear" w:color="auto" w:fill="FFFFFF"/>
          </w:tcPr>
          <w:p w:rsidR="007D45F0" w:rsidRDefault="007D45F0">
            <w:pPr>
              <w:rPr>
                <w:sz w:val="10"/>
                <w:szCs w:val="10"/>
              </w:rPr>
            </w:pPr>
          </w:p>
        </w:tc>
        <w:tc>
          <w:tcPr>
            <w:tcW w:w="758" w:type="dxa"/>
            <w:tcBorders>
              <w:top w:val="single" w:sz="4" w:space="0" w:color="auto"/>
              <w:left w:val="single" w:sz="4" w:space="0" w:color="auto"/>
            </w:tcBorders>
            <w:shd w:val="clear" w:color="auto" w:fill="FFFFFF"/>
          </w:tcPr>
          <w:p w:rsidR="007D45F0" w:rsidRDefault="007D45F0">
            <w:pPr>
              <w:rPr>
                <w:sz w:val="10"/>
                <w:szCs w:val="10"/>
              </w:rPr>
            </w:pPr>
          </w:p>
        </w:tc>
        <w:tc>
          <w:tcPr>
            <w:tcW w:w="874" w:type="dxa"/>
            <w:tcBorders>
              <w:top w:val="single" w:sz="4" w:space="0" w:color="auto"/>
              <w:left w:val="single" w:sz="4" w:space="0" w:color="auto"/>
            </w:tcBorders>
            <w:shd w:val="clear" w:color="auto" w:fill="FFFFFF"/>
            <w:vAlign w:val="bottom"/>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LE04a</w:t>
            </w:r>
          </w:p>
        </w:tc>
        <w:tc>
          <w:tcPr>
            <w:tcW w:w="3581" w:type="dxa"/>
            <w:tcBorders>
              <w:top w:val="single" w:sz="4" w:space="0" w:color="auto"/>
              <w:left w:val="single" w:sz="4" w:space="0" w:color="auto"/>
            </w:tcBorders>
            <w:shd w:val="clear" w:color="auto" w:fill="FFFFFF"/>
            <w:vAlign w:val="bottom"/>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Nátěr kmenů repelenty proti loupání -</w:t>
            </w:r>
          </w:p>
        </w:tc>
        <w:tc>
          <w:tcPr>
            <w:tcW w:w="758" w:type="dxa"/>
            <w:tcBorders>
              <w:top w:val="single" w:sz="4" w:space="0" w:color="auto"/>
              <w:left w:val="single" w:sz="4" w:space="0" w:color="auto"/>
            </w:tcBorders>
            <w:shd w:val="clear" w:color="auto" w:fill="FFFFFF"/>
            <w:vAlign w:val="bottom"/>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ks</w:t>
            </w:r>
          </w:p>
        </w:tc>
        <w:tc>
          <w:tcPr>
            <w:tcW w:w="1075" w:type="dxa"/>
            <w:tcBorders>
              <w:top w:val="single" w:sz="4" w:space="0" w:color="auto"/>
              <w:left w:val="single" w:sz="4" w:space="0" w:color="auto"/>
            </w:tcBorders>
            <w:shd w:val="clear" w:color="auto" w:fill="FFFFFF"/>
            <w:vAlign w:val="bottom"/>
          </w:tcPr>
          <w:p w:rsidR="007D45F0" w:rsidRDefault="00FC1E4A">
            <w:pPr>
              <w:pStyle w:val="Jin0"/>
              <w:shd w:val="clear" w:color="auto" w:fill="auto"/>
              <w:spacing w:after="0" w:line="240" w:lineRule="auto"/>
              <w:jc w:val="right"/>
              <w:rPr>
                <w:sz w:val="22"/>
                <w:szCs w:val="22"/>
              </w:rPr>
            </w:pPr>
            <w:r>
              <w:rPr>
                <w:rFonts w:ascii="Calibri" w:eastAsia="Calibri" w:hAnsi="Calibri" w:cs="Calibri"/>
                <w:b/>
                <w:bCs/>
                <w:sz w:val="22"/>
                <w:szCs w:val="22"/>
              </w:rPr>
              <w:t>100</w:t>
            </w:r>
          </w:p>
        </w:tc>
        <w:tc>
          <w:tcPr>
            <w:tcW w:w="1550" w:type="dxa"/>
            <w:tcBorders>
              <w:top w:val="single" w:sz="4" w:space="0" w:color="auto"/>
              <w:left w:val="single" w:sz="4" w:space="0" w:color="auto"/>
            </w:tcBorders>
            <w:shd w:val="clear" w:color="auto" w:fill="EAEEE7"/>
            <w:vAlign w:val="bottom"/>
          </w:tcPr>
          <w:p w:rsidR="007D45F0" w:rsidRDefault="00FC1E4A">
            <w:pPr>
              <w:pStyle w:val="Jin0"/>
              <w:shd w:val="clear" w:color="auto" w:fill="auto"/>
              <w:spacing w:after="0" w:line="240" w:lineRule="auto"/>
              <w:jc w:val="right"/>
              <w:rPr>
                <w:sz w:val="22"/>
                <w:szCs w:val="22"/>
              </w:rPr>
            </w:pPr>
            <w:r>
              <w:rPr>
                <w:rFonts w:ascii="Calibri" w:eastAsia="Calibri" w:hAnsi="Calibri" w:cs="Calibri"/>
                <w:sz w:val="22"/>
                <w:szCs w:val="22"/>
              </w:rPr>
              <w:t>35,00</w:t>
            </w:r>
          </w:p>
        </w:tc>
        <w:tc>
          <w:tcPr>
            <w:tcW w:w="1685" w:type="dxa"/>
            <w:tcBorders>
              <w:top w:val="single" w:sz="4" w:space="0" w:color="auto"/>
              <w:left w:val="single" w:sz="4" w:space="0" w:color="auto"/>
              <w:right w:val="single" w:sz="4" w:space="0" w:color="auto"/>
            </w:tcBorders>
            <w:shd w:val="clear" w:color="auto" w:fill="FFFFFF"/>
            <w:vAlign w:val="bottom"/>
          </w:tcPr>
          <w:p w:rsidR="007D45F0" w:rsidRDefault="00FC1E4A">
            <w:pPr>
              <w:pStyle w:val="Jin0"/>
              <w:shd w:val="clear" w:color="auto" w:fill="auto"/>
              <w:spacing w:after="0" w:line="240" w:lineRule="auto"/>
              <w:jc w:val="right"/>
              <w:rPr>
                <w:sz w:val="22"/>
                <w:szCs w:val="22"/>
              </w:rPr>
            </w:pPr>
            <w:r>
              <w:rPr>
                <w:rFonts w:ascii="Calibri" w:eastAsia="Calibri" w:hAnsi="Calibri" w:cs="Calibri"/>
                <w:sz w:val="22"/>
                <w:szCs w:val="22"/>
              </w:rPr>
              <w:t>3 500,00</w:t>
            </w:r>
          </w:p>
        </w:tc>
      </w:tr>
      <w:tr w:rsidR="007D45F0">
        <w:tblPrEx>
          <w:tblCellMar>
            <w:top w:w="0" w:type="dxa"/>
            <w:bottom w:w="0" w:type="dxa"/>
          </w:tblCellMar>
        </w:tblPrEx>
        <w:trPr>
          <w:trHeight w:hRule="exact" w:val="614"/>
          <w:jc w:val="center"/>
        </w:trPr>
        <w:tc>
          <w:tcPr>
            <w:tcW w:w="547" w:type="dxa"/>
            <w:tcBorders>
              <w:top w:val="single" w:sz="4" w:space="0" w:color="auto"/>
              <w:left w:val="single" w:sz="4" w:space="0" w:color="auto"/>
            </w:tcBorders>
            <w:shd w:val="clear" w:color="auto" w:fill="EAEEE7"/>
            <w:vAlign w:val="center"/>
          </w:tcPr>
          <w:p w:rsidR="007D45F0" w:rsidRDefault="00FC1E4A">
            <w:pPr>
              <w:pStyle w:val="Jin0"/>
              <w:shd w:val="clear" w:color="auto" w:fill="auto"/>
              <w:spacing w:after="0" w:line="240" w:lineRule="auto"/>
              <w:ind w:firstLine="380"/>
              <w:rPr>
                <w:sz w:val="22"/>
                <w:szCs w:val="22"/>
              </w:rPr>
            </w:pPr>
            <w:r>
              <w:rPr>
                <w:rFonts w:ascii="Calibri" w:eastAsia="Calibri" w:hAnsi="Calibri" w:cs="Calibri"/>
                <w:sz w:val="22"/>
                <w:szCs w:val="22"/>
              </w:rPr>
              <w:t>3</w:t>
            </w:r>
          </w:p>
        </w:tc>
        <w:tc>
          <w:tcPr>
            <w:tcW w:w="758" w:type="dxa"/>
            <w:tcBorders>
              <w:top w:val="single" w:sz="4" w:space="0" w:color="auto"/>
              <w:left w:val="single" w:sz="4" w:space="0" w:color="auto"/>
            </w:tcBorders>
            <w:shd w:val="clear" w:color="auto" w:fill="EAEEE7"/>
            <w:vAlign w:val="center"/>
          </w:tcPr>
          <w:p w:rsidR="007D45F0" w:rsidRDefault="00FC1E4A">
            <w:pPr>
              <w:pStyle w:val="Jin0"/>
              <w:shd w:val="clear" w:color="auto" w:fill="auto"/>
              <w:spacing w:after="0" w:line="240" w:lineRule="auto"/>
              <w:ind w:firstLine="240"/>
              <w:rPr>
                <w:sz w:val="22"/>
                <w:szCs w:val="22"/>
              </w:rPr>
            </w:pPr>
            <w:r>
              <w:rPr>
                <w:rFonts w:ascii="Calibri" w:eastAsia="Calibri" w:hAnsi="Calibri" w:cs="Calibri"/>
                <w:sz w:val="22"/>
                <w:szCs w:val="22"/>
              </w:rPr>
              <w:t>2023</w:t>
            </w:r>
          </w:p>
        </w:tc>
        <w:tc>
          <w:tcPr>
            <w:tcW w:w="874" w:type="dxa"/>
            <w:tcBorders>
              <w:top w:val="single" w:sz="4" w:space="0" w:color="auto"/>
              <w:left w:val="single" w:sz="4" w:space="0" w:color="auto"/>
            </w:tcBorders>
            <w:shd w:val="clear" w:color="auto" w:fill="EAEEE7"/>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LE16</w:t>
            </w:r>
          </w:p>
        </w:tc>
        <w:tc>
          <w:tcPr>
            <w:tcW w:w="8649" w:type="dxa"/>
            <w:gridSpan w:val="5"/>
            <w:tcBorders>
              <w:top w:val="single" w:sz="4" w:space="0" w:color="auto"/>
              <w:left w:val="single" w:sz="4" w:space="0" w:color="auto"/>
              <w:right w:val="single" w:sz="4" w:space="0" w:color="auto"/>
            </w:tcBorders>
            <w:shd w:val="clear" w:color="auto" w:fill="EAEEE7"/>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T</w:t>
            </w:r>
            <w:r>
              <w:rPr>
                <w:rFonts w:ascii="Calibri" w:eastAsia="Calibri" w:hAnsi="Calibri" w:cs="Calibri"/>
                <w:b/>
                <w:bCs/>
                <w:sz w:val="22"/>
                <w:szCs w:val="22"/>
              </w:rPr>
              <w:t>n</w:t>
            </w:r>
            <w:r>
              <w:rPr>
                <w:rFonts w:ascii="Calibri" w:eastAsia="Calibri" w:hAnsi="Calibri" w:cs="Calibri"/>
                <w:sz w:val="22"/>
                <w:szCs w:val="22"/>
              </w:rPr>
              <w:t>r</w:t>
            </w:r>
            <w:r>
              <w:rPr>
                <w:rFonts w:ascii="Calibri" w:eastAsia="Calibri" w:hAnsi="Calibri" w:cs="Calibri"/>
                <w:b/>
                <w:bCs/>
                <w:sz w:val="22"/>
                <w:szCs w:val="22"/>
              </w:rPr>
              <w:t>á</w:t>
            </w:r>
            <w:r>
              <w:rPr>
                <w:rFonts w:ascii="Calibri" w:eastAsia="Calibri" w:hAnsi="Calibri" w:cs="Calibri"/>
                <w:sz w:val="22"/>
                <w:szCs w:val="22"/>
              </w:rPr>
              <w:t>v</w:t>
            </w:r>
            <w:r>
              <w:rPr>
                <w:rFonts w:ascii="Calibri" w:eastAsia="Calibri" w:hAnsi="Calibri" w:cs="Calibri"/>
                <w:b/>
                <w:bCs/>
                <w:sz w:val="22"/>
                <w:szCs w:val="22"/>
              </w:rPr>
              <w:t>t</w:t>
            </w:r>
            <w:r>
              <w:rPr>
                <w:rFonts w:ascii="Calibri" w:eastAsia="Calibri" w:hAnsi="Calibri" w:cs="Calibri"/>
                <w:sz w:val="22"/>
                <w:szCs w:val="22"/>
              </w:rPr>
              <w:t>a</w:t>
            </w:r>
            <w:r>
              <w:rPr>
                <w:rFonts w:ascii="Calibri" w:eastAsia="Calibri" w:hAnsi="Calibri" w:cs="Calibri"/>
                <w:b/>
                <w:bCs/>
                <w:sz w:val="22"/>
                <w:szCs w:val="22"/>
              </w:rPr>
              <w:t>ě</w:t>
            </w:r>
            <w:r>
              <w:rPr>
                <w:rFonts w:ascii="Calibri" w:eastAsia="Calibri" w:hAnsi="Calibri" w:cs="Calibri"/>
                <w:sz w:val="22"/>
                <w:szCs w:val="22"/>
              </w:rPr>
              <w:t>l</w:t>
            </w:r>
            <w:r>
              <w:rPr>
                <w:rFonts w:ascii="Calibri" w:eastAsia="Calibri" w:hAnsi="Calibri" w:cs="Calibri"/>
                <w:b/>
                <w:bCs/>
                <w:sz w:val="22"/>
                <w:szCs w:val="22"/>
              </w:rPr>
              <w:t>r</w:t>
            </w:r>
            <w:r>
              <w:rPr>
                <w:rFonts w:ascii="Calibri" w:eastAsia="Calibri" w:hAnsi="Calibri" w:cs="Calibri"/>
                <w:sz w:val="22"/>
                <w:szCs w:val="22"/>
              </w:rPr>
              <w:t>á</w:t>
            </w:r>
            <w:r>
              <w:rPr>
                <w:rFonts w:ascii="Calibri" w:eastAsia="Calibri" w:hAnsi="Calibri" w:cs="Calibri"/>
                <w:b/>
                <w:bCs/>
                <w:sz w:val="22"/>
                <w:szCs w:val="22"/>
              </w:rPr>
              <w:t>s</w:t>
            </w:r>
            <w:r>
              <w:rPr>
                <w:rFonts w:ascii="Calibri" w:eastAsia="Calibri" w:hAnsi="Calibri" w:cs="Calibri"/>
                <w:sz w:val="22"/>
                <w:szCs w:val="22"/>
              </w:rPr>
              <w:t>i</w:t>
            </w:r>
            <w:r>
              <w:rPr>
                <w:rFonts w:ascii="Calibri" w:eastAsia="Calibri" w:hAnsi="Calibri" w:cs="Calibri"/>
                <w:b/>
                <w:bCs/>
                <w:sz w:val="22"/>
                <w:szCs w:val="22"/>
              </w:rPr>
              <w:t>l</w:t>
            </w:r>
            <w:r>
              <w:rPr>
                <w:rFonts w:ascii="Calibri" w:eastAsia="Calibri" w:hAnsi="Calibri" w:cs="Calibri"/>
                <w:sz w:val="22"/>
                <w:szCs w:val="22"/>
              </w:rPr>
              <w:t>n</w:t>
            </w:r>
            <w:r>
              <w:rPr>
                <w:rFonts w:ascii="Calibri" w:eastAsia="Calibri" w:hAnsi="Calibri" w:cs="Calibri"/>
                <w:b/>
                <w:bCs/>
                <w:sz w:val="22"/>
                <w:szCs w:val="22"/>
              </w:rPr>
              <w:t>a</w:t>
            </w:r>
            <w:r>
              <w:rPr>
                <w:rFonts w:ascii="Calibri" w:eastAsia="Calibri" w:hAnsi="Calibri" w:cs="Calibri"/>
                <w:sz w:val="22"/>
                <w:szCs w:val="22"/>
              </w:rPr>
              <w:t>d</w:t>
            </w:r>
            <w:r>
              <w:rPr>
                <w:rFonts w:ascii="Calibri" w:eastAsia="Calibri" w:hAnsi="Calibri" w:cs="Calibri"/>
                <w:b/>
                <w:bCs/>
                <w:sz w:val="22"/>
                <w:szCs w:val="22"/>
              </w:rPr>
              <w:t>b</w:t>
            </w:r>
            <w:r>
              <w:rPr>
                <w:rFonts w:ascii="Calibri" w:eastAsia="Calibri" w:hAnsi="Calibri" w:cs="Calibri"/>
                <w:sz w:val="22"/>
                <w:szCs w:val="22"/>
              </w:rPr>
              <w:t>i</w:t>
            </w:r>
            <w:r>
              <w:rPr>
                <w:rFonts w:ascii="Calibri" w:eastAsia="Calibri" w:hAnsi="Calibri" w:cs="Calibri"/>
                <w:b/>
                <w:bCs/>
                <w:sz w:val="22"/>
                <w:szCs w:val="22"/>
              </w:rPr>
              <w:t>ý</w:t>
            </w:r>
            <w:r>
              <w:rPr>
                <w:rFonts w:ascii="Calibri" w:eastAsia="Calibri" w:hAnsi="Calibri" w:cs="Calibri"/>
                <w:sz w:val="22"/>
                <w:szCs w:val="22"/>
              </w:rPr>
              <w:t>v</w:t>
            </w:r>
            <w:r>
              <w:rPr>
                <w:rFonts w:ascii="Calibri" w:eastAsia="Calibri" w:hAnsi="Calibri" w:cs="Calibri"/>
                <w:b/>
                <w:bCs/>
                <w:sz w:val="22"/>
                <w:szCs w:val="22"/>
              </w:rPr>
              <w:t>c</w:t>
            </w:r>
            <w:r>
              <w:rPr>
                <w:rFonts w:ascii="Calibri" w:eastAsia="Calibri" w:hAnsi="Calibri" w:cs="Calibri"/>
                <w:sz w:val="22"/>
                <w:szCs w:val="22"/>
              </w:rPr>
              <w:t>id</w:t>
            </w:r>
            <w:r>
              <w:rPr>
                <w:rFonts w:ascii="Calibri" w:eastAsia="Calibri" w:hAnsi="Calibri" w:cs="Calibri"/>
                <w:b/>
                <w:bCs/>
                <w:sz w:val="22"/>
                <w:szCs w:val="22"/>
              </w:rPr>
              <w:t>h</w:t>
            </w:r>
            <w:r>
              <w:rPr>
                <w:rFonts w:ascii="Calibri" w:eastAsia="Calibri" w:hAnsi="Calibri" w:cs="Calibri"/>
                <w:sz w:val="22"/>
                <w:szCs w:val="22"/>
              </w:rPr>
              <w:t>u</w:t>
            </w:r>
            <w:r>
              <w:rPr>
                <w:rFonts w:ascii="Calibri" w:eastAsia="Calibri" w:hAnsi="Calibri" w:cs="Calibri"/>
                <w:b/>
                <w:bCs/>
                <w:sz w:val="22"/>
                <w:szCs w:val="22"/>
              </w:rPr>
              <w:t>k</w:t>
            </w:r>
            <w:r>
              <w:rPr>
                <w:rFonts w:ascii="Calibri" w:eastAsia="Calibri" w:hAnsi="Calibri" w:cs="Calibri"/>
                <w:sz w:val="22"/>
                <w:szCs w:val="22"/>
              </w:rPr>
              <w:t>á</w:t>
            </w:r>
            <w:r>
              <w:rPr>
                <w:rFonts w:ascii="Calibri" w:eastAsia="Calibri" w:hAnsi="Calibri" w:cs="Calibri"/>
                <w:b/>
                <w:bCs/>
                <w:sz w:val="22"/>
                <w:szCs w:val="22"/>
              </w:rPr>
              <w:t>m</w:t>
            </w:r>
            <w:r>
              <w:rPr>
                <w:rFonts w:ascii="Calibri" w:eastAsia="Calibri" w:hAnsi="Calibri" w:cs="Calibri"/>
                <w:sz w:val="22"/>
                <w:szCs w:val="22"/>
              </w:rPr>
              <w:t>lní</w:t>
            </w:r>
            <w:r>
              <w:rPr>
                <w:rFonts w:ascii="Calibri" w:eastAsia="Calibri" w:hAnsi="Calibri" w:cs="Calibri"/>
                <w:b/>
                <w:bCs/>
                <w:sz w:val="22"/>
                <w:szCs w:val="22"/>
              </w:rPr>
              <w:t>n</w:t>
            </w:r>
            <w:r>
              <w:rPr>
                <w:rFonts w:ascii="Calibri" w:eastAsia="Calibri" w:hAnsi="Calibri" w:cs="Calibri"/>
                <w:sz w:val="22"/>
                <w:szCs w:val="22"/>
              </w:rPr>
              <w:t>o</w:t>
            </w:r>
            <w:r>
              <w:rPr>
                <w:rFonts w:ascii="Calibri" w:eastAsia="Calibri" w:hAnsi="Calibri" w:cs="Calibri"/>
                <w:b/>
                <w:bCs/>
                <w:sz w:val="22"/>
                <w:szCs w:val="22"/>
              </w:rPr>
              <w:t>k</w:t>
            </w:r>
            <w:r>
              <w:rPr>
                <w:rFonts w:ascii="Calibri" w:eastAsia="Calibri" w:hAnsi="Calibri" w:cs="Calibri"/>
                <w:sz w:val="22"/>
                <w:szCs w:val="22"/>
              </w:rPr>
              <w:t>c</w:t>
            </w:r>
            <w:r>
              <w:rPr>
                <w:rFonts w:ascii="Calibri" w:eastAsia="Calibri" w:hAnsi="Calibri" w:cs="Calibri"/>
                <w:b/>
                <w:bCs/>
                <w:sz w:val="22"/>
                <w:szCs w:val="22"/>
              </w:rPr>
              <w:t>ů</w:t>
            </w:r>
            <w:r>
              <w:rPr>
                <w:rFonts w:ascii="Calibri" w:eastAsia="Calibri" w:hAnsi="Calibri" w:cs="Calibri"/>
                <w:sz w:val="22"/>
                <w:szCs w:val="22"/>
              </w:rPr>
              <w:t>hr</w:t>
            </w:r>
            <w:r>
              <w:rPr>
                <w:rFonts w:ascii="Calibri" w:eastAsia="Calibri" w:hAnsi="Calibri" w:cs="Calibri"/>
                <w:b/>
                <w:bCs/>
                <w:sz w:val="22"/>
                <w:szCs w:val="22"/>
              </w:rPr>
              <w:t>S</w:t>
            </w:r>
            <w:r>
              <w:rPr>
                <w:rFonts w:ascii="Calibri" w:eastAsia="Calibri" w:hAnsi="Calibri" w:cs="Calibri"/>
                <w:sz w:val="22"/>
                <w:szCs w:val="22"/>
              </w:rPr>
              <w:t>a</w:t>
            </w:r>
            <w:r>
              <w:rPr>
                <w:rFonts w:ascii="Calibri" w:eastAsia="Calibri" w:hAnsi="Calibri" w:cs="Calibri"/>
                <w:b/>
                <w:bCs/>
                <w:sz w:val="22"/>
                <w:szCs w:val="22"/>
              </w:rPr>
              <w:t>t</w:t>
            </w:r>
            <w:r>
              <w:rPr>
                <w:rFonts w:ascii="Calibri" w:eastAsia="Calibri" w:hAnsi="Calibri" w:cs="Calibri"/>
                <w:sz w:val="22"/>
                <w:szCs w:val="22"/>
              </w:rPr>
              <w:t>n</w:t>
            </w:r>
            <w:r>
              <w:rPr>
                <w:rFonts w:ascii="Calibri" w:eastAsia="Calibri" w:hAnsi="Calibri" w:cs="Calibri"/>
                <w:b/>
                <w:bCs/>
                <w:sz w:val="22"/>
                <w:szCs w:val="22"/>
              </w:rPr>
              <w:t>o</w:t>
            </w:r>
            <w:r>
              <w:rPr>
                <w:rFonts w:ascii="Calibri" w:eastAsia="Calibri" w:hAnsi="Calibri" w:cs="Calibri"/>
                <w:sz w:val="22"/>
                <w:szCs w:val="22"/>
              </w:rPr>
              <w:t>a</w:t>
            </w:r>
            <w:r>
              <w:rPr>
                <w:rFonts w:ascii="Calibri" w:eastAsia="Calibri" w:hAnsi="Calibri" w:cs="Calibri"/>
                <w:b/>
                <w:bCs/>
                <w:sz w:val="22"/>
                <w:szCs w:val="22"/>
              </w:rPr>
              <w:t>pk</w:t>
            </w:r>
            <w:r>
              <w:rPr>
                <w:rFonts w:ascii="Calibri" w:eastAsia="Calibri" w:hAnsi="Calibri" w:cs="Calibri"/>
                <w:sz w:val="22"/>
                <w:szCs w:val="22"/>
              </w:rPr>
              <w:t>p</w:t>
            </w:r>
            <w:r>
              <w:rPr>
                <w:rFonts w:ascii="Calibri" w:eastAsia="Calibri" w:hAnsi="Calibri" w:cs="Calibri"/>
                <w:b/>
                <w:bCs/>
                <w:sz w:val="22"/>
                <w:szCs w:val="22"/>
              </w:rPr>
              <w:t>u</w:t>
            </w:r>
            <w:r>
              <w:rPr>
                <w:rFonts w:ascii="Calibri" w:eastAsia="Calibri" w:hAnsi="Calibri" w:cs="Calibri"/>
                <w:sz w:val="22"/>
                <w:szCs w:val="22"/>
              </w:rPr>
              <w:t>r</w:t>
            </w:r>
            <w:r>
              <w:rPr>
                <w:rFonts w:ascii="Calibri" w:eastAsia="Calibri" w:hAnsi="Calibri" w:cs="Calibri"/>
                <w:b/>
                <w:bCs/>
                <w:sz w:val="22"/>
                <w:szCs w:val="22"/>
              </w:rPr>
              <w:t>s</w:t>
            </w:r>
            <w:r>
              <w:rPr>
                <w:rFonts w:ascii="Calibri" w:eastAsia="Calibri" w:hAnsi="Calibri" w:cs="Calibri"/>
                <w:sz w:val="22"/>
                <w:szCs w:val="22"/>
              </w:rPr>
              <w:t>oti zvěři</w:t>
            </w:r>
          </w:p>
        </w:tc>
      </w:tr>
      <w:tr w:rsidR="007D45F0">
        <w:tblPrEx>
          <w:tblCellMar>
            <w:top w:w="0" w:type="dxa"/>
            <w:bottom w:w="0" w:type="dxa"/>
          </w:tblCellMar>
        </w:tblPrEx>
        <w:trPr>
          <w:trHeight w:hRule="exact" w:val="581"/>
          <w:jc w:val="center"/>
        </w:trPr>
        <w:tc>
          <w:tcPr>
            <w:tcW w:w="547" w:type="dxa"/>
            <w:tcBorders>
              <w:top w:val="single" w:sz="4" w:space="0" w:color="auto"/>
              <w:left w:val="single" w:sz="4" w:space="0" w:color="auto"/>
            </w:tcBorders>
            <w:shd w:val="clear" w:color="auto" w:fill="FFFFFF"/>
          </w:tcPr>
          <w:p w:rsidR="007D45F0" w:rsidRDefault="007D45F0">
            <w:pPr>
              <w:rPr>
                <w:sz w:val="10"/>
                <w:szCs w:val="10"/>
              </w:rPr>
            </w:pPr>
          </w:p>
        </w:tc>
        <w:tc>
          <w:tcPr>
            <w:tcW w:w="758" w:type="dxa"/>
            <w:tcBorders>
              <w:top w:val="single" w:sz="4" w:space="0" w:color="auto"/>
              <w:left w:val="single" w:sz="4" w:space="0" w:color="auto"/>
            </w:tcBorders>
            <w:shd w:val="clear" w:color="auto" w:fill="FFFFFF"/>
          </w:tcPr>
          <w:p w:rsidR="007D45F0" w:rsidRDefault="007D45F0">
            <w:pPr>
              <w:rPr>
                <w:sz w:val="10"/>
                <w:szCs w:val="10"/>
              </w:rPr>
            </w:pPr>
          </w:p>
        </w:tc>
        <w:tc>
          <w:tcPr>
            <w:tcW w:w="874"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LE16a</w:t>
            </w:r>
          </w:p>
        </w:tc>
        <w:tc>
          <w:tcPr>
            <w:tcW w:w="3581" w:type="dxa"/>
            <w:tcBorders>
              <w:top w:val="single" w:sz="4" w:space="0" w:color="auto"/>
              <w:left w:val="single" w:sz="4" w:space="0" w:color="auto"/>
            </w:tcBorders>
            <w:shd w:val="clear" w:color="auto" w:fill="FFFFFF"/>
            <w:vAlign w:val="bottom"/>
          </w:tcPr>
          <w:p w:rsidR="007D45F0" w:rsidRDefault="00FC1E4A">
            <w:pPr>
              <w:pStyle w:val="Jin0"/>
              <w:shd w:val="clear" w:color="auto" w:fill="auto"/>
              <w:spacing w:after="0" w:line="254" w:lineRule="auto"/>
              <w:rPr>
                <w:sz w:val="22"/>
                <w:szCs w:val="22"/>
              </w:rPr>
            </w:pPr>
            <w:r>
              <w:rPr>
                <w:rFonts w:ascii="Calibri" w:eastAsia="Calibri" w:hAnsi="Calibri" w:cs="Calibri"/>
                <w:b/>
                <w:bCs/>
                <w:sz w:val="22"/>
                <w:szCs w:val="22"/>
              </w:rPr>
              <w:t>Instalace trvalé individuální ochrany ze svařovaného pletiva</w:t>
            </w:r>
          </w:p>
        </w:tc>
        <w:tc>
          <w:tcPr>
            <w:tcW w:w="758"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ks</w:t>
            </w:r>
          </w:p>
        </w:tc>
        <w:tc>
          <w:tcPr>
            <w:tcW w:w="1075"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jc w:val="right"/>
              <w:rPr>
                <w:sz w:val="22"/>
                <w:szCs w:val="22"/>
              </w:rPr>
            </w:pPr>
            <w:r>
              <w:rPr>
                <w:rFonts w:ascii="Calibri" w:eastAsia="Calibri" w:hAnsi="Calibri" w:cs="Calibri"/>
                <w:b/>
                <w:bCs/>
                <w:sz w:val="22"/>
                <w:szCs w:val="22"/>
              </w:rPr>
              <w:t>25</w:t>
            </w:r>
          </w:p>
        </w:tc>
        <w:tc>
          <w:tcPr>
            <w:tcW w:w="1550" w:type="dxa"/>
            <w:tcBorders>
              <w:top w:val="single" w:sz="4" w:space="0" w:color="auto"/>
              <w:left w:val="single" w:sz="4" w:space="0" w:color="auto"/>
            </w:tcBorders>
            <w:shd w:val="clear" w:color="auto" w:fill="EAEEE7"/>
          </w:tcPr>
          <w:p w:rsidR="007D45F0" w:rsidRDefault="00FC1E4A">
            <w:pPr>
              <w:pStyle w:val="Jin0"/>
              <w:shd w:val="clear" w:color="auto" w:fill="auto"/>
              <w:spacing w:after="0" w:line="240" w:lineRule="auto"/>
              <w:jc w:val="right"/>
              <w:rPr>
                <w:sz w:val="22"/>
                <w:szCs w:val="22"/>
              </w:rPr>
            </w:pPr>
            <w:r>
              <w:rPr>
                <w:rFonts w:ascii="Calibri" w:eastAsia="Calibri" w:hAnsi="Calibri" w:cs="Calibri"/>
                <w:sz w:val="22"/>
                <w:szCs w:val="22"/>
              </w:rPr>
              <w:t>465,00</w:t>
            </w:r>
          </w:p>
        </w:tc>
        <w:tc>
          <w:tcPr>
            <w:tcW w:w="1685" w:type="dxa"/>
            <w:tcBorders>
              <w:top w:val="single" w:sz="4" w:space="0" w:color="auto"/>
              <w:left w:val="single" w:sz="4" w:space="0" w:color="auto"/>
              <w:right w:val="single" w:sz="4" w:space="0" w:color="auto"/>
            </w:tcBorders>
            <w:shd w:val="clear" w:color="auto" w:fill="FFFFFF"/>
          </w:tcPr>
          <w:p w:rsidR="007D45F0" w:rsidRDefault="00FC1E4A">
            <w:pPr>
              <w:pStyle w:val="Jin0"/>
              <w:shd w:val="clear" w:color="auto" w:fill="auto"/>
              <w:spacing w:after="0" w:line="240" w:lineRule="auto"/>
              <w:ind w:firstLine="720"/>
              <w:jc w:val="both"/>
              <w:rPr>
                <w:sz w:val="22"/>
                <w:szCs w:val="22"/>
              </w:rPr>
            </w:pPr>
            <w:r>
              <w:rPr>
                <w:rFonts w:ascii="Calibri" w:eastAsia="Calibri" w:hAnsi="Calibri" w:cs="Calibri"/>
                <w:sz w:val="22"/>
                <w:szCs w:val="22"/>
              </w:rPr>
              <w:t>11 625,00</w:t>
            </w:r>
          </w:p>
        </w:tc>
      </w:tr>
      <w:tr w:rsidR="007D45F0">
        <w:tblPrEx>
          <w:tblCellMar>
            <w:top w:w="0" w:type="dxa"/>
            <w:bottom w:w="0" w:type="dxa"/>
          </w:tblCellMar>
        </w:tblPrEx>
        <w:trPr>
          <w:trHeight w:hRule="exact" w:val="586"/>
          <w:jc w:val="center"/>
        </w:trPr>
        <w:tc>
          <w:tcPr>
            <w:tcW w:w="547" w:type="dxa"/>
            <w:tcBorders>
              <w:top w:val="single" w:sz="4" w:space="0" w:color="auto"/>
              <w:left w:val="single" w:sz="4" w:space="0" w:color="auto"/>
            </w:tcBorders>
            <w:shd w:val="clear" w:color="auto" w:fill="EAEEE7"/>
            <w:vAlign w:val="center"/>
          </w:tcPr>
          <w:p w:rsidR="007D45F0" w:rsidRDefault="00FC1E4A">
            <w:pPr>
              <w:pStyle w:val="Jin0"/>
              <w:shd w:val="clear" w:color="auto" w:fill="auto"/>
              <w:spacing w:after="0" w:line="240" w:lineRule="auto"/>
              <w:ind w:firstLine="380"/>
              <w:rPr>
                <w:sz w:val="22"/>
                <w:szCs w:val="22"/>
              </w:rPr>
            </w:pPr>
            <w:r>
              <w:rPr>
                <w:rFonts w:ascii="Calibri" w:eastAsia="Calibri" w:hAnsi="Calibri" w:cs="Calibri"/>
                <w:sz w:val="22"/>
                <w:szCs w:val="22"/>
              </w:rPr>
              <w:t>4</w:t>
            </w:r>
          </w:p>
        </w:tc>
        <w:tc>
          <w:tcPr>
            <w:tcW w:w="758" w:type="dxa"/>
            <w:tcBorders>
              <w:top w:val="single" w:sz="4" w:space="0" w:color="auto"/>
              <w:left w:val="single" w:sz="4" w:space="0" w:color="auto"/>
            </w:tcBorders>
            <w:shd w:val="clear" w:color="auto" w:fill="EAEEE7"/>
            <w:vAlign w:val="center"/>
          </w:tcPr>
          <w:p w:rsidR="007D45F0" w:rsidRDefault="00FC1E4A">
            <w:pPr>
              <w:pStyle w:val="Jin0"/>
              <w:shd w:val="clear" w:color="auto" w:fill="auto"/>
              <w:spacing w:after="0" w:line="240" w:lineRule="auto"/>
              <w:ind w:firstLine="240"/>
              <w:rPr>
                <w:sz w:val="22"/>
                <w:szCs w:val="22"/>
              </w:rPr>
            </w:pPr>
            <w:r>
              <w:rPr>
                <w:rFonts w:ascii="Calibri" w:eastAsia="Calibri" w:hAnsi="Calibri" w:cs="Calibri"/>
                <w:sz w:val="22"/>
                <w:szCs w:val="22"/>
              </w:rPr>
              <w:t>2023</w:t>
            </w:r>
          </w:p>
        </w:tc>
        <w:tc>
          <w:tcPr>
            <w:tcW w:w="874" w:type="dxa"/>
            <w:tcBorders>
              <w:top w:val="single" w:sz="4" w:space="0" w:color="auto"/>
              <w:left w:val="single" w:sz="4" w:space="0" w:color="auto"/>
            </w:tcBorders>
            <w:shd w:val="clear" w:color="auto" w:fill="EAEEE7"/>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LE17</w:t>
            </w:r>
          </w:p>
        </w:tc>
        <w:tc>
          <w:tcPr>
            <w:tcW w:w="8649" w:type="dxa"/>
            <w:gridSpan w:val="5"/>
            <w:tcBorders>
              <w:top w:val="single" w:sz="4" w:space="0" w:color="auto"/>
              <w:left w:val="single" w:sz="4" w:space="0" w:color="auto"/>
              <w:right w:val="single" w:sz="4" w:space="0" w:color="auto"/>
            </w:tcBorders>
            <w:shd w:val="clear" w:color="auto" w:fill="EAEEE7"/>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Výsadba, dosadba, podsadba</w:t>
            </w:r>
          </w:p>
        </w:tc>
      </w:tr>
      <w:tr w:rsidR="007D45F0">
        <w:tblPrEx>
          <w:tblCellMar>
            <w:top w:w="0" w:type="dxa"/>
            <w:bottom w:w="0" w:type="dxa"/>
          </w:tblCellMar>
        </w:tblPrEx>
        <w:trPr>
          <w:trHeight w:hRule="exact" w:val="581"/>
          <w:jc w:val="center"/>
        </w:trPr>
        <w:tc>
          <w:tcPr>
            <w:tcW w:w="547" w:type="dxa"/>
            <w:tcBorders>
              <w:top w:val="single" w:sz="4" w:space="0" w:color="auto"/>
              <w:left w:val="single" w:sz="4" w:space="0" w:color="auto"/>
            </w:tcBorders>
            <w:shd w:val="clear" w:color="auto" w:fill="FFFFFF"/>
          </w:tcPr>
          <w:p w:rsidR="007D45F0" w:rsidRDefault="007D45F0">
            <w:pPr>
              <w:rPr>
                <w:sz w:val="10"/>
                <w:szCs w:val="10"/>
              </w:rPr>
            </w:pPr>
          </w:p>
        </w:tc>
        <w:tc>
          <w:tcPr>
            <w:tcW w:w="758" w:type="dxa"/>
            <w:tcBorders>
              <w:top w:val="single" w:sz="4" w:space="0" w:color="auto"/>
              <w:left w:val="single" w:sz="4" w:space="0" w:color="auto"/>
            </w:tcBorders>
            <w:shd w:val="clear" w:color="auto" w:fill="FFFFFF"/>
          </w:tcPr>
          <w:p w:rsidR="007D45F0" w:rsidRDefault="007D45F0">
            <w:pPr>
              <w:rPr>
                <w:sz w:val="10"/>
                <w:szCs w:val="10"/>
              </w:rPr>
            </w:pPr>
          </w:p>
        </w:tc>
        <w:tc>
          <w:tcPr>
            <w:tcW w:w="874"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LE17f</w:t>
            </w:r>
          </w:p>
        </w:tc>
        <w:tc>
          <w:tcPr>
            <w:tcW w:w="3581" w:type="dxa"/>
            <w:tcBorders>
              <w:top w:val="single" w:sz="4" w:space="0" w:color="auto"/>
              <w:left w:val="single" w:sz="4" w:space="0" w:color="auto"/>
            </w:tcBorders>
            <w:shd w:val="clear" w:color="auto" w:fill="FFFFFF"/>
            <w:vAlign w:val="bottom"/>
          </w:tcPr>
          <w:p w:rsidR="007D45F0" w:rsidRDefault="00FC1E4A">
            <w:pPr>
              <w:pStyle w:val="Jin0"/>
              <w:shd w:val="clear" w:color="auto" w:fill="auto"/>
              <w:spacing w:after="0" w:line="254" w:lineRule="auto"/>
              <w:rPr>
                <w:sz w:val="22"/>
                <w:szCs w:val="22"/>
              </w:rPr>
            </w:pPr>
            <w:r>
              <w:rPr>
                <w:rFonts w:ascii="Calibri" w:eastAsia="Calibri" w:hAnsi="Calibri" w:cs="Calibri"/>
                <w:b/>
                <w:bCs/>
                <w:sz w:val="22"/>
                <w:szCs w:val="22"/>
              </w:rPr>
              <w:t xml:space="preserve">Výsadba, dosadba, </w:t>
            </w:r>
            <w:r>
              <w:rPr>
                <w:rFonts w:ascii="Calibri" w:eastAsia="Calibri" w:hAnsi="Calibri" w:cs="Calibri"/>
                <w:b/>
                <w:bCs/>
                <w:sz w:val="22"/>
                <w:szCs w:val="22"/>
              </w:rPr>
              <w:t>podsadba, JD, prostokořenné, 26-50 cm</w:t>
            </w:r>
          </w:p>
        </w:tc>
        <w:tc>
          <w:tcPr>
            <w:tcW w:w="758"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ks</w:t>
            </w:r>
          </w:p>
        </w:tc>
        <w:tc>
          <w:tcPr>
            <w:tcW w:w="1075"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jc w:val="right"/>
              <w:rPr>
                <w:sz w:val="22"/>
                <w:szCs w:val="22"/>
              </w:rPr>
            </w:pPr>
            <w:r>
              <w:rPr>
                <w:rFonts w:ascii="Calibri" w:eastAsia="Calibri" w:hAnsi="Calibri" w:cs="Calibri"/>
                <w:b/>
                <w:bCs/>
                <w:sz w:val="22"/>
                <w:szCs w:val="22"/>
              </w:rPr>
              <w:t>9500</w:t>
            </w:r>
          </w:p>
        </w:tc>
        <w:tc>
          <w:tcPr>
            <w:tcW w:w="1550" w:type="dxa"/>
            <w:tcBorders>
              <w:top w:val="single" w:sz="4" w:space="0" w:color="auto"/>
              <w:left w:val="single" w:sz="4" w:space="0" w:color="auto"/>
            </w:tcBorders>
            <w:shd w:val="clear" w:color="auto" w:fill="EAEEE7"/>
          </w:tcPr>
          <w:p w:rsidR="007D45F0" w:rsidRDefault="00FC1E4A">
            <w:pPr>
              <w:pStyle w:val="Jin0"/>
              <w:shd w:val="clear" w:color="auto" w:fill="auto"/>
              <w:spacing w:after="0" w:line="240" w:lineRule="auto"/>
              <w:jc w:val="right"/>
              <w:rPr>
                <w:sz w:val="22"/>
                <w:szCs w:val="22"/>
              </w:rPr>
            </w:pPr>
            <w:r>
              <w:rPr>
                <w:rFonts w:ascii="Calibri" w:eastAsia="Calibri" w:hAnsi="Calibri" w:cs="Calibri"/>
                <w:sz w:val="22"/>
                <w:szCs w:val="22"/>
              </w:rPr>
              <w:t>27,85</w:t>
            </w:r>
          </w:p>
        </w:tc>
        <w:tc>
          <w:tcPr>
            <w:tcW w:w="1685" w:type="dxa"/>
            <w:tcBorders>
              <w:top w:val="single" w:sz="4" w:space="0" w:color="auto"/>
              <w:left w:val="single" w:sz="4" w:space="0" w:color="auto"/>
              <w:right w:val="single" w:sz="4" w:space="0" w:color="auto"/>
            </w:tcBorders>
            <w:shd w:val="clear" w:color="auto" w:fill="FFFFFF"/>
          </w:tcPr>
          <w:p w:rsidR="007D45F0" w:rsidRDefault="00FC1E4A">
            <w:pPr>
              <w:pStyle w:val="Jin0"/>
              <w:shd w:val="clear" w:color="auto" w:fill="auto"/>
              <w:spacing w:after="0" w:line="240" w:lineRule="auto"/>
              <w:ind w:firstLine="600"/>
              <w:jc w:val="both"/>
              <w:rPr>
                <w:sz w:val="22"/>
                <w:szCs w:val="22"/>
              </w:rPr>
            </w:pPr>
            <w:r>
              <w:rPr>
                <w:rFonts w:ascii="Calibri" w:eastAsia="Calibri" w:hAnsi="Calibri" w:cs="Calibri"/>
                <w:sz w:val="22"/>
                <w:szCs w:val="22"/>
              </w:rPr>
              <w:t>264 575,00</w:t>
            </w:r>
          </w:p>
        </w:tc>
      </w:tr>
      <w:tr w:rsidR="007D45F0">
        <w:tblPrEx>
          <w:tblCellMar>
            <w:top w:w="0" w:type="dxa"/>
            <w:bottom w:w="0" w:type="dxa"/>
          </w:tblCellMar>
        </w:tblPrEx>
        <w:trPr>
          <w:trHeight w:hRule="exact" w:val="293"/>
          <w:jc w:val="center"/>
        </w:trPr>
        <w:tc>
          <w:tcPr>
            <w:tcW w:w="547" w:type="dxa"/>
            <w:tcBorders>
              <w:top w:val="single" w:sz="4" w:space="0" w:color="auto"/>
              <w:left w:val="single" w:sz="4" w:space="0" w:color="auto"/>
            </w:tcBorders>
            <w:shd w:val="clear" w:color="auto" w:fill="EAEEE7"/>
            <w:vAlign w:val="bottom"/>
          </w:tcPr>
          <w:p w:rsidR="007D45F0" w:rsidRDefault="00FC1E4A">
            <w:pPr>
              <w:pStyle w:val="Jin0"/>
              <w:shd w:val="clear" w:color="auto" w:fill="auto"/>
              <w:spacing w:after="0" w:line="240" w:lineRule="auto"/>
              <w:ind w:firstLine="380"/>
              <w:rPr>
                <w:sz w:val="22"/>
                <w:szCs w:val="22"/>
              </w:rPr>
            </w:pPr>
            <w:r>
              <w:rPr>
                <w:rFonts w:ascii="Calibri" w:eastAsia="Calibri" w:hAnsi="Calibri" w:cs="Calibri"/>
                <w:sz w:val="22"/>
                <w:szCs w:val="22"/>
              </w:rPr>
              <w:t>5</w:t>
            </w:r>
          </w:p>
        </w:tc>
        <w:tc>
          <w:tcPr>
            <w:tcW w:w="758" w:type="dxa"/>
            <w:tcBorders>
              <w:top w:val="single" w:sz="4" w:space="0" w:color="auto"/>
              <w:left w:val="single" w:sz="4" w:space="0" w:color="auto"/>
            </w:tcBorders>
            <w:shd w:val="clear" w:color="auto" w:fill="EAEEE7"/>
            <w:vAlign w:val="bottom"/>
          </w:tcPr>
          <w:p w:rsidR="007D45F0" w:rsidRDefault="00FC1E4A">
            <w:pPr>
              <w:pStyle w:val="Jin0"/>
              <w:shd w:val="clear" w:color="auto" w:fill="auto"/>
              <w:spacing w:after="0" w:line="240" w:lineRule="auto"/>
              <w:ind w:firstLine="240"/>
              <w:rPr>
                <w:sz w:val="22"/>
                <w:szCs w:val="22"/>
              </w:rPr>
            </w:pPr>
            <w:r>
              <w:rPr>
                <w:rFonts w:ascii="Calibri" w:eastAsia="Calibri" w:hAnsi="Calibri" w:cs="Calibri"/>
                <w:sz w:val="22"/>
                <w:szCs w:val="22"/>
              </w:rPr>
              <w:t>2023</w:t>
            </w:r>
          </w:p>
        </w:tc>
        <w:tc>
          <w:tcPr>
            <w:tcW w:w="874" w:type="dxa"/>
            <w:tcBorders>
              <w:top w:val="single" w:sz="4" w:space="0" w:color="auto"/>
              <w:left w:val="single" w:sz="4" w:space="0" w:color="auto"/>
            </w:tcBorders>
            <w:shd w:val="clear" w:color="auto" w:fill="EAEEE7"/>
            <w:vAlign w:val="bottom"/>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LE17</w:t>
            </w:r>
          </w:p>
        </w:tc>
        <w:tc>
          <w:tcPr>
            <w:tcW w:w="8649" w:type="dxa"/>
            <w:gridSpan w:val="5"/>
            <w:tcBorders>
              <w:top w:val="single" w:sz="4" w:space="0" w:color="auto"/>
              <w:left w:val="single" w:sz="4" w:space="0" w:color="auto"/>
              <w:right w:val="single" w:sz="4" w:space="0" w:color="auto"/>
            </w:tcBorders>
            <w:shd w:val="clear" w:color="auto" w:fill="EAEEE7"/>
            <w:vAlign w:val="bottom"/>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Výsadba, dosadba, podsadba</w:t>
            </w:r>
          </w:p>
        </w:tc>
      </w:tr>
      <w:tr w:rsidR="007D45F0">
        <w:tblPrEx>
          <w:tblCellMar>
            <w:top w:w="0" w:type="dxa"/>
            <w:bottom w:w="0" w:type="dxa"/>
          </w:tblCellMar>
        </w:tblPrEx>
        <w:trPr>
          <w:trHeight w:hRule="exact" w:val="581"/>
          <w:jc w:val="center"/>
        </w:trPr>
        <w:tc>
          <w:tcPr>
            <w:tcW w:w="547" w:type="dxa"/>
            <w:tcBorders>
              <w:top w:val="single" w:sz="4" w:space="0" w:color="auto"/>
              <w:left w:val="single" w:sz="4" w:space="0" w:color="auto"/>
            </w:tcBorders>
            <w:shd w:val="clear" w:color="auto" w:fill="FFFFFF"/>
          </w:tcPr>
          <w:p w:rsidR="007D45F0" w:rsidRDefault="007D45F0">
            <w:pPr>
              <w:rPr>
                <w:sz w:val="10"/>
                <w:szCs w:val="10"/>
              </w:rPr>
            </w:pPr>
          </w:p>
        </w:tc>
        <w:tc>
          <w:tcPr>
            <w:tcW w:w="758" w:type="dxa"/>
            <w:tcBorders>
              <w:top w:val="single" w:sz="4" w:space="0" w:color="auto"/>
              <w:left w:val="single" w:sz="4" w:space="0" w:color="auto"/>
            </w:tcBorders>
            <w:shd w:val="clear" w:color="auto" w:fill="FFFFFF"/>
          </w:tcPr>
          <w:p w:rsidR="007D45F0" w:rsidRDefault="007D45F0">
            <w:pPr>
              <w:rPr>
                <w:sz w:val="10"/>
                <w:szCs w:val="10"/>
              </w:rPr>
            </w:pPr>
          </w:p>
        </w:tc>
        <w:tc>
          <w:tcPr>
            <w:tcW w:w="874"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rPr>
                <w:sz w:val="22"/>
                <w:szCs w:val="22"/>
              </w:rPr>
            </w:pPr>
            <w:r>
              <w:rPr>
                <w:rFonts w:ascii="Calibri" w:eastAsia="Calibri" w:hAnsi="Calibri" w:cs="Calibri"/>
                <w:sz w:val="22"/>
                <w:szCs w:val="22"/>
              </w:rPr>
              <w:t>LE17j</w:t>
            </w:r>
          </w:p>
        </w:tc>
        <w:tc>
          <w:tcPr>
            <w:tcW w:w="3581" w:type="dxa"/>
            <w:tcBorders>
              <w:top w:val="single" w:sz="4" w:space="0" w:color="auto"/>
              <w:left w:val="single" w:sz="4" w:space="0" w:color="auto"/>
            </w:tcBorders>
            <w:shd w:val="clear" w:color="auto" w:fill="FFFFFF"/>
            <w:vAlign w:val="bottom"/>
          </w:tcPr>
          <w:p w:rsidR="007D45F0" w:rsidRDefault="00FC1E4A">
            <w:pPr>
              <w:pStyle w:val="Jin0"/>
              <w:shd w:val="clear" w:color="auto" w:fill="auto"/>
              <w:spacing w:after="0" w:line="257" w:lineRule="auto"/>
              <w:rPr>
                <w:sz w:val="22"/>
                <w:szCs w:val="22"/>
              </w:rPr>
            </w:pPr>
            <w:r>
              <w:rPr>
                <w:rFonts w:ascii="Calibri" w:eastAsia="Calibri" w:hAnsi="Calibri" w:cs="Calibri"/>
                <w:b/>
                <w:bCs/>
                <w:sz w:val="22"/>
                <w:szCs w:val="22"/>
              </w:rPr>
              <w:t>Výsadba, dosadba, podsadba, listnaté, prostokořenné, 36 - 50 cm</w:t>
            </w:r>
          </w:p>
        </w:tc>
        <w:tc>
          <w:tcPr>
            <w:tcW w:w="758"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rPr>
                <w:sz w:val="22"/>
                <w:szCs w:val="22"/>
              </w:rPr>
            </w:pPr>
            <w:r>
              <w:rPr>
                <w:rFonts w:ascii="Calibri" w:eastAsia="Calibri" w:hAnsi="Calibri" w:cs="Calibri"/>
                <w:b/>
                <w:bCs/>
                <w:sz w:val="22"/>
                <w:szCs w:val="22"/>
              </w:rPr>
              <w:t>ks</w:t>
            </w:r>
          </w:p>
        </w:tc>
        <w:tc>
          <w:tcPr>
            <w:tcW w:w="1075"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jc w:val="right"/>
              <w:rPr>
                <w:sz w:val="22"/>
                <w:szCs w:val="22"/>
              </w:rPr>
            </w:pPr>
            <w:r>
              <w:rPr>
                <w:rFonts w:ascii="Calibri" w:eastAsia="Calibri" w:hAnsi="Calibri" w:cs="Calibri"/>
                <w:b/>
                <w:bCs/>
                <w:sz w:val="22"/>
                <w:szCs w:val="22"/>
              </w:rPr>
              <w:t>500</w:t>
            </w:r>
          </w:p>
        </w:tc>
        <w:tc>
          <w:tcPr>
            <w:tcW w:w="1550" w:type="dxa"/>
            <w:tcBorders>
              <w:top w:val="single" w:sz="4" w:space="0" w:color="auto"/>
              <w:left w:val="single" w:sz="4" w:space="0" w:color="auto"/>
            </w:tcBorders>
            <w:shd w:val="clear" w:color="auto" w:fill="EAEEE7"/>
          </w:tcPr>
          <w:p w:rsidR="007D45F0" w:rsidRDefault="00FC1E4A">
            <w:pPr>
              <w:pStyle w:val="Jin0"/>
              <w:shd w:val="clear" w:color="auto" w:fill="auto"/>
              <w:spacing w:after="0" w:line="240" w:lineRule="auto"/>
              <w:jc w:val="right"/>
              <w:rPr>
                <w:sz w:val="22"/>
                <w:szCs w:val="22"/>
              </w:rPr>
            </w:pPr>
            <w:r>
              <w:rPr>
                <w:rFonts w:ascii="Calibri" w:eastAsia="Calibri" w:hAnsi="Calibri" w:cs="Calibri"/>
                <w:sz w:val="22"/>
                <w:szCs w:val="22"/>
              </w:rPr>
              <w:t>26,30</w:t>
            </w:r>
          </w:p>
        </w:tc>
        <w:tc>
          <w:tcPr>
            <w:tcW w:w="1685" w:type="dxa"/>
            <w:tcBorders>
              <w:top w:val="single" w:sz="4" w:space="0" w:color="auto"/>
              <w:left w:val="single" w:sz="4" w:space="0" w:color="auto"/>
              <w:right w:val="single" w:sz="4" w:space="0" w:color="auto"/>
            </w:tcBorders>
            <w:shd w:val="clear" w:color="auto" w:fill="FFFFFF"/>
          </w:tcPr>
          <w:p w:rsidR="007D45F0" w:rsidRDefault="00FC1E4A">
            <w:pPr>
              <w:pStyle w:val="Jin0"/>
              <w:shd w:val="clear" w:color="auto" w:fill="auto"/>
              <w:spacing w:after="0" w:line="240" w:lineRule="auto"/>
              <w:ind w:firstLine="720"/>
              <w:jc w:val="both"/>
              <w:rPr>
                <w:sz w:val="22"/>
                <w:szCs w:val="22"/>
              </w:rPr>
            </w:pPr>
            <w:r>
              <w:rPr>
                <w:rFonts w:ascii="Calibri" w:eastAsia="Calibri" w:hAnsi="Calibri" w:cs="Calibri"/>
                <w:sz w:val="22"/>
                <w:szCs w:val="22"/>
              </w:rPr>
              <w:t>13 150,00</w:t>
            </w:r>
          </w:p>
        </w:tc>
      </w:tr>
      <w:tr w:rsidR="007D45F0">
        <w:tblPrEx>
          <w:tblCellMar>
            <w:top w:w="0" w:type="dxa"/>
            <w:bottom w:w="0" w:type="dxa"/>
          </w:tblCellMar>
        </w:tblPrEx>
        <w:trPr>
          <w:trHeight w:hRule="exact" w:val="600"/>
          <w:jc w:val="center"/>
        </w:trPr>
        <w:tc>
          <w:tcPr>
            <w:tcW w:w="547" w:type="dxa"/>
            <w:tcBorders>
              <w:top w:val="single" w:sz="4" w:space="0" w:color="auto"/>
              <w:left w:val="single" w:sz="4" w:space="0" w:color="auto"/>
            </w:tcBorders>
            <w:shd w:val="clear" w:color="auto" w:fill="FFFFFF"/>
          </w:tcPr>
          <w:p w:rsidR="007D45F0" w:rsidRDefault="007D45F0">
            <w:pPr>
              <w:rPr>
                <w:sz w:val="10"/>
                <w:szCs w:val="10"/>
              </w:rPr>
            </w:pPr>
          </w:p>
        </w:tc>
        <w:tc>
          <w:tcPr>
            <w:tcW w:w="758" w:type="dxa"/>
            <w:tcBorders>
              <w:top w:val="single" w:sz="4" w:space="0" w:color="auto"/>
              <w:left w:val="single" w:sz="4" w:space="0" w:color="auto"/>
            </w:tcBorders>
            <w:shd w:val="clear" w:color="auto" w:fill="FFFFFF"/>
          </w:tcPr>
          <w:p w:rsidR="007D45F0" w:rsidRDefault="007D45F0">
            <w:pPr>
              <w:rPr>
                <w:sz w:val="10"/>
                <w:szCs w:val="10"/>
              </w:rPr>
            </w:pPr>
          </w:p>
        </w:tc>
        <w:tc>
          <w:tcPr>
            <w:tcW w:w="874" w:type="dxa"/>
            <w:tcBorders>
              <w:top w:val="single" w:sz="4" w:space="0" w:color="auto"/>
              <w:left w:val="single" w:sz="4" w:space="0" w:color="auto"/>
            </w:tcBorders>
            <w:shd w:val="clear" w:color="auto" w:fill="FFFFFF"/>
          </w:tcPr>
          <w:p w:rsidR="007D45F0" w:rsidRDefault="007D45F0">
            <w:pPr>
              <w:rPr>
                <w:sz w:val="10"/>
                <w:szCs w:val="10"/>
              </w:rPr>
            </w:pPr>
          </w:p>
        </w:tc>
        <w:tc>
          <w:tcPr>
            <w:tcW w:w="3581" w:type="dxa"/>
            <w:tcBorders>
              <w:top w:val="single" w:sz="4" w:space="0" w:color="auto"/>
              <w:left w:val="single" w:sz="4" w:space="0" w:color="auto"/>
            </w:tcBorders>
            <w:shd w:val="clear" w:color="auto" w:fill="FFFFFF"/>
          </w:tcPr>
          <w:p w:rsidR="007D45F0" w:rsidRDefault="007D45F0">
            <w:pPr>
              <w:rPr>
                <w:sz w:val="10"/>
                <w:szCs w:val="10"/>
              </w:rPr>
            </w:pPr>
          </w:p>
        </w:tc>
        <w:tc>
          <w:tcPr>
            <w:tcW w:w="758" w:type="dxa"/>
            <w:tcBorders>
              <w:top w:val="single" w:sz="4" w:space="0" w:color="auto"/>
              <w:left w:val="single" w:sz="4" w:space="0" w:color="auto"/>
            </w:tcBorders>
            <w:shd w:val="clear" w:color="auto" w:fill="FFFFFF"/>
          </w:tcPr>
          <w:p w:rsidR="007D45F0" w:rsidRDefault="007D45F0">
            <w:pPr>
              <w:rPr>
                <w:sz w:val="10"/>
                <w:szCs w:val="10"/>
              </w:rPr>
            </w:pPr>
          </w:p>
        </w:tc>
        <w:tc>
          <w:tcPr>
            <w:tcW w:w="1075" w:type="dxa"/>
            <w:tcBorders>
              <w:top w:val="single" w:sz="4" w:space="0" w:color="auto"/>
              <w:left w:val="single" w:sz="4" w:space="0" w:color="auto"/>
            </w:tcBorders>
            <w:shd w:val="clear" w:color="auto" w:fill="FFFFFF"/>
          </w:tcPr>
          <w:p w:rsidR="007D45F0" w:rsidRDefault="007D45F0">
            <w:pPr>
              <w:rPr>
                <w:sz w:val="10"/>
                <w:szCs w:val="10"/>
              </w:rPr>
            </w:pPr>
          </w:p>
        </w:tc>
        <w:tc>
          <w:tcPr>
            <w:tcW w:w="1550"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jc w:val="right"/>
            </w:pPr>
            <w:r>
              <w:rPr>
                <w:rFonts w:ascii="Calibri" w:eastAsia="Calibri" w:hAnsi="Calibri" w:cs="Calibri"/>
              </w:rPr>
              <w:t>** sazba DPH %</w:t>
            </w:r>
          </w:p>
        </w:tc>
        <w:tc>
          <w:tcPr>
            <w:tcW w:w="1685" w:type="dxa"/>
            <w:tcBorders>
              <w:top w:val="single" w:sz="4" w:space="0" w:color="auto"/>
              <w:left w:val="single" w:sz="4" w:space="0" w:color="auto"/>
              <w:right w:val="single" w:sz="4" w:space="0" w:color="auto"/>
            </w:tcBorders>
            <w:shd w:val="clear" w:color="auto" w:fill="EAEEE7"/>
            <w:vAlign w:val="center"/>
          </w:tcPr>
          <w:p w:rsidR="007D45F0" w:rsidRDefault="00FC1E4A">
            <w:pPr>
              <w:pStyle w:val="Jin0"/>
              <w:shd w:val="clear" w:color="auto" w:fill="auto"/>
              <w:spacing w:after="0" w:line="240" w:lineRule="auto"/>
              <w:jc w:val="right"/>
              <w:rPr>
                <w:sz w:val="22"/>
                <w:szCs w:val="22"/>
              </w:rPr>
            </w:pPr>
            <w:r>
              <w:rPr>
                <w:rFonts w:ascii="Calibri" w:eastAsia="Calibri" w:hAnsi="Calibri" w:cs="Calibri"/>
                <w:sz w:val="22"/>
                <w:szCs w:val="22"/>
              </w:rPr>
              <w:t>21,00</w:t>
            </w:r>
          </w:p>
        </w:tc>
      </w:tr>
      <w:tr w:rsidR="007D45F0">
        <w:tblPrEx>
          <w:tblCellMar>
            <w:top w:w="0" w:type="dxa"/>
            <w:bottom w:w="0" w:type="dxa"/>
          </w:tblCellMar>
        </w:tblPrEx>
        <w:trPr>
          <w:trHeight w:hRule="exact" w:val="288"/>
          <w:jc w:val="center"/>
        </w:trPr>
        <w:tc>
          <w:tcPr>
            <w:tcW w:w="547" w:type="dxa"/>
            <w:tcBorders>
              <w:top w:val="single" w:sz="4" w:space="0" w:color="auto"/>
              <w:left w:val="single" w:sz="4" w:space="0" w:color="auto"/>
            </w:tcBorders>
            <w:shd w:val="clear" w:color="auto" w:fill="FFFFFF"/>
          </w:tcPr>
          <w:p w:rsidR="007D45F0" w:rsidRDefault="007D45F0">
            <w:pPr>
              <w:rPr>
                <w:sz w:val="10"/>
                <w:szCs w:val="10"/>
              </w:rPr>
            </w:pPr>
          </w:p>
        </w:tc>
        <w:tc>
          <w:tcPr>
            <w:tcW w:w="758" w:type="dxa"/>
            <w:tcBorders>
              <w:top w:val="single" w:sz="4" w:space="0" w:color="auto"/>
              <w:left w:val="single" w:sz="4" w:space="0" w:color="auto"/>
            </w:tcBorders>
            <w:shd w:val="clear" w:color="auto" w:fill="FFFFFF"/>
          </w:tcPr>
          <w:p w:rsidR="007D45F0" w:rsidRDefault="007D45F0">
            <w:pPr>
              <w:rPr>
                <w:sz w:val="10"/>
                <w:szCs w:val="10"/>
              </w:rPr>
            </w:pPr>
          </w:p>
        </w:tc>
        <w:tc>
          <w:tcPr>
            <w:tcW w:w="874" w:type="dxa"/>
            <w:tcBorders>
              <w:top w:val="single" w:sz="4" w:space="0" w:color="auto"/>
              <w:left w:val="single" w:sz="4" w:space="0" w:color="auto"/>
            </w:tcBorders>
            <w:shd w:val="clear" w:color="auto" w:fill="FFFFFF"/>
          </w:tcPr>
          <w:p w:rsidR="007D45F0" w:rsidRDefault="007D45F0">
            <w:pPr>
              <w:rPr>
                <w:sz w:val="10"/>
                <w:szCs w:val="10"/>
              </w:rPr>
            </w:pPr>
          </w:p>
        </w:tc>
        <w:tc>
          <w:tcPr>
            <w:tcW w:w="3581" w:type="dxa"/>
            <w:tcBorders>
              <w:top w:val="single" w:sz="4" w:space="0" w:color="auto"/>
              <w:left w:val="single" w:sz="4" w:space="0" w:color="auto"/>
            </w:tcBorders>
            <w:shd w:val="clear" w:color="auto" w:fill="FFFFFF"/>
          </w:tcPr>
          <w:p w:rsidR="007D45F0" w:rsidRDefault="007D45F0">
            <w:pPr>
              <w:rPr>
                <w:sz w:val="10"/>
                <w:szCs w:val="10"/>
              </w:rPr>
            </w:pPr>
          </w:p>
        </w:tc>
        <w:tc>
          <w:tcPr>
            <w:tcW w:w="758" w:type="dxa"/>
            <w:tcBorders>
              <w:top w:val="single" w:sz="4" w:space="0" w:color="auto"/>
              <w:left w:val="single" w:sz="4" w:space="0" w:color="auto"/>
            </w:tcBorders>
            <w:shd w:val="clear" w:color="auto" w:fill="FFFFFF"/>
          </w:tcPr>
          <w:p w:rsidR="007D45F0" w:rsidRDefault="007D45F0">
            <w:pPr>
              <w:rPr>
                <w:sz w:val="10"/>
                <w:szCs w:val="10"/>
              </w:rPr>
            </w:pPr>
          </w:p>
        </w:tc>
        <w:tc>
          <w:tcPr>
            <w:tcW w:w="1075" w:type="dxa"/>
            <w:tcBorders>
              <w:top w:val="single" w:sz="4" w:space="0" w:color="auto"/>
              <w:left w:val="single" w:sz="4" w:space="0" w:color="auto"/>
            </w:tcBorders>
            <w:shd w:val="clear" w:color="auto" w:fill="FFFFFF"/>
          </w:tcPr>
          <w:p w:rsidR="007D45F0" w:rsidRDefault="007D45F0">
            <w:pPr>
              <w:rPr>
                <w:sz w:val="10"/>
                <w:szCs w:val="10"/>
              </w:rPr>
            </w:pPr>
          </w:p>
        </w:tc>
        <w:tc>
          <w:tcPr>
            <w:tcW w:w="1550" w:type="dxa"/>
            <w:tcBorders>
              <w:top w:val="single" w:sz="4" w:space="0" w:color="auto"/>
              <w:left w:val="single" w:sz="4" w:space="0" w:color="auto"/>
            </w:tcBorders>
            <w:shd w:val="clear" w:color="auto" w:fill="FFFFFF"/>
            <w:vAlign w:val="bottom"/>
          </w:tcPr>
          <w:p w:rsidR="007D45F0" w:rsidRDefault="00FC1E4A">
            <w:pPr>
              <w:pStyle w:val="Jin0"/>
              <w:shd w:val="clear" w:color="auto" w:fill="auto"/>
              <w:spacing w:after="0" w:line="240" w:lineRule="auto"/>
              <w:jc w:val="right"/>
            </w:pPr>
            <w:r>
              <w:rPr>
                <w:rFonts w:ascii="Calibri" w:eastAsia="Calibri" w:hAnsi="Calibri" w:cs="Calibri"/>
              </w:rPr>
              <w:t>výše DPH</w:t>
            </w:r>
          </w:p>
        </w:tc>
        <w:tc>
          <w:tcPr>
            <w:tcW w:w="1685" w:type="dxa"/>
            <w:tcBorders>
              <w:top w:val="single" w:sz="4" w:space="0" w:color="auto"/>
              <w:left w:val="single" w:sz="4" w:space="0" w:color="auto"/>
              <w:right w:val="single" w:sz="4" w:space="0" w:color="auto"/>
            </w:tcBorders>
            <w:shd w:val="clear" w:color="auto" w:fill="FFFFFF"/>
            <w:vAlign w:val="bottom"/>
          </w:tcPr>
          <w:p w:rsidR="007D45F0" w:rsidRDefault="00FC1E4A">
            <w:pPr>
              <w:pStyle w:val="Jin0"/>
              <w:shd w:val="clear" w:color="auto" w:fill="auto"/>
              <w:spacing w:after="0" w:line="240" w:lineRule="auto"/>
              <w:ind w:firstLine="600"/>
              <w:rPr>
                <w:sz w:val="22"/>
                <w:szCs w:val="22"/>
              </w:rPr>
            </w:pPr>
            <w:r>
              <w:rPr>
                <w:rFonts w:ascii="Calibri" w:eastAsia="Calibri" w:hAnsi="Calibri" w:cs="Calibri"/>
                <w:sz w:val="22"/>
                <w:szCs w:val="22"/>
              </w:rPr>
              <w:t>121 663,50</w:t>
            </w:r>
          </w:p>
        </w:tc>
      </w:tr>
      <w:tr w:rsidR="007D45F0">
        <w:tblPrEx>
          <w:tblCellMar>
            <w:top w:w="0" w:type="dxa"/>
            <w:bottom w:w="0" w:type="dxa"/>
          </w:tblCellMar>
        </w:tblPrEx>
        <w:trPr>
          <w:trHeight w:hRule="exact" w:val="302"/>
          <w:jc w:val="center"/>
        </w:trPr>
        <w:tc>
          <w:tcPr>
            <w:tcW w:w="547" w:type="dxa"/>
            <w:tcBorders>
              <w:top w:val="single" w:sz="4" w:space="0" w:color="auto"/>
              <w:left w:val="single" w:sz="4" w:space="0" w:color="auto"/>
            </w:tcBorders>
            <w:shd w:val="clear" w:color="auto" w:fill="FFFFFF"/>
          </w:tcPr>
          <w:p w:rsidR="007D45F0" w:rsidRDefault="007D45F0">
            <w:pPr>
              <w:rPr>
                <w:sz w:val="10"/>
                <w:szCs w:val="10"/>
              </w:rPr>
            </w:pPr>
          </w:p>
        </w:tc>
        <w:tc>
          <w:tcPr>
            <w:tcW w:w="758" w:type="dxa"/>
            <w:tcBorders>
              <w:top w:val="single" w:sz="4" w:space="0" w:color="auto"/>
              <w:left w:val="single" w:sz="4" w:space="0" w:color="auto"/>
            </w:tcBorders>
            <w:shd w:val="clear" w:color="auto" w:fill="FFFFFF"/>
          </w:tcPr>
          <w:p w:rsidR="007D45F0" w:rsidRDefault="007D45F0">
            <w:pPr>
              <w:rPr>
                <w:sz w:val="10"/>
                <w:szCs w:val="10"/>
              </w:rPr>
            </w:pPr>
          </w:p>
        </w:tc>
        <w:tc>
          <w:tcPr>
            <w:tcW w:w="874" w:type="dxa"/>
            <w:tcBorders>
              <w:top w:val="single" w:sz="4" w:space="0" w:color="auto"/>
              <w:left w:val="single" w:sz="4" w:space="0" w:color="auto"/>
            </w:tcBorders>
            <w:shd w:val="clear" w:color="auto" w:fill="FFFFFF"/>
          </w:tcPr>
          <w:p w:rsidR="007D45F0" w:rsidRDefault="007D45F0">
            <w:pPr>
              <w:rPr>
                <w:sz w:val="10"/>
                <w:szCs w:val="10"/>
              </w:rPr>
            </w:pPr>
          </w:p>
        </w:tc>
        <w:tc>
          <w:tcPr>
            <w:tcW w:w="3581" w:type="dxa"/>
            <w:tcBorders>
              <w:top w:val="single" w:sz="4" w:space="0" w:color="auto"/>
              <w:left w:val="single" w:sz="4" w:space="0" w:color="auto"/>
            </w:tcBorders>
            <w:shd w:val="clear" w:color="auto" w:fill="FFFFFF"/>
          </w:tcPr>
          <w:p w:rsidR="007D45F0" w:rsidRDefault="007D45F0">
            <w:pPr>
              <w:rPr>
                <w:sz w:val="10"/>
                <w:szCs w:val="10"/>
              </w:rPr>
            </w:pPr>
          </w:p>
        </w:tc>
        <w:tc>
          <w:tcPr>
            <w:tcW w:w="758" w:type="dxa"/>
            <w:tcBorders>
              <w:top w:val="single" w:sz="4" w:space="0" w:color="auto"/>
              <w:left w:val="single" w:sz="4" w:space="0" w:color="auto"/>
            </w:tcBorders>
            <w:shd w:val="clear" w:color="auto" w:fill="FFFFFF"/>
          </w:tcPr>
          <w:p w:rsidR="007D45F0" w:rsidRDefault="007D45F0">
            <w:pPr>
              <w:rPr>
                <w:sz w:val="10"/>
                <w:szCs w:val="10"/>
              </w:rPr>
            </w:pPr>
          </w:p>
        </w:tc>
        <w:tc>
          <w:tcPr>
            <w:tcW w:w="1075" w:type="dxa"/>
            <w:tcBorders>
              <w:top w:val="single" w:sz="4" w:space="0" w:color="auto"/>
              <w:left w:val="single" w:sz="4" w:space="0" w:color="auto"/>
            </w:tcBorders>
            <w:shd w:val="clear" w:color="auto" w:fill="FFFFFF"/>
          </w:tcPr>
          <w:p w:rsidR="007D45F0" w:rsidRDefault="007D45F0">
            <w:pPr>
              <w:rPr>
                <w:sz w:val="10"/>
                <w:szCs w:val="10"/>
              </w:rPr>
            </w:pPr>
          </w:p>
        </w:tc>
        <w:tc>
          <w:tcPr>
            <w:tcW w:w="1550" w:type="dxa"/>
            <w:tcBorders>
              <w:top w:val="single" w:sz="4" w:space="0" w:color="auto"/>
              <w:left w:val="single" w:sz="4" w:space="0" w:color="auto"/>
            </w:tcBorders>
            <w:shd w:val="clear" w:color="auto" w:fill="FFFFFF"/>
            <w:vAlign w:val="bottom"/>
          </w:tcPr>
          <w:p w:rsidR="007D45F0" w:rsidRDefault="00FC1E4A">
            <w:pPr>
              <w:pStyle w:val="Jin0"/>
              <w:shd w:val="clear" w:color="auto" w:fill="auto"/>
              <w:spacing w:after="0" w:line="240" w:lineRule="auto"/>
              <w:jc w:val="right"/>
            </w:pPr>
            <w:r>
              <w:rPr>
                <w:rFonts w:ascii="Calibri" w:eastAsia="Calibri" w:hAnsi="Calibri" w:cs="Calibri"/>
              </w:rPr>
              <w:t>Cena bez DPH</w:t>
            </w:r>
          </w:p>
        </w:tc>
        <w:tc>
          <w:tcPr>
            <w:tcW w:w="1685" w:type="dxa"/>
            <w:tcBorders>
              <w:top w:val="single" w:sz="4" w:space="0" w:color="auto"/>
              <w:left w:val="single" w:sz="4" w:space="0" w:color="auto"/>
              <w:right w:val="single" w:sz="4" w:space="0" w:color="auto"/>
            </w:tcBorders>
            <w:shd w:val="clear" w:color="auto" w:fill="FFFFFF"/>
            <w:vAlign w:val="bottom"/>
          </w:tcPr>
          <w:p w:rsidR="007D45F0" w:rsidRDefault="00FC1E4A">
            <w:pPr>
              <w:pStyle w:val="Jin0"/>
              <w:shd w:val="clear" w:color="auto" w:fill="auto"/>
              <w:spacing w:after="0" w:line="240" w:lineRule="auto"/>
              <w:ind w:firstLine="600"/>
              <w:rPr>
                <w:sz w:val="22"/>
                <w:szCs w:val="22"/>
              </w:rPr>
            </w:pPr>
            <w:r>
              <w:rPr>
                <w:rFonts w:ascii="Calibri" w:eastAsia="Calibri" w:hAnsi="Calibri" w:cs="Calibri"/>
                <w:sz w:val="22"/>
                <w:szCs w:val="22"/>
              </w:rPr>
              <w:t>579 350,00</w:t>
            </w:r>
          </w:p>
        </w:tc>
      </w:tr>
      <w:tr w:rsidR="007D45F0">
        <w:tblPrEx>
          <w:tblCellMar>
            <w:top w:w="0" w:type="dxa"/>
            <w:bottom w:w="0" w:type="dxa"/>
          </w:tblCellMar>
        </w:tblPrEx>
        <w:trPr>
          <w:trHeight w:hRule="exact" w:val="298"/>
          <w:jc w:val="center"/>
        </w:trPr>
        <w:tc>
          <w:tcPr>
            <w:tcW w:w="547" w:type="dxa"/>
            <w:tcBorders>
              <w:top w:val="single" w:sz="4" w:space="0" w:color="auto"/>
              <w:left w:val="single" w:sz="4" w:space="0" w:color="auto"/>
            </w:tcBorders>
            <w:shd w:val="clear" w:color="auto" w:fill="FFFFFF"/>
          </w:tcPr>
          <w:p w:rsidR="007D45F0" w:rsidRDefault="007D45F0">
            <w:pPr>
              <w:rPr>
                <w:sz w:val="10"/>
                <w:szCs w:val="10"/>
              </w:rPr>
            </w:pPr>
          </w:p>
        </w:tc>
        <w:tc>
          <w:tcPr>
            <w:tcW w:w="758" w:type="dxa"/>
            <w:tcBorders>
              <w:top w:val="single" w:sz="4" w:space="0" w:color="auto"/>
              <w:left w:val="single" w:sz="4" w:space="0" w:color="auto"/>
            </w:tcBorders>
            <w:shd w:val="clear" w:color="auto" w:fill="FFFFFF"/>
          </w:tcPr>
          <w:p w:rsidR="007D45F0" w:rsidRDefault="007D45F0">
            <w:pPr>
              <w:rPr>
                <w:sz w:val="10"/>
                <w:szCs w:val="10"/>
              </w:rPr>
            </w:pPr>
          </w:p>
        </w:tc>
        <w:tc>
          <w:tcPr>
            <w:tcW w:w="874" w:type="dxa"/>
            <w:tcBorders>
              <w:top w:val="single" w:sz="4" w:space="0" w:color="auto"/>
              <w:left w:val="single" w:sz="4" w:space="0" w:color="auto"/>
            </w:tcBorders>
            <w:shd w:val="clear" w:color="auto" w:fill="FFFFFF"/>
          </w:tcPr>
          <w:p w:rsidR="007D45F0" w:rsidRDefault="007D45F0">
            <w:pPr>
              <w:rPr>
                <w:sz w:val="10"/>
                <w:szCs w:val="10"/>
              </w:rPr>
            </w:pPr>
          </w:p>
        </w:tc>
        <w:tc>
          <w:tcPr>
            <w:tcW w:w="3581" w:type="dxa"/>
            <w:tcBorders>
              <w:top w:val="single" w:sz="4" w:space="0" w:color="auto"/>
              <w:left w:val="single" w:sz="4" w:space="0" w:color="auto"/>
            </w:tcBorders>
            <w:shd w:val="clear" w:color="auto" w:fill="FFFFFF"/>
          </w:tcPr>
          <w:p w:rsidR="007D45F0" w:rsidRDefault="007D45F0">
            <w:pPr>
              <w:rPr>
                <w:sz w:val="10"/>
                <w:szCs w:val="10"/>
              </w:rPr>
            </w:pPr>
          </w:p>
        </w:tc>
        <w:tc>
          <w:tcPr>
            <w:tcW w:w="758" w:type="dxa"/>
            <w:tcBorders>
              <w:top w:val="single" w:sz="4" w:space="0" w:color="auto"/>
              <w:left w:val="single" w:sz="4" w:space="0" w:color="auto"/>
            </w:tcBorders>
            <w:shd w:val="clear" w:color="auto" w:fill="FFFFFF"/>
          </w:tcPr>
          <w:p w:rsidR="007D45F0" w:rsidRDefault="007D45F0">
            <w:pPr>
              <w:rPr>
                <w:sz w:val="10"/>
                <w:szCs w:val="10"/>
              </w:rPr>
            </w:pPr>
          </w:p>
        </w:tc>
        <w:tc>
          <w:tcPr>
            <w:tcW w:w="1075" w:type="dxa"/>
            <w:tcBorders>
              <w:top w:val="single" w:sz="4" w:space="0" w:color="auto"/>
              <w:left w:val="single" w:sz="4" w:space="0" w:color="auto"/>
            </w:tcBorders>
            <w:shd w:val="clear" w:color="auto" w:fill="FFFFFF"/>
          </w:tcPr>
          <w:p w:rsidR="007D45F0" w:rsidRDefault="007D45F0">
            <w:pPr>
              <w:rPr>
                <w:sz w:val="10"/>
                <w:szCs w:val="10"/>
              </w:rPr>
            </w:pPr>
          </w:p>
        </w:tc>
        <w:tc>
          <w:tcPr>
            <w:tcW w:w="1550" w:type="dxa"/>
            <w:tcBorders>
              <w:top w:val="single" w:sz="4" w:space="0" w:color="auto"/>
              <w:left w:val="single" w:sz="4" w:space="0" w:color="auto"/>
            </w:tcBorders>
            <w:shd w:val="clear" w:color="auto" w:fill="FFFFFF"/>
          </w:tcPr>
          <w:p w:rsidR="007D45F0" w:rsidRDefault="00FC1E4A">
            <w:pPr>
              <w:pStyle w:val="Jin0"/>
              <w:shd w:val="clear" w:color="auto" w:fill="auto"/>
              <w:spacing w:after="0" w:line="240" w:lineRule="auto"/>
              <w:jc w:val="right"/>
            </w:pPr>
            <w:r>
              <w:rPr>
                <w:rFonts w:ascii="Calibri" w:eastAsia="Calibri" w:hAnsi="Calibri" w:cs="Calibri"/>
                <w:b/>
                <w:bCs/>
              </w:rPr>
              <w:t>Celková cena</w:t>
            </w:r>
          </w:p>
        </w:tc>
        <w:tc>
          <w:tcPr>
            <w:tcW w:w="1685" w:type="dxa"/>
            <w:tcBorders>
              <w:top w:val="single" w:sz="4" w:space="0" w:color="auto"/>
              <w:left w:val="single" w:sz="4" w:space="0" w:color="auto"/>
              <w:right w:val="single" w:sz="4" w:space="0" w:color="auto"/>
            </w:tcBorders>
            <w:shd w:val="clear" w:color="auto" w:fill="FFFFFF"/>
          </w:tcPr>
          <w:p w:rsidR="007D45F0" w:rsidRDefault="00FC1E4A">
            <w:pPr>
              <w:pStyle w:val="Jin0"/>
              <w:shd w:val="clear" w:color="auto" w:fill="auto"/>
              <w:spacing w:after="0" w:line="240" w:lineRule="auto"/>
              <w:ind w:firstLine="600"/>
              <w:rPr>
                <w:sz w:val="22"/>
                <w:szCs w:val="22"/>
              </w:rPr>
            </w:pPr>
            <w:r>
              <w:rPr>
                <w:rFonts w:ascii="Calibri" w:eastAsia="Calibri" w:hAnsi="Calibri" w:cs="Calibri"/>
                <w:b/>
                <w:bCs/>
                <w:sz w:val="22"/>
                <w:szCs w:val="22"/>
              </w:rPr>
              <w:t>701 013,50</w:t>
            </w:r>
          </w:p>
        </w:tc>
      </w:tr>
      <w:tr w:rsidR="007D45F0">
        <w:tblPrEx>
          <w:tblCellMar>
            <w:top w:w="0" w:type="dxa"/>
            <w:bottom w:w="0" w:type="dxa"/>
          </w:tblCellMar>
        </w:tblPrEx>
        <w:trPr>
          <w:trHeight w:hRule="exact" w:val="614"/>
          <w:jc w:val="center"/>
        </w:trPr>
        <w:tc>
          <w:tcPr>
            <w:tcW w:w="10828"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7D45F0" w:rsidRDefault="00FC1E4A">
            <w:pPr>
              <w:pStyle w:val="Jin0"/>
              <w:shd w:val="clear" w:color="auto" w:fill="auto"/>
              <w:spacing w:after="0" w:line="240" w:lineRule="auto"/>
            </w:pPr>
            <w:r>
              <w:rPr>
                <w:rFonts w:ascii="Calibri" w:eastAsia="Calibri" w:hAnsi="Calibri" w:cs="Calibri"/>
              </w:rPr>
              <w:t>* Jednotkovou cenu zadávat bez DPH.</w:t>
            </w:r>
          </w:p>
          <w:p w:rsidR="007D45F0" w:rsidRDefault="00FC1E4A">
            <w:pPr>
              <w:pStyle w:val="Jin0"/>
              <w:shd w:val="clear" w:color="auto" w:fill="auto"/>
              <w:spacing w:after="0" w:line="240" w:lineRule="auto"/>
            </w:pPr>
            <w:r>
              <w:rPr>
                <w:rFonts w:ascii="Calibri" w:eastAsia="Calibri" w:hAnsi="Calibri" w:cs="Calibri"/>
              </w:rPr>
              <w:t>** Pokud je zhotovitel neplátce DPH, vybere hodnotu sazby 0. Pokud je zhotovitel plátce DPH, vybere hodnotu sazby 21.</w:t>
            </w:r>
          </w:p>
        </w:tc>
      </w:tr>
    </w:tbl>
    <w:p w:rsidR="007D45F0" w:rsidRDefault="007D45F0">
      <w:pPr>
        <w:sectPr w:rsidR="007D45F0">
          <w:footerReference w:type="default" r:id="rId11"/>
          <w:pgSz w:w="11900" w:h="16840"/>
          <w:pgMar w:top="1114" w:right="726" w:bottom="1428" w:left="344" w:header="686" w:footer="3" w:gutter="0"/>
          <w:cols w:space="720"/>
          <w:noEndnote/>
          <w:docGrid w:linePitch="360"/>
        </w:sectPr>
      </w:pPr>
    </w:p>
    <w:p w:rsidR="007D45F0" w:rsidRDefault="00FC1E4A">
      <w:pPr>
        <w:pStyle w:val="Zkladntext20"/>
        <w:shd w:val="clear" w:color="auto" w:fill="auto"/>
        <w:ind w:firstLine="380"/>
        <w:rPr>
          <w:sz w:val="20"/>
          <w:szCs w:val="20"/>
        </w:rPr>
        <w:sectPr w:rsidR="007D45F0">
          <w:pgSz w:w="11900" w:h="16840"/>
          <w:pgMar w:top="553" w:right="822" w:bottom="238" w:left="248" w:header="125" w:footer="3" w:gutter="0"/>
          <w:cols w:space="720"/>
          <w:noEndnote/>
          <w:docGrid w:linePitch="360"/>
        </w:sectPr>
      </w:pPr>
      <w:r>
        <w:rPr>
          <w:noProof/>
          <w:lang w:bidi="ar-SA"/>
        </w:rPr>
        <w:lastRenderedPageBreak/>
        <w:drawing>
          <wp:anchor distT="0" distB="0" distL="0" distR="0" simplePos="0" relativeHeight="62914692" behindDoc="1" locked="0" layoutInCell="1" allowOverlap="1">
            <wp:simplePos x="0" y="0"/>
            <wp:positionH relativeFrom="margin">
              <wp:posOffset>253365</wp:posOffset>
            </wp:positionH>
            <wp:positionV relativeFrom="margin">
              <wp:posOffset>432435</wp:posOffset>
            </wp:positionV>
            <wp:extent cx="6736080" cy="9411970"/>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2"/>
                    <a:stretch/>
                  </pic:blipFill>
                  <pic:spPr>
                    <a:xfrm>
                      <a:off x="0" y="0"/>
                      <a:ext cx="6736080" cy="9411970"/>
                    </a:xfrm>
                    <a:prstGeom prst="rect">
                      <a:avLst/>
                    </a:prstGeom>
                  </pic:spPr>
                </pic:pic>
              </a:graphicData>
            </a:graphic>
          </wp:anchor>
        </w:drawing>
      </w:r>
      <w:r>
        <w:rPr>
          <w:sz w:val="20"/>
          <w:szCs w:val="20"/>
        </w:rPr>
        <w:t>Rámcová dohoda, pěstební práce v EVL Beskydy - část Jablunkovsko</w:t>
      </w:r>
    </w:p>
    <w:p w:rsidR="007D45F0" w:rsidRDefault="00FC1E4A">
      <w:pPr>
        <w:pStyle w:val="Zkladntext20"/>
        <w:framePr w:w="2491" w:h="1488" w:wrap="none" w:vAnchor="text" w:hAnchor="page" w:x="3317" w:y="327"/>
        <w:shd w:val="clear" w:color="auto" w:fill="auto"/>
        <w:spacing w:after="120"/>
        <w:ind w:left="1280"/>
        <w:rPr>
          <w:sz w:val="20"/>
          <w:szCs w:val="20"/>
        </w:rPr>
      </w:pPr>
      <w:r>
        <w:rPr>
          <w:sz w:val="20"/>
          <w:szCs w:val="20"/>
        </w:rPr>
        <w:t>-</w:t>
      </w:r>
    </w:p>
    <w:p w:rsidR="007D45F0" w:rsidRDefault="00FC1E4A">
      <w:pPr>
        <w:pStyle w:val="Zkladntext20"/>
        <w:framePr w:w="2491" w:h="1488" w:wrap="none" w:vAnchor="text" w:hAnchor="page" w:x="3317" w:y="327"/>
        <w:shd w:val="clear" w:color="auto" w:fill="auto"/>
        <w:spacing w:after="340"/>
        <w:rPr>
          <w:sz w:val="20"/>
          <w:szCs w:val="20"/>
        </w:rPr>
      </w:pPr>
      <w:proofErr w:type="gramStart"/>
      <w:r>
        <w:rPr>
          <w:color w:val="BFBDA8"/>
          <w:sz w:val="20"/>
          <w:szCs w:val="20"/>
        </w:rPr>
        <w:t>M ■/ .y-r</w:t>
      </w:r>
      <w:proofErr w:type="gramEnd"/>
      <w:r>
        <w:rPr>
          <w:color w:val="BFBDA8"/>
          <w:sz w:val="20"/>
          <w:szCs w:val="20"/>
        </w:rPr>
        <w:t xml:space="preserve"> *°tó</w:t>
      </w:r>
    </w:p>
    <w:p w:rsidR="007D45F0" w:rsidRDefault="00FC1E4A">
      <w:pPr>
        <w:pStyle w:val="Zkladntext20"/>
        <w:framePr w:w="2491" w:h="1488" w:wrap="none" w:vAnchor="text" w:hAnchor="page" w:x="3317" w:y="327"/>
        <w:shd w:val="clear" w:color="auto" w:fill="auto"/>
        <w:ind w:left="1640"/>
        <w:rPr>
          <w:sz w:val="20"/>
          <w:szCs w:val="20"/>
        </w:rPr>
      </w:pPr>
      <w:r>
        <w:rPr>
          <w:color w:val="C35461"/>
          <w:sz w:val="20"/>
          <w:szCs w:val="20"/>
        </w:rPr>
        <w:t>•&lt;</w:t>
      </w:r>
      <w:r>
        <w:rPr>
          <w:color w:val="C35461"/>
          <w:sz w:val="20"/>
          <w:szCs w:val="20"/>
          <w:vertAlign w:val="superscript"/>
        </w:rPr>
        <w:t>l</w:t>
      </w:r>
      <w:r>
        <w:rPr>
          <w:color w:val="C35461"/>
          <w:sz w:val="20"/>
          <w:szCs w:val="20"/>
        </w:rPr>
        <w:t>l</w:t>
      </w:r>
    </w:p>
    <w:p w:rsidR="007D45F0" w:rsidRDefault="00FC1E4A">
      <w:pPr>
        <w:pStyle w:val="Zkladntext20"/>
        <w:framePr w:w="2491" w:h="1488" w:wrap="none" w:vAnchor="text" w:hAnchor="page" w:x="3317" w:y="327"/>
        <w:shd w:val="clear" w:color="auto" w:fill="auto"/>
        <w:tabs>
          <w:tab w:val="left" w:pos="2387"/>
        </w:tabs>
        <w:spacing w:after="240" w:line="194" w:lineRule="auto"/>
        <w:ind w:firstLine="760"/>
        <w:rPr>
          <w:sz w:val="20"/>
          <w:szCs w:val="20"/>
        </w:rPr>
      </w:pPr>
      <w:r>
        <w:rPr>
          <w:color w:val="C22946"/>
          <w:sz w:val="20"/>
          <w:szCs w:val="20"/>
        </w:rPr>
        <w:t>i</w:t>
      </w:r>
      <w:r>
        <w:rPr>
          <w:color w:val="C22946"/>
          <w:sz w:val="20"/>
          <w:szCs w:val="20"/>
        </w:rPr>
        <w:tab/>
      </w:r>
      <w:r>
        <w:rPr>
          <w:color w:val="C35461"/>
          <w:sz w:val="20"/>
          <w:szCs w:val="20"/>
        </w:rPr>
        <w:t>’</w:t>
      </w:r>
    </w:p>
    <w:p w:rsidR="007D45F0" w:rsidRDefault="00FC1E4A">
      <w:pPr>
        <w:pStyle w:val="Jin0"/>
        <w:framePr w:w="211" w:h="173" w:wrap="none" w:vAnchor="text" w:hAnchor="page" w:x="3696" w:y="1532"/>
        <w:shd w:val="clear" w:color="auto" w:fill="auto"/>
        <w:spacing w:after="0" w:line="240" w:lineRule="auto"/>
        <w:rPr>
          <w:sz w:val="12"/>
          <w:szCs w:val="12"/>
        </w:rPr>
      </w:pPr>
      <w:r>
        <w:rPr>
          <w:color w:val="BFBDA8"/>
          <w:sz w:val="12"/>
          <w:szCs w:val="12"/>
        </w:rPr>
        <w:t>• *1</w:t>
      </w:r>
    </w:p>
    <w:p w:rsidR="007D45F0" w:rsidRDefault="00FC1E4A">
      <w:pPr>
        <w:pStyle w:val="Zkladntext30"/>
        <w:framePr w:w="475" w:h="226" w:wrap="none" w:vAnchor="text" w:hAnchor="page" w:x="10805" w:y="21"/>
        <w:shd w:val="clear" w:color="auto" w:fill="auto"/>
        <w:spacing w:after="0"/>
        <w:rPr>
          <w:sz w:val="14"/>
          <w:szCs w:val="14"/>
        </w:rPr>
      </w:pPr>
      <w:r>
        <w:rPr>
          <w:sz w:val="14"/>
          <w:szCs w:val="14"/>
        </w:rPr>
        <w:t>2023</w:t>
      </w: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after="373" w:line="1" w:lineRule="exact"/>
      </w:pPr>
    </w:p>
    <w:p w:rsidR="007D45F0" w:rsidRDefault="007D45F0">
      <w:pPr>
        <w:spacing w:line="1" w:lineRule="exact"/>
        <w:sectPr w:rsidR="007D45F0">
          <w:type w:val="continuous"/>
          <w:pgSz w:w="11900" w:h="16840"/>
          <w:pgMar w:top="553" w:right="621" w:bottom="238" w:left="248" w:header="0" w:footer="3" w:gutter="0"/>
          <w:cols w:space="720"/>
          <w:noEndnote/>
          <w:docGrid w:linePitch="360"/>
        </w:sectPr>
      </w:pPr>
    </w:p>
    <w:p w:rsidR="007D45F0" w:rsidRDefault="007D45F0">
      <w:pPr>
        <w:spacing w:before="53" w:after="53" w:line="240" w:lineRule="exact"/>
        <w:rPr>
          <w:sz w:val="19"/>
          <w:szCs w:val="19"/>
        </w:rPr>
      </w:pPr>
    </w:p>
    <w:p w:rsidR="007D45F0" w:rsidRDefault="007D45F0">
      <w:pPr>
        <w:spacing w:line="1" w:lineRule="exact"/>
        <w:sectPr w:rsidR="007D45F0">
          <w:type w:val="continuous"/>
          <w:pgSz w:w="11900" w:h="16840"/>
          <w:pgMar w:top="553" w:right="0" w:bottom="238" w:left="0" w:header="0" w:footer="3" w:gutter="0"/>
          <w:cols w:space="720"/>
          <w:noEndnote/>
          <w:docGrid w:linePitch="360"/>
        </w:sectPr>
      </w:pPr>
    </w:p>
    <w:p w:rsidR="007D45F0" w:rsidRDefault="00FC1E4A">
      <w:pPr>
        <w:spacing w:line="1" w:lineRule="exact"/>
      </w:pPr>
      <w:r>
        <w:rPr>
          <w:noProof/>
          <w:lang w:bidi="ar-SA"/>
        </w:rPr>
        <mc:AlternateContent>
          <mc:Choice Requires="wps">
            <w:drawing>
              <wp:anchor distT="0" distB="0" distL="114300" distR="114300" simplePos="0" relativeHeight="125829391" behindDoc="0" locked="0" layoutInCell="1" allowOverlap="1">
                <wp:simplePos x="0" y="0"/>
                <wp:positionH relativeFrom="page">
                  <wp:posOffset>575310</wp:posOffset>
                </wp:positionH>
                <wp:positionV relativeFrom="paragraph">
                  <wp:posOffset>2084705</wp:posOffset>
                </wp:positionV>
                <wp:extent cx="1146175" cy="46926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1146175" cy="469265"/>
                        </a:xfrm>
                        <a:prstGeom prst="rect">
                          <a:avLst/>
                        </a:prstGeom>
                        <a:solidFill>
                          <a:srgbClr val="FEFEFC"/>
                        </a:solidFill>
                      </wps:spPr>
                      <wps:txbx>
                        <w:txbxContent>
                          <w:p w:rsidR="007D45F0" w:rsidRDefault="00FC1E4A">
                            <w:pPr>
                              <w:pStyle w:val="Jin0"/>
                              <w:shd w:val="clear" w:color="auto" w:fill="auto"/>
                              <w:spacing w:after="80" w:line="240" w:lineRule="auto"/>
                              <w:jc w:val="center"/>
                              <w:rPr>
                                <w:sz w:val="16"/>
                                <w:szCs w:val="16"/>
                              </w:rPr>
                            </w:pPr>
                            <w:r>
                              <w:rPr>
                                <w:rFonts w:ascii="Times New Roman" w:eastAsia="Times New Roman" w:hAnsi="Times New Roman" w:cs="Times New Roman"/>
                                <w:color w:val="BFBDA8"/>
                                <w:sz w:val="16"/>
                                <w:szCs w:val="16"/>
                              </w:rPr>
                              <w:t>;■ . O*»B£SKYtw</w:t>
                            </w:r>
                          </w:p>
                          <w:p w:rsidR="007D45F0" w:rsidRDefault="00FC1E4A">
                            <w:pPr>
                              <w:pStyle w:val="Zkladntext30"/>
                              <w:shd w:val="clear" w:color="auto" w:fill="auto"/>
                              <w:tabs>
                                <w:tab w:val="left" w:pos="1334"/>
                              </w:tabs>
                              <w:spacing w:after="0"/>
                            </w:pPr>
                            <w:r>
                              <w:rPr>
                                <w:b w:val="0"/>
                                <w:bCs w:val="0"/>
                                <w:smallCaps/>
                                <w:color w:val="BFBDA8"/>
                                <w:sz w:val="14"/>
                                <w:szCs w:val="14"/>
                              </w:rPr>
                              <w:t>\ ~tT:-</w:t>
                            </w:r>
                            <w:r>
                              <w:rPr>
                                <w:b w:val="0"/>
                                <w:bCs w:val="0"/>
                                <w:smallCaps/>
                                <w:color w:val="BFBDA8"/>
                                <w:sz w:val="14"/>
                                <w:szCs w:val="14"/>
                                <w:u w:val="single"/>
                                <w:vertAlign w:val="subscript"/>
                              </w:rPr>
                              <w:t>k</w:t>
                            </w:r>
                            <w:r>
                              <w:rPr>
                                <w:b w:val="0"/>
                                <w:bCs w:val="0"/>
                                <w:smallCaps/>
                                <w:color w:val="BFBDA8"/>
                                <w:sz w:val="14"/>
                                <w:szCs w:val="14"/>
                                <w:u w:val="single"/>
                              </w:rPr>
                              <w:t xml:space="preserve"> •</w:t>
                            </w:r>
                            <w:r>
                              <w:rPr>
                                <w:b w:val="0"/>
                                <w:bCs w:val="0"/>
                                <w:smallCaps/>
                                <w:color w:val="BFBDA8"/>
                                <w:sz w:val="14"/>
                                <w:szCs w:val="14"/>
                              </w:rPr>
                              <w:t xml:space="preserve"> -</w:t>
                            </w:r>
                            <w:r>
                              <w:rPr>
                                <w:b w:val="0"/>
                                <w:bCs w:val="0"/>
                                <w:smallCaps/>
                                <w:color w:val="BFBDA8"/>
                                <w:sz w:val="14"/>
                                <w:szCs w:val="14"/>
                              </w:rPr>
                              <w:tab/>
                            </w:r>
                            <w:r>
                              <w:rPr>
                                <w:b w:val="0"/>
                                <w:bCs w:val="0"/>
                                <w:i/>
                                <w:iCs/>
                                <w:color w:val="BFBDA8"/>
                              </w:rPr>
                              <w:t>/f i</w:t>
                            </w:r>
                          </w:p>
                          <w:p w:rsidR="007D45F0" w:rsidRDefault="00FC1E4A">
                            <w:pPr>
                              <w:pStyle w:val="Jin0"/>
                              <w:shd w:val="clear" w:color="auto" w:fill="auto"/>
                              <w:tabs>
                                <w:tab w:val="left" w:pos="1403"/>
                              </w:tabs>
                              <w:spacing w:after="0" w:line="199" w:lineRule="auto"/>
                              <w:ind w:firstLine="160"/>
                              <w:rPr>
                                <w:sz w:val="12"/>
                                <w:szCs w:val="12"/>
                              </w:rPr>
                            </w:pPr>
                            <w:r>
                              <w:rPr>
                                <w:color w:val="BFBDA8"/>
                                <w:sz w:val="12"/>
                                <w:szCs w:val="12"/>
                              </w:rPr>
                              <w:t>V -t</w:t>
                            </w:r>
                            <w:r>
                              <w:rPr>
                                <w:color w:val="BFBDA8"/>
                                <w:sz w:val="12"/>
                                <w:szCs w:val="12"/>
                              </w:rPr>
                              <w:tab/>
                              <w:t>f</w:t>
                            </w:r>
                          </w:p>
                        </w:txbxContent>
                      </wps:txbx>
                      <wps:bodyPr lIns="0" tIns="0" rIns="0" bIns="0"/>
                    </wps:wsp>
                  </a:graphicData>
                </a:graphic>
              </wp:anchor>
            </w:drawing>
          </mc:Choice>
          <mc:Fallback>
            <w:pict>
              <v:shape id="_x0000_s1045" type="#_x0000_t202" style="position:absolute;margin-left:45.299999999999997pt;margin-top:164.15000000000001pt;width:90.25pt;height:36.950000000000003pt;z-index:-125829362;mso-wrap-distance-left:9.pt;mso-wrap-distance-right:9.pt;mso-position-horizontal-relative:page" fillcolor="#FEFEFC" stroked="f">
                <v:textbox inset="0,0,0,0">
                  <w:txbxContent>
                    <w:p>
                      <w:pPr>
                        <w:pStyle w:val="Style10"/>
                        <w:keepNext w:val="0"/>
                        <w:keepLines w:val="0"/>
                        <w:widowControl w:val="0"/>
                        <w:shd w:val="clear" w:color="auto" w:fill="auto"/>
                        <w:bidi w:val="0"/>
                        <w:spacing w:before="0" w:after="80" w:line="240" w:lineRule="auto"/>
                        <w:ind w:left="0" w:right="0" w:firstLine="0"/>
                        <w:jc w:val="center"/>
                        <w:rPr>
                          <w:sz w:val="16"/>
                          <w:szCs w:val="16"/>
                        </w:rPr>
                      </w:pPr>
                      <w:r>
                        <w:rPr>
                          <w:rFonts w:ascii="Times New Roman" w:eastAsia="Times New Roman" w:hAnsi="Times New Roman" w:cs="Times New Roman"/>
                          <w:color w:val="BFBDA8"/>
                          <w:spacing w:val="0"/>
                          <w:w w:val="100"/>
                          <w:position w:val="0"/>
                          <w:sz w:val="16"/>
                          <w:szCs w:val="16"/>
                          <w:shd w:val="clear" w:color="auto" w:fill="auto"/>
                          <w:lang w:val="cs-CZ" w:eastAsia="cs-CZ" w:bidi="cs-CZ"/>
                        </w:rPr>
                        <w:t>;■ . O*»B£SKYtw</w:t>
                      </w:r>
                    </w:p>
                    <w:p>
                      <w:pPr>
                        <w:pStyle w:val="Style4"/>
                        <w:keepNext w:val="0"/>
                        <w:keepLines w:val="0"/>
                        <w:widowControl w:val="0"/>
                        <w:shd w:val="clear" w:color="auto" w:fill="auto"/>
                        <w:tabs>
                          <w:tab w:pos="1334" w:val="left"/>
                        </w:tabs>
                        <w:bidi w:val="0"/>
                        <w:spacing w:before="0" w:after="0" w:line="240" w:lineRule="auto"/>
                        <w:ind w:left="0" w:right="0" w:firstLine="0"/>
                        <w:jc w:val="left"/>
                      </w:pPr>
                      <w:r>
                        <w:rPr>
                          <w:b w:val="0"/>
                          <w:bCs w:val="0"/>
                          <w:smallCaps/>
                          <w:color w:val="BFBDA8"/>
                          <w:spacing w:val="0"/>
                          <w:w w:val="100"/>
                          <w:position w:val="0"/>
                          <w:sz w:val="14"/>
                          <w:szCs w:val="14"/>
                          <w:shd w:val="clear" w:color="auto" w:fill="auto"/>
                          <w:lang w:val="cs-CZ" w:eastAsia="cs-CZ" w:bidi="cs-CZ"/>
                        </w:rPr>
                        <w:t>\ ~tT:-</w:t>
                      </w:r>
                      <w:r>
                        <w:rPr>
                          <w:b w:val="0"/>
                          <w:bCs w:val="0"/>
                          <w:smallCaps/>
                          <w:color w:val="BFBDA8"/>
                          <w:spacing w:val="0"/>
                          <w:w w:val="100"/>
                          <w:position w:val="0"/>
                          <w:sz w:val="14"/>
                          <w:szCs w:val="14"/>
                          <w:u w:val="single"/>
                          <w:shd w:val="clear" w:color="auto" w:fill="auto"/>
                          <w:vertAlign w:val="subscript"/>
                          <w:lang w:val="cs-CZ" w:eastAsia="cs-CZ" w:bidi="cs-CZ"/>
                        </w:rPr>
                        <w:t>k</w:t>
                      </w:r>
                      <w:r>
                        <w:rPr>
                          <w:b w:val="0"/>
                          <w:bCs w:val="0"/>
                          <w:smallCaps/>
                          <w:color w:val="BFBDA8"/>
                          <w:spacing w:val="0"/>
                          <w:w w:val="100"/>
                          <w:position w:val="0"/>
                          <w:sz w:val="14"/>
                          <w:szCs w:val="14"/>
                          <w:u w:val="single"/>
                          <w:shd w:val="clear" w:color="auto" w:fill="auto"/>
                          <w:lang w:val="cs-CZ" w:eastAsia="cs-CZ" w:bidi="cs-CZ"/>
                        </w:rPr>
                        <w:t xml:space="preserve"> •</w:t>
                      </w:r>
                      <w:r>
                        <w:rPr>
                          <w:b w:val="0"/>
                          <w:bCs w:val="0"/>
                          <w:smallCaps/>
                          <w:color w:val="BFBDA8"/>
                          <w:spacing w:val="0"/>
                          <w:w w:val="100"/>
                          <w:position w:val="0"/>
                          <w:sz w:val="14"/>
                          <w:szCs w:val="14"/>
                          <w:shd w:val="clear" w:color="auto" w:fill="auto"/>
                          <w:lang w:val="cs-CZ" w:eastAsia="cs-CZ" w:bidi="cs-CZ"/>
                        </w:rPr>
                        <w:t xml:space="preserve"> -</w:t>
                        <w:tab/>
                      </w:r>
                      <w:r>
                        <w:rPr>
                          <w:b w:val="0"/>
                          <w:bCs w:val="0"/>
                          <w:i/>
                          <w:iCs/>
                          <w:color w:val="BFBDA8"/>
                          <w:spacing w:val="0"/>
                          <w:w w:val="100"/>
                          <w:position w:val="0"/>
                          <w:sz w:val="15"/>
                          <w:szCs w:val="15"/>
                          <w:shd w:val="clear" w:color="auto" w:fill="auto"/>
                          <w:lang w:val="cs-CZ" w:eastAsia="cs-CZ" w:bidi="cs-CZ"/>
                        </w:rPr>
                        <w:t>/f i</w:t>
                      </w:r>
                    </w:p>
                    <w:p>
                      <w:pPr>
                        <w:pStyle w:val="Style10"/>
                        <w:keepNext w:val="0"/>
                        <w:keepLines w:val="0"/>
                        <w:widowControl w:val="0"/>
                        <w:shd w:val="clear" w:color="auto" w:fill="auto"/>
                        <w:tabs>
                          <w:tab w:pos="1403" w:val="left"/>
                        </w:tabs>
                        <w:bidi w:val="0"/>
                        <w:spacing w:before="0" w:after="0" w:line="199" w:lineRule="auto"/>
                        <w:ind w:left="0" w:right="0" w:firstLine="160"/>
                        <w:jc w:val="left"/>
                        <w:rPr>
                          <w:sz w:val="12"/>
                          <w:szCs w:val="12"/>
                        </w:rPr>
                      </w:pPr>
                      <w:r>
                        <w:rPr>
                          <w:color w:val="BFBDA8"/>
                          <w:spacing w:val="0"/>
                          <w:w w:val="100"/>
                          <w:position w:val="0"/>
                          <w:sz w:val="12"/>
                          <w:szCs w:val="12"/>
                          <w:shd w:val="clear" w:color="auto" w:fill="auto"/>
                          <w:lang w:val="cs-CZ" w:eastAsia="cs-CZ" w:bidi="cs-CZ"/>
                        </w:rPr>
                        <w:t>V -t</w:t>
                        <w:tab/>
                        <w:t>f</w:t>
                      </w:r>
                    </w:p>
                  </w:txbxContent>
                </v:textbox>
                <w10:wrap type="square" anchorx="page"/>
              </v:shape>
            </w:pict>
          </mc:Fallback>
        </mc:AlternateContent>
      </w:r>
      <w:r>
        <w:rPr>
          <w:noProof/>
          <w:lang w:bidi="ar-SA"/>
        </w:rPr>
        <mc:AlternateContent>
          <mc:Choice Requires="wps">
            <w:drawing>
              <wp:anchor distT="0" distB="0" distL="50800" distR="50800" simplePos="0" relativeHeight="125829393" behindDoc="0" locked="0" layoutInCell="1" allowOverlap="1">
                <wp:simplePos x="0" y="0"/>
                <wp:positionH relativeFrom="page">
                  <wp:posOffset>5772150</wp:posOffset>
                </wp:positionH>
                <wp:positionV relativeFrom="paragraph">
                  <wp:posOffset>335280</wp:posOffset>
                </wp:positionV>
                <wp:extent cx="1365250" cy="1073150"/>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1365250" cy="1073150"/>
                        </a:xfrm>
                        <a:prstGeom prst="rect">
                          <a:avLst/>
                        </a:prstGeom>
                        <a:solidFill>
                          <a:srgbClr val="FEFEFC"/>
                        </a:solidFill>
                      </wps:spPr>
                      <wps:txbx>
                        <w:txbxContent>
                          <w:p w:rsidR="007D45F0" w:rsidRDefault="00FC1E4A">
                            <w:pPr>
                              <w:pStyle w:val="Zkladntext30"/>
                              <w:shd w:val="clear" w:color="auto" w:fill="auto"/>
                              <w:spacing w:before="80" w:after="540"/>
                              <w:ind w:firstLine="440"/>
                              <w:rPr>
                                <w:sz w:val="14"/>
                                <w:szCs w:val="14"/>
                              </w:rPr>
                            </w:pPr>
                            <w:r>
                              <w:rPr>
                                <w:color w:val="BFBDA8"/>
                                <w:sz w:val="14"/>
                                <w:szCs w:val="14"/>
                              </w:rPr>
                              <w:t>y</w:t>
                            </w:r>
                            <w:r>
                              <w:rPr>
                                <w:color w:val="BFBDA8"/>
                                <w:sz w:val="14"/>
                                <w:szCs w:val="14"/>
                                <w:vertAlign w:val="superscript"/>
                              </w:rPr>
                              <w:t>:</w:t>
                            </w:r>
                            <w:r>
                              <w:rPr>
                                <w:color w:val="BFBDA8"/>
                                <w:sz w:val="14"/>
                                <w:szCs w:val="14"/>
                              </w:rPr>
                              <w:t>”-\</w:t>
                            </w:r>
                          </w:p>
                          <w:p w:rsidR="007D45F0" w:rsidRDefault="00FC1E4A">
                            <w:pPr>
                              <w:pStyle w:val="Zkladntext30"/>
                              <w:shd w:val="clear" w:color="auto" w:fill="auto"/>
                              <w:tabs>
                                <w:tab w:val="left" w:pos="1925"/>
                              </w:tabs>
                              <w:spacing w:after="100"/>
                              <w:rPr>
                                <w:sz w:val="14"/>
                                <w:szCs w:val="14"/>
                              </w:rPr>
                            </w:pPr>
                            <w:r>
                              <w:rPr>
                                <w:color w:val="A6A59B"/>
                                <w:sz w:val="14"/>
                                <w:szCs w:val="14"/>
                              </w:rPr>
                              <w:t>H-ato</w:t>
                            </w:r>
                            <w:r>
                              <w:rPr>
                                <w:color w:val="A6A59B"/>
                                <w:sz w:val="14"/>
                                <w:szCs w:val="14"/>
                              </w:rPr>
                              <w:tab/>
                              <w:t>.</w:t>
                            </w:r>
                          </w:p>
                          <w:p w:rsidR="007D45F0" w:rsidRDefault="00FC1E4A">
                            <w:pPr>
                              <w:pStyle w:val="Zkladntext30"/>
                              <w:shd w:val="clear" w:color="auto" w:fill="auto"/>
                              <w:tabs>
                                <w:tab w:val="left" w:pos="1477"/>
                              </w:tabs>
                              <w:spacing w:after="0"/>
                              <w:ind w:firstLine="560"/>
                              <w:rPr>
                                <w:sz w:val="14"/>
                                <w:szCs w:val="14"/>
                              </w:rPr>
                            </w:pPr>
                            <w:r>
                              <w:rPr>
                                <w:color w:val="BFBDA8"/>
                                <w:sz w:val="14"/>
                                <w:szCs w:val="14"/>
                              </w:rPr>
                              <w:t>•V••■&gt;</w:t>
                            </w:r>
                            <w:r>
                              <w:rPr>
                                <w:color w:val="BFBDA8"/>
                                <w:sz w:val="14"/>
                                <w:szCs w:val="14"/>
                              </w:rPr>
                              <w:tab/>
                              <w:t>■«**•'</w:t>
                            </w:r>
                          </w:p>
                          <w:p w:rsidR="007D45F0" w:rsidRDefault="00FC1E4A">
                            <w:pPr>
                              <w:pStyle w:val="Zkladntext30"/>
                              <w:shd w:val="clear" w:color="auto" w:fill="auto"/>
                              <w:tabs>
                                <w:tab w:val="left" w:pos="1923"/>
                              </w:tabs>
                              <w:spacing w:after="320"/>
                              <w:ind w:firstLine="320"/>
                            </w:pPr>
                            <w:r>
                              <w:rPr>
                                <w:b w:val="0"/>
                                <w:bCs w:val="0"/>
                                <w:i/>
                                <w:iCs/>
                                <w:color w:val="BFBDA8"/>
                              </w:rPr>
                              <w:t>'ty^ :-e'r</w:t>
                            </w:r>
                            <w:r>
                              <w:rPr>
                                <w:b w:val="0"/>
                                <w:bCs w:val="0"/>
                                <w:i/>
                                <w:iCs/>
                                <w:color w:val="BFBDA8"/>
                              </w:rPr>
                              <w:tab/>
                              <w:t>&gt;■</w:t>
                            </w:r>
                          </w:p>
                        </w:txbxContent>
                      </wps:txbx>
                      <wps:bodyPr lIns="0" tIns="0" rIns="0" bIns="0"/>
                    </wps:wsp>
                  </a:graphicData>
                </a:graphic>
              </wp:anchor>
            </w:drawing>
          </mc:Choice>
          <mc:Fallback>
            <w:pict>
              <v:shape id="_x0000_s1047" type="#_x0000_t202" style="position:absolute;margin-left:454.5pt;margin-top:26.399999999999999pt;width:107.5pt;height:84.5pt;z-index:-125829360;mso-wrap-distance-left:4.pt;mso-wrap-distance-right:4.pt;mso-position-horizontal-relative:page" fillcolor="#FEFEFC" stroked="f">
                <v:textbox inset="0,0,0,0">
                  <w:txbxContent>
                    <w:p>
                      <w:pPr>
                        <w:pStyle w:val="Style4"/>
                        <w:keepNext w:val="0"/>
                        <w:keepLines w:val="0"/>
                        <w:widowControl w:val="0"/>
                        <w:shd w:val="clear" w:color="auto" w:fill="auto"/>
                        <w:bidi w:val="0"/>
                        <w:spacing w:before="80" w:after="540" w:line="240" w:lineRule="auto"/>
                        <w:ind w:left="0" w:right="0" w:firstLine="440"/>
                        <w:jc w:val="left"/>
                        <w:rPr>
                          <w:sz w:val="14"/>
                          <w:szCs w:val="14"/>
                        </w:rPr>
                      </w:pPr>
                      <w:r>
                        <w:rPr>
                          <w:color w:val="BFBDA8"/>
                          <w:spacing w:val="0"/>
                          <w:w w:val="100"/>
                          <w:position w:val="0"/>
                          <w:sz w:val="14"/>
                          <w:szCs w:val="14"/>
                          <w:shd w:val="clear" w:color="auto" w:fill="auto"/>
                          <w:lang w:val="cs-CZ" w:eastAsia="cs-CZ" w:bidi="cs-CZ"/>
                        </w:rPr>
                        <w:t>y</w:t>
                      </w:r>
                      <w:r>
                        <w:rPr>
                          <w:color w:val="BFBDA8"/>
                          <w:spacing w:val="0"/>
                          <w:w w:val="100"/>
                          <w:position w:val="0"/>
                          <w:sz w:val="14"/>
                          <w:szCs w:val="14"/>
                          <w:shd w:val="clear" w:color="auto" w:fill="auto"/>
                          <w:vertAlign w:val="superscript"/>
                          <w:lang w:val="cs-CZ" w:eastAsia="cs-CZ" w:bidi="cs-CZ"/>
                        </w:rPr>
                        <w:t>:</w:t>
                      </w:r>
                      <w:r>
                        <w:rPr>
                          <w:color w:val="BFBDA8"/>
                          <w:spacing w:val="0"/>
                          <w:w w:val="100"/>
                          <w:position w:val="0"/>
                          <w:sz w:val="14"/>
                          <w:szCs w:val="14"/>
                          <w:shd w:val="clear" w:color="auto" w:fill="auto"/>
                          <w:lang w:val="cs-CZ" w:eastAsia="cs-CZ" w:bidi="cs-CZ"/>
                        </w:rPr>
                        <w:t>”-\</w:t>
                      </w:r>
                    </w:p>
                    <w:p>
                      <w:pPr>
                        <w:pStyle w:val="Style4"/>
                        <w:keepNext w:val="0"/>
                        <w:keepLines w:val="0"/>
                        <w:widowControl w:val="0"/>
                        <w:shd w:val="clear" w:color="auto" w:fill="auto"/>
                        <w:tabs>
                          <w:tab w:pos="1925" w:val="left"/>
                        </w:tabs>
                        <w:bidi w:val="0"/>
                        <w:spacing w:before="0" w:after="100" w:line="240" w:lineRule="auto"/>
                        <w:ind w:left="0" w:right="0" w:firstLine="0"/>
                        <w:jc w:val="left"/>
                        <w:rPr>
                          <w:sz w:val="14"/>
                          <w:szCs w:val="14"/>
                        </w:rPr>
                      </w:pPr>
                      <w:r>
                        <w:rPr>
                          <w:color w:val="A6A59B"/>
                          <w:spacing w:val="0"/>
                          <w:w w:val="100"/>
                          <w:position w:val="0"/>
                          <w:sz w:val="14"/>
                          <w:szCs w:val="14"/>
                          <w:shd w:val="clear" w:color="auto" w:fill="auto"/>
                          <w:lang w:val="cs-CZ" w:eastAsia="cs-CZ" w:bidi="cs-CZ"/>
                        </w:rPr>
                        <w:t>H-ato</w:t>
                        <w:tab/>
                        <w:t>.</w:t>
                      </w:r>
                    </w:p>
                    <w:p>
                      <w:pPr>
                        <w:pStyle w:val="Style4"/>
                        <w:keepNext w:val="0"/>
                        <w:keepLines w:val="0"/>
                        <w:widowControl w:val="0"/>
                        <w:shd w:val="clear" w:color="auto" w:fill="auto"/>
                        <w:tabs>
                          <w:tab w:pos="1477" w:val="left"/>
                        </w:tabs>
                        <w:bidi w:val="0"/>
                        <w:spacing w:before="0" w:after="0" w:line="240" w:lineRule="auto"/>
                        <w:ind w:left="0" w:right="0" w:firstLine="560"/>
                        <w:jc w:val="left"/>
                        <w:rPr>
                          <w:sz w:val="14"/>
                          <w:szCs w:val="14"/>
                        </w:rPr>
                      </w:pPr>
                      <w:r>
                        <w:rPr>
                          <w:color w:val="BFBDA8"/>
                          <w:spacing w:val="0"/>
                          <w:w w:val="100"/>
                          <w:position w:val="0"/>
                          <w:sz w:val="14"/>
                          <w:szCs w:val="14"/>
                          <w:shd w:val="clear" w:color="auto" w:fill="auto"/>
                          <w:lang w:val="cs-CZ" w:eastAsia="cs-CZ" w:bidi="cs-CZ"/>
                        </w:rPr>
                        <w:t>•V••■&gt;</w:t>
                        <w:tab/>
                        <w:t>■«**•'</w:t>
                      </w:r>
                    </w:p>
                    <w:p>
                      <w:pPr>
                        <w:pStyle w:val="Style4"/>
                        <w:keepNext w:val="0"/>
                        <w:keepLines w:val="0"/>
                        <w:widowControl w:val="0"/>
                        <w:shd w:val="clear" w:color="auto" w:fill="auto"/>
                        <w:tabs>
                          <w:tab w:pos="1923" w:val="left"/>
                        </w:tabs>
                        <w:bidi w:val="0"/>
                        <w:spacing w:before="0" w:after="320" w:line="240" w:lineRule="auto"/>
                        <w:ind w:left="0" w:right="0" w:firstLine="320"/>
                        <w:jc w:val="left"/>
                      </w:pPr>
                      <w:r>
                        <w:rPr>
                          <w:b w:val="0"/>
                          <w:bCs w:val="0"/>
                          <w:i/>
                          <w:iCs/>
                          <w:color w:val="BFBDA8"/>
                          <w:spacing w:val="0"/>
                          <w:w w:val="100"/>
                          <w:position w:val="0"/>
                          <w:sz w:val="15"/>
                          <w:szCs w:val="15"/>
                          <w:shd w:val="clear" w:color="auto" w:fill="auto"/>
                          <w:lang w:val="cs-CZ" w:eastAsia="cs-CZ" w:bidi="cs-CZ"/>
                        </w:rPr>
                        <w:t>'ty^ :-e'r</w:t>
                        <w:tab/>
                        <w:t>&gt;■</w:t>
                      </w:r>
                    </w:p>
                  </w:txbxContent>
                </v:textbox>
                <w10:wrap type="square" anchorx="page"/>
              </v:shape>
            </w:pict>
          </mc:Fallback>
        </mc:AlternateContent>
      </w:r>
    </w:p>
    <w:p w:rsidR="007D45F0" w:rsidRDefault="00FC1E4A">
      <w:pPr>
        <w:pStyle w:val="Nadpis30"/>
        <w:keepNext/>
        <w:keepLines/>
        <w:shd w:val="clear" w:color="auto" w:fill="auto"/>
        <w:spacing w:after="380"/>
        <w:jc w:val="right"/>
      </w:pPr>
      <w:bookmarkStart w:id="34" w:name="bookmark34"/>
      <w:bookmarkStart w:id="35" w:name="bookmark35"/>
      <w:r>
        <w:t>B</w:t>
      </w:r>
      <w:r>
        <w:rPr>
          <w:vertAlign w:val="subscript"/>
        </w:rPr>
        <w:t>ys</w:t>
      </w:r>
      <w:r>
        <w:t>,„„</w:t>
      </w:r>
      <w:bookmarkEnd w:id="34"/>
      <w:bookmarkEnd w:id="35"/>
    </w:p>
    <w:p w:rsidR="007D45F0" w:rsidRDefault="00FC1E4A">
      <w:pPr>
        <w:pStyle w:val="Nadpis30"/>
        <w:keepNext/>
        <w:keepLines/>
        <w:shd w:val="clear" w:color="auto" w:fill="auto"/>
        <w:spacing w:after="0"/>
      </w:pPr>
      <w:bookmarkStart w:id="36" w:name="bookmark36"/>
      <w:bookmarkStart w:id="37" w:name="bookmark37"/>
      <w:r>
        <w:rPr>
          <w:color w:val="D46A70"/>
        </w:rPr>
        <w:t xml:space="preserve">l </w:t>
      </w:r>
      <w:r>
        <w:rPr>
          <w:color w:val="BFBDA8"/>
        </w:rPr>
        <w:t>-</w:t>
      </w:r>
      <w:bookmarkEnd w:id="36"/>
      <w:bookmarkEnd w:id="37"/>
    </w:p>
    <w:p w:rsidR="007D45F0" w:rsidRDefault="00FC1E4A">
      <w:pPr>
        <w:pStyle w:val="Jin0"/>
        <w:shd w:val="clear" w:color="auto" w:fill="auto"/>
        <w:spacing w:after="0" w:line="180" w:lineRule="auto"/>
        <w:rPr>
          <w:sz w:val="28"/>
          <w:szCs w:val="28"/>
        </w:rPr>
      </w:pPr>
      <w:r>
        <w:rPr>
          <w:b/>
          <w:bCs/>
          <w:color w:val="D46A70"/>
          <w:sz w:val="28"/>
          <w:szCs w:val="28"/>
        </w:rPr>
        <w:t>Bf</w:t>
      </w:r>
    </w:p>
    <w:p w:rsidR="007D45F0" w:rsidRDefault="00FC1E4A">
      <w:pPr>
        <w:pStyle w:val="Nadpis10"/>
        <w:keepNext/>
        <w:keepLines/>
        <w:shd w:val="clear" w:color="auto" w:fill="auto"/>
      </w:pPr>
      <w:bookmarkStart w:id="38" w:name="bookmark38"/>
      <w:bookmarkStart w:id="39" w:name="bookmark39"/>
      <w:r>
        <w:rPr>
          <w:color w:val="D46A70"/>
        </w:rPr>
        <w:t xml:space="preserve">■ </w:t>
      </w:r>
      <w:r>
        <w:t>oů&lt;«í^U» &gt;</w:t>
      </w:r>
      <w:bookmarkEnd w:id="38"/>
      <w:bookmarkEnd w:id="39"/>
    </w:p>
    <w:p w:rsidR="007D45F0" w:rsidRDefault="00FC1E4A">
      <w:pPr>
        <w:pStyle w:val="Jin0"/>
        <w:shd w:val="clear" w:color="auto" w:fill="auto"/>
        <w:spacing w:after="0" w:line="163" w:lineRule="auto"/>
        <w:ind w:firstLine="160"/>
        <w:rPr>
          <w:sz w:val="36"/>
          <w:szCs w:val="36"/>
        </w:rPr>
      </w:pPr>
      <w:proofErr w:type="gramStart"/>
      <w:r>
        <w:rPr>
          <w:i/>
          <w:iCs/>
          <w:color w:val="C22946"/>
          <w:sz w:val="36"/>
          <w:szCs w:val="36"/>
        </w:rPr>
        <w:t xml:space="preserve">\ </w:t>
      </w:r>
      <w:r>
        <w:rPr>
          <w:i/>
          <w:iCs/>
          <w:color w:val="8F8E85"/>
          <w:sz w:val="36"/>
          <w:szCs w:val="36"/>
        </w:rPr>
        <w:t>;</w:t>
      </w:r>
      <w:proofErr w:type="gramEnd"/>
    </w:p>
    <w:p w:rsidR="007D45F0" w:rsidRDefault="00FC1E4A">
      <w:pPr>
        <w:pStyle w:val="Nadpis20"/>
        <w:keepNext/>
        <w:keepLines/>
        <w:shd w:val="clear" w:color="auto" w:fill="auto"/>
      </w:pPr>
      <w:bookmarkStart w:id="40" w:name="bookmark40"/>
      <w:bookmarkStart w:id="41" w:name="bookmark41"/>
      <w:r>
        <w:t>ksa ''</w:t>
      </w:r>
      <w:bookmarkEnd w:id="40"/>
      <w:bookmarkEnd w:id="41"/>
    </w:p>
    <w:p w:rsidR="007D45F0" w:rsidRDefault="00FC1E4A">
      <w:pPr>
        <w:pStyle w:val="Zkladntext20"/>
        <w:shd w:val="clear" w:color="auto" w:fill="auto"/>
        <w:spacing w:after="60" w:line="134" w:lineRule="auto"/>
        <w:ind w:left="1060"/>
        <w:rPr>
          <w:sz w:val="20"/>
          <w:szCs w:val="20"/>
        </w:rPr>
      </w:pPr>
      <w:r>
        <w:rPr>
          <w:color w:val="BFBDA8"/>
          <w:sz w:val="20"/>
          <w:szCs w:val="20"/>
        </w:rPr>
        <w:t>r A</w:t>
      </w:r>
      <w:r>
        <w:rPr>
          <w:color w:val="BFBDA8"/>
          <w:sz w:val="20"/>
          <w:szCs w:val="20"/>
          <w:vertAlign w:val="superscript"/>
        </w:rPr>
        <w:t>1</w:t>
      </w:r>
      <w:r>
        <w:rPr>
          <w:color w:val="BFBDA8"/>
          <w:sz w:val="20"/>
          <w:szCs w:val="20"/>
        </w:rPr>
        <w:t xml:space="preserve"> * \</w:t>
      </w:r>
    </w:p>
    <w:p w:rsidR="007D45F0" w:rsidRDefault="00FC1E4A">
      <w:pPr>
        <w:pStyle w:val="Zkladntext20"/>
        <w:shd w:val="clear" w:color="auto" w:fill="auto"/>
        <w:spacing w:after="540" w:line="134" w:lineRule="auto"/>
        <w:jc w:val="center"/>
        <w:rPr>
          <w:sz w:val="20"/>
          <w:szCs w:val="20"/>
        </w:rPr>
      </w:pPr>
      <w:r>
        <w:rPr>
          <w:color w:val="BFBDA8"/>
          <w:sz w:val="20"/>
          <w:szCs w:val="20"/>
        </w:rPr>
        <w:t>• • I</w:t>
      </w:r>
      <w:r>
        <w:rPr>
          <w:color w:val="BFBDA8"/>
          <w:sz w:val="20"/>
          <w:szCs w:val="20"/>
        </w:rPr>
        <w:br/>
        <w:t xml:space="preserve">z </w:t>
      </w:r>
      <w:r>
        <w:rPr>
          <w:color w:val="BFBDA8"/>
          <w:sz w:val="20"/>
          <w:szCs w:val="20"/>
          <w:vertAlign w:val="superscript"/>
        </w:rPr>
        <w:t>1</w:t>
      </w:r>
    </w:p>
    <w:p w:rsidR="007D45F0" w:rsidRDefault="00FC1E4A">
      <w:pPr>
        <w:pStyle w:val="Zkladntext20"/>
        <w:shd w:val="clear" w:color="auto" w:fill="auto"/>
        <w:spacing w:line="134" w:lineRule="auto"/>
        <w:ind w:left="1060"/>
        <w:rPr>
          <w:sz w:val="20"/>
          <w:szCs w:val="20"/>
        </w:rPr>
        <w:sectPr w:rsidR="007D45F0">
          <w:type w:val="continuous"/>
          <w:pgSz w:w="11900" w:h="16840"/>
          <w:pgMar w:top="553" w:right="1783" w:bottom="238" w:left="7420" w:header="0" w:footer="3" w:gutter="0"/>
          <w:cols w:space="720"/>
          <w:noEndnote/>
          <w:docGrid w:linePitch="360"/>
        </w:sectPr>
      </w:pPr>
      <w:r>
        <w:rPr>
          <w:color w:val="C22946"/>
          <w:sz w:val="20"/>
          <w:szCs w:val="20"/>
        </w:rPr>
        <w:t>■■••—.</w:t>
      </w:r>
    </w:p>
    <w:p w:rsidR="007D45F0" w:rsidRDefault="007D45F0">
      <w:pPr>
        <w:spacing w:line="240" w:lineRule="exact"/>
        <w:rPr>
          <w:sz w:val="19"/>
          <w:szCs w:val="19"/>
        </w:rPr>
      </w:pPr>
    </w:p>
    <w:p w:rsidR="007D45F0" w:rsidRDefault="007D45F0">
      <w:pPr>
        <w:spacing w:line="240" w:lineRule="exact"/>
        <w:rPr>
          <w:sz w:val="19"/>
          <w:szCs w:val="19"/>
        </w:rPr>
      </w:pPr>
    </w:p>
    <w:p w:rsidR="007D45F0" w:rsidRDefault="007D45F0">
      <w:pPr>
        <w:spacing w:before="109" w:after="109" w:line="240" w:lineRule="exact"/>
        <w:rPr>
          <w:sz w:val="19"/>
          <w:szCs w:val="19"/>
        </w:rPr>
      </w:pPr>
    </w:p>
    <w:p w:rsidR="007D45F0" w:rsidRDefault="007D45F0">
      <w:pPr>
        <w:spacing w:line="1" w:lineRule="exact"/>
        <w:sectPr w:rsidR="007D45F0">
          <w:type w:val="continuous"/>
          <w:pgSz w:w="11900" w:h="16840"/>
          <w:pgMar w:top="553" w:right="0" w:bottom="238" w:left="0" w:header="0" w:footer="3" w:gutter="0"/>
          <w:cols w:space="720"/>
          <w:noEndnote/>
          <w:docGrid w:linePitch="360"/>
        </w:sectPr>
      </w:pPr>
    </w:p>
    <w:p w:rsidR="007D45F0" w:rsidRDefault="00FC1E4A">
      <w:pPr>
        <w:pStyle w:val="Zkladntext20"/>
        <w:framePr w:w="1234" w:h="394" w:wrap="none" w:vAnchor="text" w:hAnchor="page" w:x="2515" w:y="21"/>
        <w:shd w:val="clear" w:color="auto" w:fill="auto"/>
        <w:rPr>
          <w:sz w:val="20"/>
          <w:szCs w:val="20"/>
        </w:rPr>
      </w:pPr>
      <w:r>
        <w:rPr>
          <w:color w:val="BFBDA8"/>
          <w:sz w:val="20"/>
          <w:szCs w:val="20"/>
        </w:rPr>
        <w:t>Í"'VUZ v</w:t>
      </w:r>
    </w:p>
    <w:p w:rsidR="007D45F0" w:rsidRDefault="00FC1E4A">
      <w:pPr>
        <w:pStyle w:val="Zkladntext20"/>
        <w:framePr w:w="1234" w:h="394" w:wrap="none" w:vAnchor="text" w:hAnchor="page" w:x="2515" w:y="21"/>
        <w:shd w:val="clear" w:color="auto" w:fill="auto"/>
        <w:spacing w:line="180" w:lineRule="auto"/>
        <w:jc w:val="right"/>
        <w:rPr>
          <w:sz w:val="20"/>
          <w:szCs w:val="20"/>
        </w:rPr>
      </w:pPr>
      <w:r>
        <w:rPr>
          <w:color w:val="BF7E73"/>
          <w:sz w:val="20"/>
          <w:szCs w:val="20"/>
        </w:rPr>
        <w:t>B&gt;’5|</w:t>
      </w:r>
    </w:p>
    <w:p w:rsidR="007D45F0" w:rsidRDefault="00FC1E4A">
      <w:pPr>
        <w:pStyle w:val="Zkladntext20"/>
        <w:framePr w:w="2256" w:h="2314" w:wrap="none" w:vAnchor="text" w:hAnchor="page" w:x="1181" w:y="447"/>
        <w:shd w:val="clear" w:color="auto" w:fill="auto"/>
        <w:tabs>
          <w:tab w:val="left" w:leader="dot" w:pos="1196"/>
        </w:tabs>
        <w:spacing w:before="80"/>
        <w:ind w:firstLine="380"/>
        <w:rPr>
          <w:sz w:val="20"/>
          <w:szCs w:val="20"/>
        </w:rPr>
      </w:pPr>
      <w:r>
        <w:rPr>
          <w:color w:val="BFBDA8"/>
          <w:sz w:val="20"/>
          <w:szCs w:val="20"/>
        </w:rPr>
        <w:t>' ■</w:t>
      </w:r>
      <w:r>
        <w:rPr>
          <w:color w:val="BFBDA8"/>
          <w:sz w:val="20"/>
          <w:szCs w:val="20"/>
        </w:rPr>
        <w:tab/>
      </w:r>
    </w:p>
    <w:p w:rsidR="007D45F0" w:rsidRDefault="00FC1E4A">
      <w:pPr>
        <w:pStyle w:val="Zkladntext20"/>
        <w:framePr w:w="2256" w:h="2314" w:wrap="none" w:vAnchor="text" w:hAnchor="page" w:x="1181" w:y="447"/>
        <w:shd w:val="clear" w:color="auto" w:fill="auto"/>
        <w:spacing w:line="230" w:lineRule="auto"/>
        <w:rPr>
          <w:sz w:val="20"/>
          <w:szCs w:val="20"/>
        </w:rPr>
      </w:pPr>
      <w:r>
        <w:rPr>
          <w:color w:val="BFBDA8"/>
          <w:sz w:val="20"/>
          <w:szCs w:val="20"/>
        </w:rPr>
        <w:t>v I ■’ \</w:t>
      </w:r>
    </w:p>
    <w:p w:rsidR="007D45F0" w:rsidRDefault="00FC1E4A">
      <w:pPr>
        <w:pStyle w:val="Zkladntext20"/>
        <w:framePr w:w="2256" w:h="2314" w:wrap="none" w:vAnchor="text" w:hAnchor="page" w:x="1181" w:y="447"/>
        <w:shd w:val="clear" w:color="auto" w:fill="auto"/>
        <w:tabs>
          <w:tab w:val="left" w:pos="582"/>
          <w:tab w:val="left" w:pos="1806"/>
        </w:tabs>
        <w:spacing w:line="180" w:lineRule="auto"/>
        <w:ind w:firstLine="160"/>
        <w:rPr>
          <w:sz w:val="20"/>
          <w:szCs w:val="20"/>
        </w:rPr>
      </w:pPr>
      <w:r>
        <w:rPr>
          <w:color w:val="BFBDA8"/>
          <w:sz w:val="20"/>
          <w:szCs w:val="20"/>
        </w:rPr>
        <w:t>•'•</w:t>
      </w:r>
      <w:r>
        <w:rPr>
          <w:color w:val="BFBDA8"/>
          <w:sz w:val="20"/>
          <w:szCs w:val="20"/>
        </w:rPr>
        <w:tab/>
        <w:t>“</w:t>
      </w:r>
      <w:r>
        <w:rPr>
          <w:color w:val="BFBDA8"/>
          <w:sz w:val="20"/>
          <w:szCs w:val="20"/>
        </w:rPr>
        <w:tab/>
        <w:t>/</w:t>
      </w:r>
      <w:proofErr w:type="gramStart"/>
      <w:r>
        <w:rPr>
          <w:color w:val="BFBDA8"/>
          <w:sz w:val="20"/>
          <w:szCs w:val="20"/>
        </w:rPr>
        <w:t>vym^..</w:t>
      </w:r>
      <w:proofErr w:type="gramEnd"/>
    </w:p>
    <w:p w:rsidR="007D45F0" w:rsidRDefault="00FC1E4A">
      <w:pPr>
        <w:pStyle w:val="Zkladntext20"/>
        <w:framePr w:w="2256" w:h="2314" w:wrap="none" w:vAnchor="text" w:hAnchor="page" w:x="1181" w:y="447"/>
        <w:shd w:val="clear" w:color="auto" w:fill="auto"/>
        <w:tabs>
          <w:tab w:val="left" w:pos="1586"/>
        </w:tabs>
        <w:spacing w:line="180" w:lineRule="auto"/>
        <w:ind w:firstLine="160"/>
        <w:rPr>
          <w:sz w:val="20"/>
          <w:szCs w:val="20"/>
        </w:rPr>
      </w:pPr>
      <w:r>
        <w:rPr>
          <w:color w:val="BFBDA8"/>
          <w:sz w:val="20"/>
          <w:szCs w:val="20"/>
        </w:rPr>
        <w:t>PSjt5? - '•</w:t>
      </w:r>
      <w:r>
        <w:rPr>
          <w:color w:val="BFBDA8"/>
          <w:sz w:val="20"/>
          <w:szCs w:val="20"/>
        </w:rPr>
        <w:tab/>
        <w:t>'»/í-</w:t>
      </w:r>
    </w:p>
    <w:p w:rsidR="007D45F0" w:rsidRDefault="00FC1E4A">
      <w:pPr>
        <w:pStyle w:val="Zkladntext20"/>
        <w:framePr w:w="2256" w:h="2314" w:wrap="none" w:vAnchor="text" w:hAnchor="page" w:x="1181" w:y="447"/>
        <w:shd w:val="clear" w:color="auto" w:fill="auto"/>
        <w:tabs>
          <w:tab w:val="left" w:pos="544"/>
          <w:tab w:val="left" w:pos="1235"/>
        </w:tabs>
        <w:spacing w:line="180" w:lineRule="auto"/>
        <w:ind w:firstLine="160"/>
        <w:rPr>
          <w:sz w:val="20"/>
          <w:szCs w:val="20"/>
        </w:rPr>
      </w:pPr>
      <w:r>
        <w:rPr>
          <w:color w:val="BFBDA8"/>
          <w:sz w:val="20"/>
          <w:szCs w:val="20"/>
        </w:rPr>
        <w:t>/</w:t>
      </w:r>
      <w:r>
        <w:rPr>
          <w:color w:val="BFBDA8"/>
          <w:sz w:val="20"/>
          <w:szCs w:val="20"/>
        </w:rPr>
        <w:tab/>
        <w:t>x-.</w:t>
      </w:r>
      <w:r>
        <w:rPr>
          <w:color w:val="BFBDA8"/>
          <w:sz w:val="20"/>
          <w:szCs w:val="20"/>
        </w:rPr>
        <w:tab/>
        <w:t>*&lt;'</w:t>
      </w:r>
      <w:r>
        <w:rPr>
          <w:color w:val="BFBDA8"/>
          <w:sz w:val="20"/>
          <w:szCs w:val="20"/>
          <w:vertAlign w:val="superscript"/>
        </w:rPr>
        <w:t>v</w:t>
      </w:r>
    </w:p>
    <w:p w:rsidR="007D45F0" w:rsidRDefault="00FC1E4A">
      <w:pPr>
        <w:pStyle w:val="Zkladntext20"/>
        <w:framePr w:w="2256" w:h="2314" w:wrap="none" w:vAnchor="text" w:hAnchor="page" w:x="1181" w:y="447"/>
        <w:shd w:val="clear" w:color="auto" w:fill="auto"/>
        <w:spacing w:after="160" w:line="230" w:lineRule="auto"/>
        <w:ind w:firstLine="160"/>
        <w:rPr>
          <w:sz w:val="20"/>
          <w:szCs w:val="20"/>
        </w:rPr>
      </w:pPr>
      <w:r>
        <w:rPr>
          <w:color w:val="BFBDA8"/>
          <w:sz w:val="20"/>
          <w:szCs w:val="20"/>
        </w:rPr>
        <w:t>i, \V •'-'■■</w:t>
      </w:r>
    </w:p>
    <w:p w:rsidR="007D45F0" w:rsidRDefault="00FC1E4A">
      <w:pPr>
        <w:pStyle w:val="Zkladntext20"/>
        <w:framePr w:w="2256" w:h="2314" w:wrap="none" w:vAnchor="text" w:hAnchor="page" w:x="1181" w:y="447"/>
        <w:shd w:val="clear" w:color="auto" w:fill="auto"/>
        <w:ind w:left="1220"/>
        <w:rPr>
          <w:sz w:val="20"/>
          <w:szCs w:val="20"/>
        </w:rPr>
      </w:pPr>
      <w:r>
        <w:rPr>
          <w:color w:val="BFBDA8"/>
          <w:sz w:val="20"/>
          <w:szCs w:val="20"/>
        </w:rPr>
        <w:t>Sak-</w:t>
      </w:r>
    </w:p>
    <w:p w:rsidR="007D45F0" w:rsidRDefault="00FC1E4A">
      <w:pPr>
        <w:pStyle w:val="Zkladntext20"/>
        <w:framePr w:w="2256" w:h="2314" w:wrap="none" w:vAnchor="text" w:hAnchor="page" w:x="1181" w:y="447"/>
        <w:shd w:val="clear" w:color="auto" w:fill="auto"/>
        <w:spacing w:after="160" w:line="194" w:lineRule="auto"/>
        <w:ind w:left="1220"/>
        <w:rPr>
          <w:sz w:val="20"/>
          <w:szCs w:val="20"/>
        </w:rPr>
      </w:pPr>
      <w:r>
        <w:rPr>
          <w:color w:val="BFBDA8"/>
          <w:sz w:val="20"/>
          <w:szCs w:val="20"/>
        </w:rPr>
        <w:t>r •</w:t>
      </w:r>
    </w:p>
    <w:p w:rsidR="007D45F0" w:rsidRDefault="00FC1E4A">
      <w:pPr>
        <w:pStyle w:val="Zkladntext20"/>
        <w:framePr w:w="2256" w:h="2314" w:wrap="none" w:vAnchor="text" w:hAnchor="page" w:x="1181" w:y="447"/>
        <w:shd w:val="clear" w:color="auto" w:fill="auto"/>
        <w:spacing w:after="160"/>
        <w:ind w:left="1700"/>
        <w:rPr>
          <w:sz w:val="20"/>
          <w:szCs w:val="20"/>
        </w:rPr>
      </w:pPr>
      <w:r>
        <w:rPr>
          <w:color w:val="C22946"/>
          <w:sz w:val="20"/>
          <w:szCs w:val="20"/>
        </w:rPr>
        <w:t>J</w:t>
      </w:r>
    </w:p>
    <w:p w:rsidR="007D45F0" w:rsidRDefault="00FC1E4A">
      <w:pPr>
        <w:pStyle w:val="Zkladntext30"/>
        <w:framePr w:w="494" w:h="269" w:wrap="none" w:vAnchor="text" w:hAnchor="page" w:x="7569" w:y="1350"/>
        <w:shd w:val="clear" w:color="auto" w:fill="auto"/>
        <w:spacing w:after="0"/>
        <w:rPr>
          <w:sz w:val="14"/>
          <w:szCs w:val="14"/>
        </w:rPr>
      </w:pPr>
      <w:r>
        <w:rPr>
          <w:color w:val="C35461"/>
          <w:sz w:val="14"/>
          <w:szCs w:val="14"/>
        </w:rPr>
        <w:t>Dohi</w:t>
      </w:r>
    </w:p>
    <w:p w:rsidR="007D45F0" w:rsidRDefault="00FC1E4A">
      <w:pPr>
        <w:pStyle w:val="Zkladntext20"/>
        <w:framePr w:w="2179" w:h="1522" w:wrap="none" w:vAnchor="text" w:hAnchor="page" w:x="643" w:y="2583"/>
        <w:shd w:val="clear" w:color="auto" w:fill="auto"/>
        <w:ind w:firstLine="400"/>
        <w:rPr>
          <w:sz w:val="20"/>
          <w:szCs w:val="20"/>
        </w:rPr>
      </w:pPr>
      <w:r>
        <w:rPr>
          <w:color w:val="BFBDA8"/>
          <w:sz w:val="20"/>
          <w:szCs w:val="20"/>
        </w:rPr>
        <w:t>’** 'WfrlČj&amp;y !</w:t>
      </w:r>
    </w:p>
    <w:p w:rsidR="007D45F0" w:rsidRDefault="00FC1E4A">
      <w:pPr>
        <w:pStyle w:val="Zkladntext20"/>
        <w:framePr w:w="2179" w:h="1522" w:wrap="none" w:vAnchor="text" w:hAnchor="page" w:x="643" w:y="2583"/>
        <w:shd w:val="clear" w:color="auto" w:fill="auto"/>
        <w:tabs>
          <w:tab w:val="left" w:leader="underscore" w:pos="211"/>
        </w:tabs>
        <w:rPr>
          <w:sz w:val="20"/>
          <w:szCs w:val="20"/>
        </w:rPr>
      </w:pPr>
      <w:proofErr w:type="gramStart"/>
      <w:r>
        <w:rPr>
          <w:color w:val="BFBDA8"/>
          <w:sz w:val="20"/>
          <w:szCs w:val="20"/>
          <w:u w:val="single"/>
        </w:rPr>
        <w:t>*</w:t>
      </w:r>
      <w:r>
        <w:rPr>
          <w:color w:val="BFBDA8"/>
          <w:sz w:val="20"/>
          <w:szCs w:val="20"/>
          <w:u w:val="single"/>
        </w:rPr>
        <w:tab/>
      </w:r>
      <w:r>
        <w:rPr>
          <w:color w:val="BFBDA8"/>
          <w:sz w:val="20"/>
          <w:szCs w:val="20"/>
        </w:rPr>
        <w:t>_ • ;</w:t>
      </w:r>
      <w:r>
        <w:rPr>
          <w:color w:val="BFBDA8"/>
          <w:sz w:val="20"/>
          <w:szCs w:val="20"/>
        </w:rPr>
        <w:t xml:space="preserve"> , ’ ■</w:t>
      </w:r>
      <w:proofErr w:type="gramEnd"/>
    </w:p>
    <w:p w:rsidR="007D45F0" w:rsidRDefault="00FC1E4A">
      <w:pPr>
        <w:pStyle w:val="Zkladntext20"/>
        <w:framePr w:w="2179" w:h="1522" w:wrap="none" w:vAnchor="text" w:hAnchor="page" w:x="643" w:y="2583"/>
        <w:shd w:val="clear" w:color="auto" w:fill="auto"/>
        <w:spacing w:after="80"/>
        <w:rPr>
          <w:sz w:val="20"/>
          <w:szCs w:val="20"/>
        </w:rPr>
      </w:pPr>
      <w:r>
        <w:rPr>
          <w:color w:val="BFBDA8"/>
          <w:sz w:val="20"/>
          <w:szCs w:val="20"/>
        </w:rPr>
        <w:t xml:space="preserve">'w </w:t>
      </w:r>
      <w:r>
        <w:rPr>
          <w:color w:val="A7A184"/>
          <w:sz w:val="20"/>
          <w:szCs w:val="20"/>
          <w:vertAlign w:val="superscript"/>
        </w:rPr>
        <w:t>5U</w:t>
      </w:r>
      <w:r>
        <w:rPr>
          <w:color w:val="A7A184"/>
          <w:sz w:val="20"/>
          <w:szCs w:val="20"/>
        </w:rPr>
        <w:t xml:space="preserve">; </w:t>
      </w:r>
      <w:r>
        <w:rPr>
          <w:color w:val="BFBDA8"/>
          <w:sz w:val="20"/>
          <w:szCs w:val="20"/>
        </w:rPr>
        <w:t xml:space="preserve">y&gt;*. </w:t>
      </w:r>
      <w:r>
        <w:rPr>
          <w:color w:val="A7A184"/>
          <w:sz w:val="20"/>
          <w:szCs w:val="20"/>
        </w:rPr>
        <w:t>v'</w:t>
      </w:r>
    </w:p>
    <w:p w:rsidR="007D45F0" w:rsidRDefault="00FC1E4A">
      <w:pPr>
        <w:pStyle w:val="Zkladntext20"/>
        <w:framePr w:w="2179" w:h="1522" w:wrap="none" w:vAnchor="text" w:hAnchor="page" w:x="643" w:y="2583"/>
        <w:shd w:val="clear" w:color="auto" w:fill="auto"/>
        <w:rPr>
          <w:sz w:val="20"/>
          <w:szCs w:val="20"/>
        </w:rPr>
      </w:pPr>
      <w:r>
        <w:rPr>
          <w:color w:val="BFBDA8"/>
          <w:sz w:val="20"/>
          <w:szCs w:val="20"/>
        </w:rPr>
        <w:t>5'aorpa. »’•</w:t>
      </w:r>
    </w:p>
    <w:p w:rsidR="007D45F0" w:rsidRDefault="00FC1E4A">
      <w:pPr>
        <w:pStyle w:val="Zkladntext20"/>
        <w:framePr w:w="2179" w:h="1522" w:wrap="none" w:vAnchor="text" w:hAnchor="page" w:x="643" w:y="2583"/>
        <w:shd w:val="clear" w:color="auto" w:fill="auto"/>
        <w:tabs>
          <w:tab w:val="left" w:pos="312"/>
          <w:tab w:val="left" w:pos="859"/>
        </w:tabs>
        <w:spacing w:line="218" w:lineRule="auto"/>
        <w:rPr>
          <w:sz w:val="20"/>
          <w:szCs w:val="20"/>
        </w:rPr>
      </w:pPr>
      <w:r>
        <w:rPr>
          <w:color w:val="BFBDA8"/>
          <w:sz w:val="20"/>
          <w:szCs w:val="20"/>
        </w:rPr>
        <w:t>\</w:t>
      </w:r>
      <w:r>
        <w:rPr>
          <w:color w:val="BFBDA8"/>
          <w:sz w:val="20"/>
          <w:szCs w:val="20"/>
        </w:rPr>
        <w:tab/>
        <w:t>i'&lt;n*v&lt;</w:t>
      </w:r>
      <w:r>
        <w:rPr>
          <w:color w:val="BFBDA8"/>
          <w:sz w:val="20"/>
          <w:szCs w:val="20"/>
        </w:rPr>
        <w:tab/>
        <w:t>«•»«</w:t>
      </w:r>
    </w:p>
    <w:p w:rsidR="007D45F0" w:rsidRDefault="00FC1E4A">
      <w:pPr>
        <w:pStyle w:val="Zkladntext30"/>
        <w:framePr w:w="888" w:h="293" w:wrap="none" w:vAnchor="text" w:hAnchor="page" w:x="4272" w:y="3159"/>
        <w:shd w:val="clear" w:color="auto" w:fill="auto"/>
        <w:spacing w:before="80" w:after="0"/>
        <w:rPr>
          <w:sz w:val="14"/>
          <w:szCs w:val="14"/>
        </w:rPr>
      </w:pPr>
      <w:r>
        <w:rPr>
          <w:color w:val="C35461"/>
          <w:sz w:val="14"/>
          <w:szCs w:val="14"/>
        </w:rPr>
        <w:t>Mům, Lonini</w:t>
      </w:r>
    </w:p>
    <w:p w:rsidR="007D45F0" w:rsidRDefault="00FC1E4A">
      <w:pPr>
        <w:pStyle w:val="Zkladntext30"/>
        <w:framePr w:w="446" w:h="206" w:wrap="none" w:vAnchor="text" w:hAnchor="page" w:x="1483" w:y="6860"/>
        <w:shd w:val="clear" w:color="auto" w:fill="auto"/>
        <w:spacing w:after="0"/>
        <w:rPr>
          <w:sz w:val="14"/>
          <w:szCs w:val="14"/>
        </w:rPr>
      </w:pPr>
      <w:r>
        <w:rPr>
          <w:color w:val="6F6F6F"/>
          <w:sz w:val="14"/>
          <w:szCs w:val="14"/>
        </w:rPr>
        <w:t>1 km</w:t>
      </w: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line="360" w:lineRule="exact"/>
      </w:pPr>
    </w:p>
    <w:p w:rsidR="007D45F0" w:rsidRDefault="007D45F0">
      <w:pPr>
        <w:spacing w:after="585" w:line="1" w:lineRule="exact"/>
      </w:pPr>
    </w:p>
    <w:p w:rsidR="007D45F0" w:rsidRDefault="007D45F0">
      <w:pPr>
        <w:spacing w:line="1" w:lineRule="exact"/>
        <w:sectPr w:rsidR="007D45F0">
          <w:type w:val="continuous"/>
          <w:pgSz w:w="11900" w:h="16840"/>
          <w:pgMar w:top="553" w:right="621" w:bottom="238" w:left="248" w:header="0" w:footer="3" w:gutter="0"/>
          <w:cols w:space="720"/>
          <w:noEndnote/>
          <w:docGrid w:linePitch="360"/>
        </w:sectPr>
      </w:pPr>
    </w:p>
    <w:p w:rsidR="007D45F0" w:rsidRDefault="00FC1E4A">
      <w:pPr>
        <w:pStyle w:val="Jin0"/>
        <w:shd w:val="clear" w:color="auto" w:fill="auto"/>
        <w:spacing w:after="120" w:line="240" w:lineRule="auto"/>
        <w:rPr>
          <w:sz w:val="16"/>
          <w:szCs w:val="16"/>
        </w:rPr>
      </w:pPr>
      <w:r>
        <w:rPr>
          <w:rFonts w:ascii="Times New Roman" w:eastAsia="Times New Roman" w:hAnsi="Times New Roman" w:cs="Times New Roman"/>
          <w:color w:val="CF9F7F"/>
          <w:sz w:val="16"/>
          <w:szCs w:val="16"/>
        </w:rPr>
        <w:t>© ČÚZK</w:t>
      </w:r>
    </w:p>
    <w:p w:rsidR="007D45F0" w:rsidRDefault="00FC1E4A">
      <w:pPr>
        <w:pStyle w:val="Zkladntext30"/>
        <w:shd w:val="clear" w:color="auto" w:fill="auto"/>
        <w:spacing w:after="0"/>
        <w:sectPr w:rsidR="007D45F0">
          <w:type w:val="continuous"/>
          <w:pgSz w:w="11900" w:h="16840"/>
          <w:pgMar w:top="553" w:right="3064" w:bottom="238" w:left="618" w:header="0" w:footer="3" w:gutter="0"/>
          <w:cols w:space="720"/>
          <w:noEndnote/>
          <w:docGrid w:linePitch="360"/>
        </w:sectPr>
      </w:pPr>
      <w:r>
        <w:t>Vydavatel: AOPK ČR, 202</w:t>
      </w:r>
      <w:r>
        <w:rPr>
          <w:b w:val="0"/>
          <w:bCs w:val="0"/>
          <w:sz w:val="20"/>
          <w:szCs w:val="20"/>
        </w:rPr>
        <w:t xml:space="preserve">3 </w:t>
      </w:r>
      <w:r>
        <w:t>(Jaroslav Muller)</w:t>
      </w:r>
    </w:p>
    <w:p w:rsidR="007D45F0" w:rsidRDefault="00FC1E4A">
      <w:pPr>
        <w:pStyle w:val="Zkladntext20"/>
        <w:shd w:val="clear" w:color="auto" w:fill="auto"/>
        <w:spacing w:after="480"/>
      </w:pPr>
      <w:r>
        <w:lastRenderedPageBreak/>
        <w:t>Příloha č. 4 - Kontaktní osoby zhotovitele a objednatele</w:t>
      </w:r>
    </w:p>
    <w:p w:rsidR="007D45F0" w:rsidRDefault="00FC1E4A">
      <w:pPr>
        <w:pStyle w:val="Zkladntext20"/>
        <w:shd w:val="clear" w:color="auto" w:fill="auto"/>
        <w:spacing w:after="120"/>
      </w:pPr>
      <w:r>
        <w:t xml:space="preserve">Osoby </w:t>
      </w:r>
      <w:r>
        <w:t>objednatele:</w:t>
      </w:r>
    </w:p>
    <w:p w:rsidR="007D45F0" w:rsidRDefault="00FC1E4A">
      <w:pPr>
        <w:pStyle w:val="Zkladntext20"/>
        <w:numPr>
          <w:ilvl w:val="0"/>
          <w:numId w:val="8"/>
        </w:numPr>
        <w:shd w:val="clear" w:color="auto" w:fill="auto"/>
        <w:tabs>
          <w:tab w:val="left" w:pos="372"/>
        </w:tabs>
        <w:spacing w:after="120"/>
      </w:pPr>
      <w:r>
        <w:t xml:space="preserve">Mgr. Tomáš Myslikovjan, </w:t>
      </w:r>
      <w:r>
        <w:t>email:</w:t>
      </w:r>
      <w:hyperlink r:id="rId13" w:history="1">
        <w:r>
          <w:t xml:space="preserve"> </w:t>
        </w:r>
        <w:r>
          <w:rPr>
            <w:color w:val="0563C1"/>
            <w:u w:val="single"/>
            <w:lang w:val="en-US" w:eastAsia="en-US" w:bidi="en-US"/>
          </w:rPr>
          <w:t>tomas.myslikovjan@nature.cz</w:t>
        </w:r>
      </w:hyperlink>
    </w:p>
    <w:p w:rsidR="007D45F0" w:rsidRDefault="00FC1E4A">
      <w:pPr>
        <w:pStyle w:val="Zkladntext20"/>
        <w:numPr>
          <w:ilvl w:val="0"/>
          <w:numId w:val="8"/>
        </w:numPr>
        <w:shd w:val="clear" w:color="auto" w:fill="auto"/>
        <w:tabs>
          <w:tab w:val="left" w:pos="372"/>
        </w:tabs>
        <w:spacing w:after="480"/>
      </w:pPr>
      <w:r>
        <w:t xml:space="preserve">Ing. Jaroslav Muller, </w:t>
      </w:r>
      <w:r>
        <w:t>email:</w:t>
      </w:r>
      <w:hyperlink r:id="rId14" w:history="1">
        <w:r>
          <w:t xml:space="preserve"> </w:t>
        </w:r>
        <w:r>
          <w:rPr>
            <w:color w:val="0563C1"/>
            <w:u w:val="single"/>
            <w:lang w:val="en-US" w:eastAsia="en-US" w:bidi="en-US"/>
          </w:rPr>
          <w:t>jaroslav.muller@nature.cz</w:t>
        </w:r>
      </w:hyperlink>
    </w:p>
    <w:p w:rsidR="007D45F0" w:rsidRDefault="00FC1E4A">
      <w:pPr>
        <w:pStyle w:val="Zkladntext20"/>
        <w:shd w:val="clear" w:color="auto" w:fill="auto"/>
        <w:spacing w:after="120"/>
      </w:pPr>
      <w:r>
        <w:t>Osoby zhotovitele:</w:t>
      </w:r>
    </w:p>
    <w:p w:rsidR="007D45F0" w:rsidRDefault="00FC1E4A">
      <w:pPr>
        <w:pStyle w:val="Zkladntext20"/>
        <w:numPr>
          <w:ilvl w:val="0"/>
          <w:numId w:val="8"/>
        </w:numPr>
        <w:shd w:val="clear" w:color="auto" w:fill="auto"/>
        <w:tabs>
          <w:tab w:val="left" w:pos="258"/>
        </w:tabs>
        <w:spacing w:after="300"/>
      </w:pPr>
      <w:r>
        <w:t xml:space="preserve">Ing. Vojtěch Bajer, </w:t>
      </w:r>
      <w:bookmarkStart w:id="42" w:name="_GoBack"/>
      <w:bookmarkEnd w:id="42"/>
      <w:r>
        <w:t>email:</w:t>
      </w:r>
      <w:hyperlink r:id="rId15" w:history="1">
        <w:r>
          <w:t xml:space="preserve"> </w:t>
        </w:r>
        <w:r>
          <w:rPr>
            <w:color w:val="0563C1"/>
            <w:u w:val="single"/>
            <w:lang w:val="en-US" w:eastAsia="en-US" w:bidi="en-US"/>
          </w:rPr>
          <w:t>salamandr@salamandr.info</w:t>
        </w:r>
      </w:hyperlink>
    </w:p>
    <w:sectPr w:rsidR="007D45F0">
      <w:pgSz w:w="11900" w:h="16840"/>
      <w:pgMar w:top="1114" w:right="2026" w:bottom="1114" w:left="1657" w:header="686"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C1E4A">
      <w:r>
        <w:separator/>
      </w:r>
    </w:p>
  </w:endnote>
  <w:endnote w:type="continuationSeparator" w:id="0">
    <w:p w:rsidR="00000000" w:rsidRDefault="00FC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5F0" w:rsidRDefault="00FC1E4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3687445</wp:posOffset>
              </wp:positionH>
              <wp:positionV relativeFrom="page">
                <wp:posOffset>10007600</wp:posOffset>
              </wp:positionV>
              <wp:extent cx="222250"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222250" cy="106680"/>
                      </a:xfrm>
                      <a:prstGeom prst="rect">
                        <a:avLst/>
                      </a:prstGeom>
                      <a:noFill/>
                    </wps:spPr>
                    <wps:txbx>
                      <w:txbxContent>
                        <w:p w:rsidR="007D45F0" w:rsidRDefault="00FC1E4A">
                          <w:pPr>
                            <w:pStyle w:val="Zhlavnebozpat20"/>
                            <w:shd w:val="clear" w:color="auto" w:fill="auto"/>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Pr>
                              <w:rFonts w:ascii="Arial" w:eastAsia="Arial" w:hAnsi="Arial" w:cs="Arial"/>
                              <w:noProof/>
                              <w:sz w:val="18"/>
                              <w:szCs w:val="18"/>
                            </w:rPr>
                            <w:t>9</w:t>
                          </w:r>
                          <w:r>
                            <w:rPr>
                              <w:rFonts w:ascii="Arial" w:eastAsia="Arial" w:hAnsi="Arial" w:cs="Arial"/>
                              <w:sz w:val="18"/>
                              <w:szCs w:val="18"/>
                            </w:rPr>
                            <w:fldChar w:fldCharType="end"/>
                          </w:r>
                          <w:r>
                            <w:rPr>
                              <w:rFonts w:ascii="Arial" w:eastAsia="Arial" w:hAnsi="Arial" w:cs="Arial"/>
                              <w:sz w:val="18"/>
                              <w:szCs w:val="18"/>
                            </w:rPr>
                            <w:t xml:space="preserve"> | 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4" type="#_x0000_t202" style="position:absolute;margin-left:290.35pt;margin-top:788pt;width:17.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" filled="f" stroked="f">
              <v:textbox style="mso-fit-shape-to-text:t" inset="0,0,0,0">
                <w:txbxContent>
                  <w:p w:rsidR="007D45F0" w:rsidRDefault="00FC1E4A">
                    <w:pPr>
                      <w:pStyle w:val="Zhlavnebozpat20"/>
                      <w:shd w:val="clear" w:color="auto" w:fill="auto"/>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Pr>
                        <w:rFonts w:ascii="Arial" w:eastAsia="Arial" w:hAnsi="Arial" w:cs="Arial"/>
                        <w:noProof/>
                        <w:sz w:val="18"/>
                        <w:szCs w:val="18"/>
                      </w:rPr>
                      <w:t>9</w:t>
                    </w:r>
                    <w:r>
                      <w:rPr>
                        <w:rFonts w:ascii="Arial" w:eastAsia="Arial" w:hAnsi="Arial" w:cs="Arial"/>
                        <w:sz w:val="18"/>
                        <w:szCs w:val="18"/>
                      </w:rPr>
                      <w:fldChar w:fldCharType="end"/>
                    </w:r>
                    <w:r>
                      <w:rPr>
                        <w:rFonts w:ascii="Arial" w:eastAsia="Arial" w:hAnsi="Arial" w:cs="Arial"/>
                        <w:sz w:val="18"/>
                        <w:szCs w:val="18"/>
                      </w:rPr>
                      <w:t xml:space="preserve"> | 9</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5F0" w:rsidRDefault="007D45F0">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5F0" w:rsidRDefault="007D45F0">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5F0" w:rsidRDefault="007D45F0"/>
  </w:footnote>
  <w:footnote w:type="continuationSeparator" w:id="0">
    <w:p w:rsidR="007D45F0" w:rsidRDefault="007D45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64A3"/>
    <w:multiLevelType w:val="multilevel"/>
    <w:tmpl w:val="2E804F78"/>
    <w:lvl w:ilvl="0">
      <w:start w:val="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F7636"/>
    <w:multiLevelType w:val="multilevel"/>
    <w:tmpl w:val="6ADAA3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E1C03"/>
    <w:multiLevelType w:val="multilevel"/>
    <w:tmpl w:val="9F1464B6"/>
    <w:lvl w:ilvl="0">
      <w:start w:val="3"/>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D3044"/>
    <w:multiLevelType w:val="multilevel"/>
    <w:tmpl w:val="D64EF694"/>
    <w:lvl w:ilvl="0">
      <w:start w:val="3"/>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E80841"/>
    <w:multiLevelType w:val="multilevel"/>
    <w:tmpl w:val="AF9A2970"/>
    <w:lvl w:ilvl="0">
      <w:start w:val="5"/>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6653A6"/>
    <w:multiLevelType w:val="multilevel"/>
    <w:tmpl w:val="B6B4984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E925C3"/>
    <w:multiLevelType w:val="multilevel"/>
    <w:tmpl w:val="AFA27D9A"/>
    <w:lvl w:ilvl="0">
      <w:start w:val="2"/>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FC5481"/>
    <w:multiLevelType w:val="multilevel"/>
    <w:tmpl w:val="58C4DED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3"/>
  </w:num>
  <w:num w:numId="4">
    <w:abstractNumId w:val="2"/>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F0"/>
    <w:rsid w:val="007D45F0"/>
    <w:rsid w:val="00FC1E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2F6721-939F-46F1-853D-C8D3CCBE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color w:val="006B4D"/>
      <w:sz w:val="16"/>
      <w:szCs w:val="1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8"/>
      <w:szCs w:val="28"/>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color w:val="8F8E85"/>
      <w:sz w:val="36"/>
      <w:szCs w:val="36"/>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strike w:val="0"/>
      <w:color w:val="BFBDA8"/>
      <w:sz w:val="52"/>
      <w:szCs w:val="52"/>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strike w:val="0"/>
      <w:color w:val="BFBDA8"/>
      <w:sz w:val="52"/>
      <w:szCs w:val="52"/>
      <w:u w:val="none"/>
    </w:rPr>
  </w:style>
  <w:style w:type="paragraph" w:customStyle="1" w:styleId="Zkladntext40">
    <w:name w:val="Základní text (4)"/>
    <w:basedOn w:val="Normln"/>
    <w:link w:val="Zkladntext4"/>
    <w:pPr>
      <w:shd w:val="clear" w:color="auto" w:fill="FFFFFF"/>
      <w:spacing w:after="40"/>
      <w:jc w:val="right"/>
    </w:pPr>
    <w:rPr>
      <w:rFonts w:ascii="Calibri" w:eastAsia="Calibri" w:hAnsi="Calibri" w:cs="Calibri"/>
      <w:color w:val="006B4D"/>
      <w:sz w:val="16"/>
      <w:szCs w:val="16"/>
    </w:rPr>
  </w:style>
  <w:style w:type="paragraph" w:customStyle="1" w:styleId="Zkladntext30">
    <w:name w:val="Základní text (3)"/>
    <w:basedOn w:val="Normln"/>
    <w:link w:val="Zkladntext3"/>
    <w:pPr>
      <w:shd w:val="clear" w:color="auto" w:fill="FFFFFF"/>
      <w:spacing w:after="50"/>
    </w:pPr>
    <w:rPr>
      <w:rFonts w:ascii="Arial" w:eastAsia="Arial" w:hAnsi="Arial" w:cs="Arial"/>
      <w:b/>
      <w:bCs/>
      <w:sz w:val="15"/>
      <w:szCs w:val="15"/>
    </w:rPr>
  </w:style>
  <w:style w:type="paragraph" w:customStyle="1" w:styleId="Zkladntext1">
    <w:name w:val="Základní text1"/>
    <w:basedOn w:val="Normln"/>
    <w:link w:val="Zkladntext"/>
    <w:pPr>
      <w:shd w:val="clear" w:color="auto" w:fill="FFFFFF"/>
      <w:spacing w:after="100" w:line="271" w:lineRule="auto"/>
    </w:pPr>
    <w:rPr>
      <w:rFonts w:ascii="Arial" w:eastAsia="Arial" w:hAnsi="Arial" w:cs="Arial"/>
      <w:sz w:val="20"/>
      <w:szCs w:val="20"/>
    </w:rPr>
  </w:style>
  <w:style w:type="paragraph" w:customStyle="1" w:styleId="Jin0">
    <w:name w:val="Jiné"/>
    <w:basedOn w:val="Normln"/>
    <w:link w:val="Jin"/>
    <w:pPr>
      <w:shd w:val="clear" w:color="auto" w:fill="FFFFFF"/>
      <w:spacing w:after="100" w:line="271" w:lineRule="auto"/>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b/>
      <w:bCs/>
      <w:sz w:val="20"/>
      <w:szCs w:val="20"/>
    </w:rPr>
  </w:style>
  <w:style w:type="paragraph" w:customStyle="1" w:styleId="Nadpis50">
    <w:name w:val="Nadpis #5"/>
    <w:basedOn w:val="Normln"/>
    <w:link w:val="Nadpis5"/>
    <w:pPr>
      <w:shd w:val="clear" w:color="auto" w:fill="FFFFFF"/>
      <w:spacing w:after="360" w:line="271" w:lineRule="auto"/>
      <w:ind w:left="4570"/>
      <w:outlineLvl w:val="4"/>
    </w:pPr>
    <w:rPr>
      <w:rFonts w:ascii="Arial" w:eastAsia="Arial" w:hAnsi="Arial" w:cs="Arial"/>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22"/>
      <w:szCs w:val="22"/>
    </w:rPr>
  </w:style>
  <w:style w:type="paragraph" w:customStyle="1" w:styleId="Nadpis40">
    <w:name w:val="Nadpis #4"/>
    <w:basedOn w:val="Normln"/>
    <w:link w:val="Nadpis4"/>
    <w:pPr>
      <w:shd w:val="clear" w:color="auto" w:fill="FFFFFF"/>
      <w:spacing w:after="160"/>
      <w:outlineLvl w:val="3"/>
    </w:pPr>
    <w:rPr>
      <w:rFonts w:ascii="Calibri" w:eastAsia="Calibri" w:hAnsi="Calibri" w:cs="Calibri"/>
      <w:b/>
      <w:bCs/>
      <w:sz w:val="28"/>
      <w:szCs w:val="28"/>
    </w:rPr>
  </w:style>
  <w:style w:type="paragraph" w:customStyle="1" w:styleId="Nadpis30">
    <w:name w:val="Nadpis #3"/>
    <w:basedOn w:val="Normln"/>
    <w:link w:val="Nadpis3"/>
    <w:pPr>
      <w:shd w:val="clear" w:color="auto" w:fill="FFFFFF"/>
      <w:spacing w:after="190"/>
      <w:outlineLvl w:val="2"/>
    </w:pPr>
    <w:rPr>
      <w:rFonts w:ascii="Times New Roman" w:eastAsia="Times New Roman" w:hAnsi="Times New Roman" w:cs="Times New Roman"/>
      <w:color w:val="8F8E85"/>
      <w:sz w:val="36"/>
      <w:szCs w:val="36"/>
    </w:rPr>
  </w:style>
  <w:style w:type="paragraph" w:customStyle="1" w:styleId="Nadpis10">
    <w:name w:val="Nadpis #1"/>
    <w:basedOn w:val="Normln"/>
    <w:link w:val="Nadpis1"/>
    <w:pPr>
      <w:shd w:val="clear" w:color="auto" w:fill="FFFFFF"/>
      <w:spacing w:line="163" w:lineRule="auto"/>
      <w:outlineLvl w:val="0"/>
    </w:pPr>
    <w:rPr>
      <w:rFonts w:ascii="Times New Roman" w:eastAsia="Times New Roman" w:hAnsi="Times New Roman" w:cs="Times New Roman"/>
      <w:smallCaps/>
      <w:color w:val="BFBDA8"/>
      <w:sz w:val="52"/>
      <w:szCs w:val="52"/>
    </w:rPr>
  </w:style>
  <w:style w:type="paragraph" w:customStyle="1" w:styleId="Nadpis20">
    <w:name w:val="Nadpis #2"/>
    <w:basedOn w:val="Normln"/>
    <w:link w:val="Nadpis2"/>
    <w:pPr>
      <w:shd w:val="clear" w:color="auto" w:fill="FFFFFF"/>
      <w:spacing w:after="540" w:line="139" w:lineRule="auto"/>
      <w:jc w:val="center"/>
      <w:outlineLvl w:val="1"/>
    </w:pPr>
    <w:rPr>
      <w:rFonts w:ascii="Times New Roman" w:eastAsia="Times New Roman" w:hAnsi="Times New Roman" w:cs="Times New Roman"/>
      <w:smallCaps/>
      <w:color w:val="BFBDA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opkcr@nature.cz" TargetMode="External"/><Relationship Id="rId13" Type="http://schemas.openxmlformats.org/officeDocument/2006/relationships/hyperlink" Target="mailto:tomas.myslikovjan@nature.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salamandr@salamandr.info"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aroslav.muller@natur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4446</Words>
  <Characters>26233</Characters>
  <Application>Microsoft Office Word</Application>
  <DocSecurity>0</DocSecurity>
  <Lines>218</Lines>
  <Paragraphs>61</Paragraphs>
  <ScaleCrop>false</ScaleCrop>
  <Company>AOPK</Company>
  <LinksUpToDate>false</LinksUpToDate>
  <CharactersWithSpaces>30618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Jaroslav Mûller</cp:lastModifiedBy>
  <cp:revision>2</cp:revision>
  <dcterms:created xsi:type="dcterms:W3CDTF">2023-06-26T13:14:00Z</dcterms:created>
  <dcterms:modified xsi:type="dcterms:W3CDTF">2023-06-26T13:25:00Z</dcterms:modified>
</cp:coreProperties>
</file>