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VŠEOBECNÉ PODMÍNKY</w:t>
      </w:r>
    </w:p>
    <w:p>
      <w:pPr>
        <w:pStyle w:val="Heading2"/>
      </w:pPr>
      <w:r>
        <w:rPr/>
        <w:t>poskytování slu</w:t>
      </w:r>
      <w:r>
        <w:rPr>
          <w:i/>
        </w:rPr>
        <w:t>ž</w:t>
      </w:r>
      <w:r>
        <w:rPr/>
        <w:t>eb elektronick</w:t>
      </w:r>
      <w:r>
        <w:rPr>
          <w:i/>
        </w:rPr>
        <w:t>ý</w:t>
      </w:r>
      <w:r>
        <w:rPr/>
        <w:t>ch komunikací platné od 1.1.2021</w:t>
      </w:r>
    </w:p>
    <w:p>
      <w:pPr>
        <w:pStyle w:val="BodyText"/>
        <w:spacing w:before="9"/>
        <w:ind w:left="0" w:firstLine="0"/>
        <w:jc w:val="left"/>
        <w:rPr>
          <w:sz w:val="9"/>
        </w:rPr>
      </w:pPr>
    </w:p>
    <w:p>
      <w:pPr>
        <w:spacing w:after="0"/>
        <w:jc w:val="left"/>
        <w:rPr>
          <w:sz w:val="9"/>
        </w:rPr>
        <w:sectPr>
          <w:footerReference w:type="default" r:id="rId5"/>
          <w:type w:val="continuous"/>
          <w:pgSz w:w="11910" w:h="16840"/>
          <w:pgMar w:footer="256" w:top="260" w:bottom="440" w:left="280" w:right="300"/>
          <w:pgNumType w:start="1"/>
        </w:sectPr>
      </w:pPr>
    </w:p>
    <w:p>
      <w:pPr>
        <w:pStyle w:val="Heading3"/>
        <w:numPr>
          <w:ilvl w:val="0"/>
          <w:numId w:val="1"/>
        </w:numPr>
        <w:tabs>
          <w:tab w:pos="688" w:val="left" w:leader="none"/>
          <w:tab w:pos="689" w:val="left" w:leader="none"/>
        </w:tabs>
        <w:spacing w:line="240" w:lineRule="auto" w:before="74" w:after="0"/>
        <w:ind w:left="688" w:right="0" w:hanging="397"/>
        <w:jc w:val="left"/>
      </w:pPr>
      <w:r>
        <w:rPr/>
        <w:pict>
          <v:group style="position:absolute;margin-left:19.592615pt;margin-top:13.6223pt;width:119.25pt;height:809.15pt;mso-position-horizontal-relative:page;mso-position-vertical-relative:page;z-index:-8728" coordorigin="392,272" coordsize="2385,16183">
            <v:shape style="position:absolute;left:739;top:272;width:2037;height:702" type="#_x0000_t75" stroked="false">
              <v:imagedata r:id="rId6" o:title=""/>
            </v:shape>
            <v:shape style="position:absolute;left:398;top:644;width:292;height:15805" coordorigin="398,644" coordsize="292,15805" path="m689,644l543,644,521,647,471,669,421,726,398,839,398,16335,400,16353,413,16392,448,16431,517,16449,689,16449e" filled="false" stroked="true" strokeweight=".593919pt" strokecolor="#80bb27">
              <v:path arrowok="t"/>
              <v:stroke dashstyle="solid"/>
            </v:shape>
            <w10:wrap type="none"/>
          </v:group>
        </w:pict>
      </w:r>
      <w:r>
        <w:rPr/>
        <w:t>Úvodní</w:t>
      </w:r>
      <w:r>
        <w:rPr>
          <w:spacing w:val="-11"/>
        </w:rPr>
        <w:t> </w:t>
      </w:r>
      <w:r>
        <w:rPr/>
        <w:t>ustanovení</w:t>
      </w:r>
    </w:p>
    <w:p>
      <w:pPr>
        <w:pStyle w:val="ListParagraph"/>
        <w:numPr>
          <w:ilvl w:val="1"/>
          <w:numId w:val="1"/>
        </w:numPr>
        <w:tabs>
          <w:tab w:pos="689" w:val="left" w:leader="none"/>
        </w:tabs>
        <w:spacing w:line="252" w:lineRule="auto" w:before="4" w:after="0"/>
        <w:ind w:left="688" w:right="1" w:hanging="397"/>
        <w:jc w:val="both"/>
        <w:rPr>
          <w:sz w:val="15"/>
        </w:rPr>
      </w:pPr>
      <w:r>
        <w:rPr>
          <w:sz w:val="15"/>
        </w:rPr>
        <w:t>Tyto Všeobecné podmínky poskytování služeb elektronických komunikací (dále jen </w:t>
      </w:r>
      <w:r>
        <w:rPr>
          <w:i/>
          <w:sz w:val="15"/>
        </w:rPr>
        <w:t>„všeobecné podmínky“ </w:t>
      </w:r>
      <w:r>
        <w:rPr>
          <w:sz w:val="15"/>
        </w:rPr>
        <w:t>nebo také </w:t>
      </w:r>
      <w:r>
        <w:rPr>
          <w:i/>
          <w:sz w:val="15"/>
        </w:rPr>
        <w:t>„VP“</w:t>
      </w:r>
      <w:r>
        <w:rPr>
          <w:sz w:val="15"/>
        </w:rPr>
        <w:t>) jsou nedílnou součástí smluv o poskytování a užívání služeb elektronických komunikací, uzavíraných mezi společností WIA spol. s r.o., Vojtěšská 231/17, 110 00 Praha 1, IČ: 26703297, zapsané v OR u MS v Praze, oddíl C, vložka 88450, jako poskytovatelem a</w:t>
      </w:r>
      <w:r>
        <w:rPr>
          <w:spacing w:val="-20"/>
          <w:sz w:val="15"/>
        </w:rPr>
        <w:t> </w:t>
      </w:r>
      <w:r>
        <w:rPr>
          <w:sz w:val="15"/>
        </w:rPr>
        <w:t>účastníkem.</w:t>
      </w:r>
    </w:p>
    <w:p>
      <w:pPr>
        <w:pStyle w:val="Heading3"/>
        <w:numPr>
          <w:ilvl w:val="0"/>
          <w:numId w:val="1"/>
        </w:numPr>
        <w:tabs>
          <w:tab w:pos="688" w:val="left" w:leader="none"/>
          <w:tab w:pos="689" w:val="left" w:leader="none"/>
        </w:tabs>
        <w:spacing w:line="240" w:lineRule="auto" w:before="58" w:after="0"/>
        <w:ind w:left="688" w:right="0" w:hanging="397"/>
        <w:jc w:val="left"/>
      </w:pPr>
      <w:r>
        <w:rPr/>
        <w:t>Smlouva</w:t>
      </w:r>
    </w:p>
    <w:p>
      <w:pPr>
        <w:pStyle w:val="ListParagraph"/>
        <w:numPr>
          <w:ilvl w:val="1"/>
          <w:numId w:val="1"/>
        </w:numPr>
        <w:tabs>
          <w:tab w:pos="689" w:val="left" w:leader="none"/>
        </w:tabs>
        <w:spacing w:line="249" w:lineRule="auto" w:before="4" w:after="0"/>
        <w:ind w:left="688" w:right="0" w:hanging="397"/>
        <w:jc w:val="both"/>
        <w:rPr>
          <w:sz w:val="15"/>
        </w:rPr>
      </w:pPr>
      <w:r>
        <w:rPr>
          <w:sz w:val="15"/>
        </w:rPr>
        <w:t>Smluvní vztah, ve kterém se uplatňují tyto Všeobecné podmínky poskytování služeb elektronických komunikací, je sjednán smlouvou o poskytování   a   užívání   služeb   elektronických   komunikací   (dále</w:t>
      </w:r>
      <w:r>
        <w:rPr>
          <w:spacing w:val="37"/>
          <w:sz w:val="15"/>
        </w:rPr>
        <w:t> </w:t>
      </w:r>
      <w:r>
        <w:rPr>
          <w:sz w:val="15"/>
        </w:rPr>
        <w:t>jen</w:t>
      </w:r>
    </w:p>
    <w:p>
      <w:pPr>
        <w:pStyle w:val="BodyText"/>
        <w:spacing w:line="247" w:lineRule="auto" w:before="2"/>
        <w:ind w:right="1" w:firstLine="0"/>
      </w:pPr>
      <w:r>
        <w:rPr>
          <w:i/>
        </w:rPr>
        <w:t>„smlouva“</w:t>
      </w:r>
      <w:r>
        <w:rPr/>
        <w:t>) uzavřenou mezi účastníkem a poskytovatelem podle definice v odst. 3.2 a 3.3 těchto</w:t>
      </w:r>
      <w:r>
        <w:rPr>
          <w:spacing w:val="-13"/>
        </w:rPr>
        <w:t> </w:t>
      </w:r>
      <w:r>
        <w:rPr/>
        <w:t>VP.</w:t>
      </w:r>
    </w:p>
    <w:p>
      <w:pPr>
        <w:pStyle w:val="ListParagraph"/>
        <w:numPr>
          <w:ilvl w:val="1"/>
          <w:numId w:val="1"/>
        </w:numPr>
        <w:tabs>
          <w:tab w:pos="689" w:val="left" w:leader="none"/>
        </w:tabs>
        <w:spacing w:line="252" w:lineRule="auto" w:before="4" w:after="0"/>
        <w:ind w:left="688" w:right="0" w:hanging="397"/>
        <w:jc w:val="both"/>
        <w:rPr>
          <w:sz w:val="15"/>
        </w:rPr>
      </w:pPr>
      <w:r>
        <w:rPr>
          <w:sz w:val="15"/>
        </w:rPr>
        <w:t>Předmětem smlouvy je zřízení jedné nebo více služeb el. komunikací, specifikovaných smlouvou, případně technickými specifikacemi, a poskytování této služby nebo služeb. Minimální nabízená a minimální zaručená úroveň kvality poskytovaných služeb je stanovena parametry služeb uvedenými ve smlouvě a ceníku konkrétní služby. Parametry mohou být ovlivněny zohledněním případné agregace a vytížení. Provoz v síti poskytovatele je měřen a řízen centrálně, technickými prostředky, které zajišťují dodržení parametrů služby. V případě naplnění nebo překročení kapacity připojení uživatele může tato skutečnost způsobit zhoršení</w:t>
      </w:r>
      <w:r>
        <w:rPr>
          <w:spacing w:val="-6"/>
          <w:sz w:val="15"/>
        </w:rPr>
        <w:t> </w:t>
      </w:r>
      <w:r>
        <w:rPr>
          <w:sz w:val="15"/>
        </w:rPr>
        <w:t>některých</w:t>
      </w:r>
      <w:r>
        <w:rPr>
          <w:spacing w:val="-6"/>
          <w:sz w:val="15"/>
        </w:rPr>
        <w:t> </w:t>
      </w:r>
      <w:r>
        <w:rPr>
          <w:sz w:val="15"/>
        </w:rPr>
        <w:t>parametrů</w:t>
      </w:r>
      <w:r>
        <w:rPr>
          <w:spacing w:val="-6"/>
          <w:sz w:val="15"/>
        </w:rPr>
        <w:t> </w:t>
      </w:r>
      <w:r>
        <w:rPr>
          <w:sz w:val="15"/>
        </w:rPr>
        <w:t>služby</w:t>
      </w:r>
      <w:r>
        <w:rPr>
          <w:spacing w:val="-6"/>
          <w:sz w:val="15"/>
        </w:rPr>
        <w:t> </w:t>
      </w:r>
      <w:r>
        <w:rPr>
          <w:sz w:val="15"/>
        </w:rPr>
        <w:t>(latence,</w:t>
      </w:r>
      <w:r>
        <w:rPr>
          <w:spacing w:val="-6"/>
          <w:sz w:val="15"/>
        </w:rPr>
        <w:t> </w:t>
      </w:r>
      <w:r>
        <w:rPr>
          <w:sz w:val="15"/>
        </w:rPr>
        <w:t>ztrátovost</w:t>
      </w:r>
      <w:r>
        <w:rPr>
          <w:spacing w:val="-6"/>
          <w:sz w:val="15"/>
        </w:rPr>
        <w:t> </w:t>
      </w:r>
      <w:r>
        <w:rPr>
          <w:sz w:val="15"/>
        </w:rPr>
        <w:t>atp.).</w:t>
      </w:r>
    </w:p>
    <w:p>
      <w:pPr>
        <w:pStyle w:val="ListParagraph"/>
        <w:numPr>
          <w:ilvl w:val="1"/>
          <w:numId w:val="1"/>
        </w:numPr>
        <w:tabs>
          <w:tab w:pos="689" w:val="left" w:leader="none"/>
        </w:tabs>
        <w:spacing w:line="169" w:lineRule="exact" w:before="0" w:after="0"/>
        <w:ind w:left="688" w:right="0" w:hanging="397"/>
        <w:jc w:val="left"/>
        <w:rPr>
          <w:sz w:val="15"/>
        </w:rPr>
      </w:pPr>
      <w:r>
        <w:rPr>
          <w:sz w:val="15"/>
        </w:rPr>
        <w:t>Obsah smlouvy je</w:t>
      </w:r>
      <w:r>
        <w:rPr>
          <w:spacing w:val="-11"/>
          <w:sz w:val="15"/>
        </w:rPr>
        <w:t> </w:t>
      </w:r>
      <w:r>
        <w:rPr>
          <w:sz w:val="15"/>
        </w:rPr>
        <w:t>tvořen:</w:t>
      </w:r>
    </w:p>
    <w:p>
      <w:pPr>
        <w:pStyle w:val="ListParagraph"/>
        <w:numPr>
          <w:ilvl w:val="2"/>
          <w:numId w:val="1"/>
        </w:numPr>
        <w:tabs>
          <w:tab w:pos="859" w:val="left" w:leader="none"/>
        </w:tabs>
        <w:spacing w:line="249" w:lineRule="auto" w:before="10" w:after="0"/>
        <w:ind w:left="858" w:right="0" w:hanging="170"/>
        <w:jc w:val="both"/>
        <w:rPr>
          <w:sz w:val="15"/>
        </w:rPr>
      </w:pPr>
      <w:r>
        <w:rPr>
          <w:sz w:val="15"/>
        </w:rPr>
        <w:t>Oboustranně akceptovanou písemně uzavřenou smlouvou mezi účastníkem a poskytovatelem nebo obsahem registrace účastníka prostřednictvím internetových stránek poskytovatele na adrese některé z předplacených služeb; případně číslovanými dodatky, které jsou označené jako nedílná součást smlouvy, podepsané oprávněnými zástupci obou smluvních stran, budou-li</w:t>
      </w:r>
      <w:r>
        <w:rPr>
          <w:spacing w:val="-25"/>
          <w:sz w:val="15"/>
        </w:rPr>
        <w:t> </w:t>
      </w:r>
      <w:r>
        <w:rPr>
          <w:sz w:val="15"/>
        </w:rPr>
        <w:t>uzavřeny;</w:t>
      </w:r>
    </w:p>
    <w:p>
      <w:pPr>
        <w:pStyle w:val="ListParagraph"/>
        <w:numPr>
          <w:ilvl w:val="2"/>
          <w:numId w:val="1"/>
        </w:numPr>
        <w:tabs>
          <w:tab w:pos="859" w:val="left" w:leader="none"/>
        </w:tabs>
        <w:spacing w:line="240" w:lineRule="auto" w:before="3" w:after="0"/>
        <w:ind w:left="858" w:right="0" w:hanging="170"/>
        <w:jc w:val="left"/>
        <w:rPr>
          <w:sz w:val="15"/>
        </w:rPr>
      </w:pPr>
      <w:r>
        <w:rPr>
          <w:sz w:val="15"/>
        </w:rPr>
        <w:t>Ceníky</w:t>
      </w:r>
      <w:r>
        <w:rPr>
          <w:spacing w:val="-6"/>
          <w:sz w:val="15"/>
        </w:rPr>
        <w:t> </w:t>
      </w:r>
      <w:r>
        <w:rPr>
          <w:sz w:val="15"/>
        </w:rPr>
        <w:t>jednotlivých</w:t>
      </w:r>
      <w:r>
        <w:rPr>
          <w:spacing w:val="-6"/>
          <w:sz w:val="15"/>
        </w:rPr>
        <w:t> </w:t>
      </w:r>
      <w:r>
        <w:rPr>
          <w:sz w:val="15"/>
        </w:rPr>
        <w:t>služeb</w:t>
      </w:r>
      <w:r>
        <w:rPr>
          <w:spacing w:val="-6"/>
          <w:sz w:val="15"/>
        </w:rPr>
        <w:t> </w:t>
      </w:r>
      <w:r>
        <w:rPr>
          <w:sz w:val="15"/>
        </w:rPr>
        <w:t>a</w:t>
      </w:r>
      <w:r>
        <w:rPr>
          <w:spacing w:val="-6"/>
          <w:sz w:val="15"/>
        </w:rPr>
        <w:t> </w:t>
      </w:r>
      <w:r>
        <w:rPr>
          <w:sz w:val="15"/>
        </w:rPr>
        <w:t>Ceníkem</w:t>
      </w:r>
      <w:r>
        <w:rPr>
          <w:spacing w:val="-5"/>
          <w:sz w:val="15"/>
        </w:rPr>
        <w:t> </w:t>
      </w:r>
      <w:r>
        <w:rPr>
          <w:sz w:val="15"/>
        </w:rPr>
        <w:t>administrativních</w:t>
      </w:r>
      <w:r>
        <w:rPr>
          <w:spacing w:val="-6"/>
          <w:sz w:val="15"/>
        </w:rPr>
        <w:t> </w:t>
      </w:r>
      <w:r>
        <w:rPr>
          <w:sz w:val="15"/>
        </w:rPr>
        <w:t>poplatků;</w:t>
      </w:r>
    </w:p>
    <w:p>
      <w:pPr>
        <w:pStyle w:val="ListParagraph"/>
        <w:numPr>
          <w:ilvl w:val="2"/>
          <w:numId w:val="1"/>
        </w:numPr>
        <w:tabs>
          <w:tab w:pos="859" w:val="left" w:leader="none"/>
        </w:tabs>
        <w:spacing w:line="254" w:lineRule="auto" w:before="5" w:after="0"/>
        <w:ind w:left="858" w:right="1" w:hanging="170"/>
        <w:jc w:val="both"/>
        <w:rPr>
          <w:sz w:val="15"/>
        </w:rPr>
      </w:pPr>
      <w:r>
        <w:rPr>
          <w:sz w:val="15"/>
        </w:rPr>
        <w:t>Provozními podmínkami jednotlivých služeb elektronických komunikací WIA spol. s r.o. (dále jen </w:t>
      </w:r>
      <w:r>
        <w:rPr>
          <w:i/>
          <w:sz w:val="15"/>
        </w:rPr>
        <w:t>„provozní</w:t>
      </w:r>
      <w:r>
        <w:rPr>
          <w:i/>
          <w:spacing w:val="-21"/>
          <w:sz w:val="15"/>
        </w:rPr>
        <w:t> </w:t>
      </w:r>
      <w:r>
        <w:rPr>
          <w:i/>
          <w:sz w:val="15"/>
        </w:rPr>
        <w:t>podmínky“</w:t>
      </w:r>
      <w:r>
        <w:rPr>
          <w:sz w:val="15"/>
        </w:rPr>
        <w:t>);</w:t>
      </w:r>
    </w:p>
    <w:p>
      <w:pPr>
        <w:pStyle w:val="ListParagraph"/>
        <w:numPr>
          <w:ilvl w:val="2"/>
          <w:numId w:val="1"/>
        </w:numPr>
        <w:tabs>
          <w:tab w:pos="859" w:val="left" w:leader="none"/>
        </w:tabs>
        <w:spacing w:line="168" w:lineRule="exact" w:before="0" w:after="0"/>
        <w:ind w:left="858" w:right="0" w:hanging="170"/>
        <w:jc w:val="left"/>
        <w:rPr>
          <w:sz w:val="15"/>
        </w:rPr>
      </w:pPr>
      <w:r>
        <w:rPr>
          <w:sz w:val="15"/>
        </w:rPr>
        <w:t>Ochranou osobních údajů ve WIA spol. s</w:t>
      </w:r>
      <w:r>
        <w:rPr>
          <w:spacing w:val="-20"/>
          <w:sz w:val="15"/>
        </w:rPr>
        <w:t> </w:t>
      </w:r>
      <w:r>
        <w:rPr>
          <w:sz w:val="15"/>
        </w:rPr>
        <w:t>r.o.;</w:t>
      </w:r>
    </w:p>
    <w:p>
      <w:pPr>
        <w:pStyle w:val="ListParagraph"/>
        <w:numPr>
          <w:ilvl w:val="2"/>
          <w:numId w:val="1"/>
        </w:numPr>
        <w:tabs>
          <w:tab w:pos="859" w:val="left" w:leader="none"/>
        </w:tabs>
        <w:spacing w:line="247" w:lineRule="auto" w:before="10" w:after="0"/>
        <w:ind w:left="858" w:right="1" w:hanging="170"/>
        <w:jc w:val="both"/>
        <w:rPr>
          <w:sz w:val="15"/>
        </w:rPr>
      </w:pPr>
      <w:r>
        <w:rPr>
          <w:sz w:val="15"/>
        </w:rPr>
        <w:t>Všeobecnými podmínky poskytování služeb elektronických komunikací WIA spol. s</w:t>
      </w:r>
      <w:r>
        <w:rPr>
          <w:spacing w:val="-7"/>
          <w:sz w:val="15"/>
        </w:rPr>
        <w:t> </w:t>
      </w:r>
      <w:r>
        <w:rPr>
          <w:sz w:val="15"/>
        </w:rPr>
        <w:t>r.o.</w:t>
      </w:r>
    </w:p>
    <w:p>
      <w:pPr>
        <w:pStyle w:val="BodyText"/>
        <w:spacing w:line="249" w:lineRule="auto" w:before="5"/>
        <w:ind w:left="717" w:firstLine="0"/>
      </w:pPr>
      <w:r>
        <w:rPr/>
        <w:t>Pro případ rozporu mezi jednotlivými výše uvedenými body, tvořícími obsah  smlouvy,  má  přednost  obsah  bodu,  který  je  uvedený  dříve    v pořadí než ten, se kterým je v</w:t>
      </w:r>
      <w:r>
        <w:rPr>
          <w:spacing w:val="-18"/>
        </w:rPr>
        <w:t> </w:t>
      </w:r>
      <w:r>
        <w:rPr/>
        <w:t>rozporu.</w:t>
      </w:r>
    </w:p>
    <w:p>
      <w:pPr>
        <w:pStyle w:val="Heading3"/>
        <w:numPr>
          <w:ilvl w:val="0"/>
          <w:numId w:val="1"/>
        </w:numPr>
        <w:tabs>
          <w:tab w:pos="688" w:val="left" w:leader="none"/>
          <w:tab w:pos="689" w:val="left" w:leader="none"/>
        </w:tabs>
        <w:spacing w:line="240" w:lineRule="auto" w:before="60" w:after="0"/>
        <w:ind w:left="688" w:right="0" w:hanging="397"/>
        <w:jc w:val="left"/>
      </w:pPr>
      <w:r>
        <w:rPr/>
        <w:t>Definice</w:t>
      </w:r>
      <w:r>
        <w:rPr>
          <w:spacing w:val="-8"/>
        </w:rPr>
        <w:t> </w:t>
      </w:r>
      <w:r>
        <w:rPr/>
        <w:t>pojmů</w:t>
      </w:r>
    </w:p>
    <w:p>
      <w:pPr>
        <w:pStyle w:val="ListParagraph"/>
        <w:numPr>
          <w:ilvl w:val="1"/>
          <w:numId w:val="1"/>
        </w:numPr>
        <w:tabs>
          <w:tab w:pos="689" w:val="left" w:leader="none"/>
        </w:tabs>
        <w:spacing w:line="247" w:lineRule="auto" w:before="9" w:after="0"/>
        <w:ind w:left="688" w:right="0" w:hanging="397"/>
        <w:jc w:val="both"/>
        <w:rPr>
          <w:sz w:val="15"/>
        </w:rPr>
      </w:pPr>
      <w:r>
        <w:rPr>
          <w:sz w:val="15"/>
        </w:rPr>
        <w:t>Uživatel je fyzická nebo právnická osoba, která užívá služby el. komunikací poskytované společností WIA spol. s</w:t>
      </w:r>
      <w:r>
        <w:rPr>
          <w:spacing w:val="-25"/>
          <w:sz w:val="15"/>
        </w:rPr>
        <w:t> </w:t>
      </w:r>
      <w:r>
        <w:rPr>
          <w:sz w:val="15"/>
        </w:rPr>
        <w:t>r.o.</w:t>
      </w:r>
    </w:p>
    <w:p>
      <w:pPr>
        <w:pStyle w:val="ListParagraph"/>
        <w:numPr>
          <w:ilvl w:val="1"/>
          <w:numId w:val="1"/>
        </w:numPr>
        <w:tabs>
          <w:tab w:pos="689" w:val="left" w:leader="none"/>
        </w:tabs>
        <w:spacing w:line="249" w:lineRule="auto" w:before="4" w:after="0"/>
        <w:ind w:left="688" w:right="0" w:hanging="397"/>
        <w:jc w:val="both"/>
        <w:rPr>
          <w:sz w:val="15"/>
        </w:rPr>
      </w:pPr>
      <w:r>
        <w:rPr>
          <w:sz w:val="15"/>
        </w:rPr>
        <w:t>Účastník je uživatel, který má s poskytovatelem uzavřenu smlouvu o poskytování služeb el. komunikací. Účastník uzavřením smlouvy souhlasí s tím, že uživatel je oprávněn za účastníka převzít od poskytovatele službu/y a případná telekomunikační zařízení dle</w:t>
      </w:r>
      <w:r>
        <w:rPr>
          <w:spacing w:val="-28"/>
          <w:sz w:val="15"/>
        </w:rPr>
        <w:t> </w:t>
      </w:r>
      <w:r>
        <w:rPr>
          <w:sz w:val="15"/>
        </w:rPr>
        <w:t>smlouvy.</w:t>
      </w:r>
    </w:p>
    <w:p>
      <w:pPr>
        <w:pStyle w:val="ListParagraph"/>
        <w:numPr>
          <w:ilvl w:val="1"/>
          <w:numId w:val="1"/>
        </w:numPr>
        <w:tabs>
          <w:tab w:pos="689" w:val="left" w:leader="none"/>
        </w:tabs>
        <w:spacing w:line="247" w:lineRule="auto" w:before="2" w:after="0"/>
        <w:ind w:left="688" w:right="0" w:hanging="397"/>
        <w:jc w:val="both"/>
        <w:rPr>
          <w:sz w:val="15"/>
        </w:rPr>
      </w:pPr>
      <w:r>
        <w:rPr>
          <w:sz w:val="15"/>
        </w:rPr>
        <w:t>Poskytovatel je společnost WIA spol. s r.o., která účastníkovi poskytuje služby el.</w:t>
      </w:r>
      <w:r>
        <w:rPr>
          <w:spacing w:val="-11"/>
          <w:sz w:val="15"/>
        </w:rPr>
        <w:t> </w:t>
      </w:r>
      <w:r>
        <w:rPr>
          <w:sz w:val="15"/>
        </w:rPr>
        <w:t>komunikací.</w:t>
      </w:r>
    </w:p>
    <w:p>
      <w:pPr>
        <w:pStyle w:val="ListParagraph"/>
        <w:numPr>
          <w:ilvl w:val="1"/>
          <w:numId w:val="1"/>
        </w:numPr>
        <w:tabs>
          <w:tab w:pos="689" w:val="left" w:leader="none"/>
        </w:tabs>
        <w:spacing w:line="249" w:lineRule="auto" w:before="4" w:after="0"/>
        <w:ind w:left="688" w:right="0" w:hanging="397"/>
        <w:jc w:val="both"/>
        <w:rPr>
          <w:sz w:val="15"/>
        </w:rPr>
      </w:pPr>
      <w:r>
        <w:rPr>
          <w:sz w:val="15"/>
        </w:rPr>
        <w:t>Oprávněný zástupce smluvní strany je osoba oprávněná se za smluvní stranu zavazovat a uzavřít smlouvu. Pokud nejde o osobu oprávněnou zastupovat smluvní stranu podle zákona, oprávněný zástupce smluvní strany musí mít k uvedeným činnostem platnou plnou moc s úředně ověřeným</w:t>
      </w:r>
      <w:r>
        <w:rPr>
          <w:spacing w:val="-9"/>
          <w:sz w:val="15"/>
        </w:rPr>
        <w:t> </w:t>
      </w:r>
      <w:r>
        <w:rPr>
          <w:sz w:val="15"/>
        </w:rPr>
        <w:t>podpisem.</w:t>
      </w:r>
    </w:p>
    <w:p>
      <w:pPr>
        <w:pStyle w:val="ListParagraph"/>
        <w:numPr>
          <w:ilvl w:val="1"/>
          <w:numId w:val="1"/>
        </w:numPr>
        <w:tabs>
          <w:tab w:pos="689" w:val="left" w:leader="none"/>
        </w:tabs>
        <w:spacing w:line="249" w:lineRule="auto" w:before="0" w:after="0"/>
        <w:ind w:left="688" w:right="1" w:hanging="397"/>
        <w:jc w:val="both"/>
        <w:rPr>
          <w:sz w:val="15"/>
        </w:rPr>
      </w:pPr>
      <w:r>
        <w:rPr>
          <w:sz w:val="15"/>
        </w:rPr>
        <w:t>Pověřený zástupce smluvní strany je osoba oprávněná za smluvní stranu jednat ve věci smlouvy a podepisovat případné dodatky nebo technické specifikace. Pokud oprávněný zástupce smluvní strany neurčí v záhlaví smlouvy jinak, druhá smluvní strana pokládá za pověřeného zástupce osobu podle</w:t>
      </w:r>
      <w:r>
        <w:rPr>
          <w:spacing w:val="-11"/>
          <w:sz w:val="15"/>
        </w:rPr>
        <w:t> </w:t>
      </w:r>
      <w:r>
        <w:rPr>
          <w:sz w:val="15"/>
        </w:rPr>
        <w:t>zákona.</w:t>
      </w:r>
    </w:p>
    <w:p>
      <w:pPr>
        <w:pStyle w:val="ListParagraph"/>
        <w:numPr>
          <w:ilvl w:val="1"/>
          <w:numId w:val="1"/>
        </w:numPr>
        <w:tabs>
          <w:tab w:pos="689" w:val="left" w:leader="none"/>
        </w:tabs>
        <w:spacing w:line="252" w:lineRule="auto" w:before="5" w:after="0"/>
        <w:ind w:left="688" w:right="0" w:hanging="397"/>
        <w:jc w:val="both"/>
        <w:rPr>
          <w:sz w:val="15"/>
        </w:rPr>
      </w:pPr>
      <w:r>
        <w:rPr>
          <w:sz w:val="15"/>
        </w:rPr>
        <w:t>Kontaktní osoba smluvní strany je osoba zajišťující přenos informací mezi oběma smluvními stranami týkajících se plnění smlouvy, dále je oprávněna přebírat od poskytovatele službu/y, případně související zařízení, podepisovat příslušné předávací protokoly a závazně jednat ve věcech kvality a rozsahu poskytování služby. Oprávněný zástupce nebo pověřený zástupce smluvní strany může písemně určit kontaktní osoby a stanovit oblasti, které jim náleží nebo pořadí, ve kterém mají být druhou stranou kontaktovány. Pokud to smluvní strana neurčí, druhá smluvní strana pokládá za kontaktní osoby osoby podle  zákona.  Kontaktní osobou poskytovatele jsou vždy</w:t>
      </w:r>
      <w:r>
        <w:rPr>
          <w:spacing w:val="-19"/>
          <w:sz w:val="15"/>
        </w:rPr>
        <w:t> </w:t>
      </w:r>
      <w:r>
        <w:rPr>
          <w:sz w:val="15"/>
        </w:rPr>
        <w:t>také:</w:t>
      </w:r>
    </w:p>
    <w:p>
      <w:pPr>
        <w:pStyle w:val="ListParagraph"/>
        <w:numPr>
          <w:ilvl w:val="2"/>
          <w:numId w:val="1"/>
        </w:numPr>
        <w:tabs>
          <w:tab w:pos="859" w:val="left" w:leader="none"/>
        </w:tabs>
        <w:spacing w:line="254" w:lineRule="auto" w:before="0" w:after="0"/>
        <w:ind w:left="858" w:right="1" w:hanging="170"/>
        <w:jc w:val="both"/>
        <w:rPr>
          <w:sz w:val="15"/>
        </w:rPr>
      </w:pPr>
      <w:r>
        <w:rPr>
          <w:sz w:val="15"/>
        </w:rPr>
        <w:t>do předání služby (změny služby): technik poskytovatele, který  instaluje</w:t>
      </w:r>
      <w:r>
        <w:rPr>
          <w:spacing w:val="-9"/>
          <w:sz w:val="15"/>
        </w:rPr>
        <w:t> </w:t>
      </w:r>
      <w:r>
        <w:rPr>
          <w:sz w:val="15"/>
        </w:rPr>
        <w:t>službu;</w:t>
      </w:r>
    </w:p>
    <w:p>
      <w:pPr>
        <w:pStyle w:val="ListParagraph"/>
        <w:numPr>
          <w:ilvl w:val="2"/>
          <w:numId w:val="1"/>
        </w:numPr>
        <w:tabs>
          <w:tab w:pos="859" w:val="left" w:leader="none"/>
        </w:tabs>
        <w:spacing w:line="254" w:lineRule="auto" w:before="0" w:after="0"/>
        <w:ind w:left="858" w:right="1" w:hanging="170"/>
        <w:jc w:val="both"/>
        <w:rPr>
          <w:sz w:val="15"/>
        </w:rPr>
      </w:pPr>
      <w:r>
        <w:rPr>
          <w:sz w:val="15"/>
        </w:rPr>
        <w:t>po předání služby (změny služby): operátor zákaznické linky poskytovatele ve</w:t>
      </w:r>
      <w:r>
        <w:rPr>
          <w:spacing w:val="-13"/>
          <w:sz w:val="15"/>
        </w:rPr>
        <w:t> </w:t>
      </w:r>
      <w:r>
        <w:rPr>
          <w:sz w:val="15"/>
        </w:rPr>
        <w:t>službě.</w:t>
      </w:r>
    </w:p>
    <w:p>
      <w:pPr>
        <w:pStyle w:val="ListParagraph"/>
        <w:numPr>
          <w:ilvl w:val="1"/>
          <w:numId w:val="1"/>
        </w:numPr>
        <w:tabs>
          <w:tab w:pos="689" w:val="left" w:leader="none"/>
        </w:tabs>
        <w:spacing w:line="254" w:lineRule="auto" w:before="0" w:after="0"/>
        <w:ind w:left="688" w:right="0" w:hanging="397"/>
        <w:jc w:val="both"/>
        <w:rPr>
          <w:sz w:val="15"/>
        </w:rPr>
      </w:pPr>
      <w:r>
        <w:rPr>
          <w:sz w:val="15"/>
        </w:rPr>
        <w:t>Zástupce smluvní strany je některá z osob uvedených v odst. 3.4 až 3.6 VP.</w:t>
      </w:r>
    </w:p>
    <w:p>
      <w:pPr>
        <w:pStyle w:val="ListParagraph"/>
        <w:numPr>
          <w:ilvl w:val="1"/>
          <w:numId w:val="1"/>
        </w:numPr>
        <w:tabs>
          <w:tab w:pos="689" w:val="left" w:leader="none"/>
        </w:tabs>
        <w:spacing w:line="249" w:lineRule="auto" w:before="0" w:after="0"/>
        <w:ind w:left="688" w:right="1" w:hanging="397"/>
        <w:jc w:val="both"/>
        <w:rPr>
          <w:sz w:val="15"/>
        </w:rPr>
      </w:pPr>
      <w:r>
        <w:rPr>
          <w:sz w:val="15"/>
        </w:rPr>
        <w:t>Lokalita uživatele je prostor účastníkem ve smlouvě určený pro instalaci telekomunikačního zařízení poskytovatele uvedením adresy, budovy, podlaží a</w:t>
      </w:r>
      <w:r>
        <w:rPr>
          <w:spacing w:val="-9"/>
          <w:sz w:val="15"/>
        </w:rPr>
        <w:t> </w:t>
      </w:r>
      <w:r>
        <w:rPr>
          <w:sz w:val="15"/>
        </w:rPr>
        <w:t>místností.</w:t>
      </w:r>
    </w:p>
    <w:p>
      <w:pPr>
        <w:pStyle w:val="ListParagraph"/>
        <w:numPr>
          <w:ilvl w:val="1"/>
          <w:numId w:val="1"/>
        </w:numPr>
        <w:tabs>
          <w:tab w:pos="689" w:val="left" w:leader="none"/>
        </w:tabs>
        <w:spacing w:line="249" w:lineRule="auto" w:before="4" w:after="0"/>
        <w:ind w:left="688" w:right="0" w:hanging="397"/>
        <w:jc w:val="both"/>
        <w:rPr>
          <w:sz w:val="15"/>
        </w:rPr>
      </w:pPr>
      <w:r>
        <w:rPr>
          <w:sz w:val="15"/>
        </w:rPr>
        <w:t>Zřízení služby je akt písemně potvrzený na předávacím protokolu zástupci obou smluvních stran včetně času zprovoznění účastníkem požadované služby v parametrech a v rozsahu uvedených ve smlouvě. Nebyl-li předávací protokol podepsán, rozumí se zřízením služby okamžik prvního použití</w:t>
      </w:r>
      <w:r>
        <w:rPr>
          <w:spacing w:val="-12"/>
          <w:sz w:val="15"/>
        </w:rPr>
        <w:t> </w:t>
      </w:r>
      <w:r>
        <w:rPr>
          <w:sz w:val="15"/>
        </w:rPr>
        <w:t>služby.</w:t>
      </w:r>
    </w:p>
    <w:p>
      <w:pPr>
        <w:pStyle w:val="ListParagraph"/>
        <w:numPr>
          <w:ilvl w:val="1"/>
          <w:numId w:val="1"/>
        </w:numPr>
        <w:tabs>
          <w:tab w:pos="633" w:val="left" w:leader="none"/>
        </w:tabs>
        <w:spacing w:line="249" w:lineRule="auto" w:before="74" w:after="0"/>
        <w:ind w:left="632" w:right="154" w:hanging="397"/>
        <w:jc w:val="both"/>
        <w:rPr>
          <w:sz w:val="15"/>
        </w:rPr>
      </w:pPr>
      <w:r>
        <w:rPr>
          <w:w w:val="99"/>
          <w:sz w:val="15"/>
        </w:rPr>
        <w:br w:type="column"/>
      </w:r>
      <w:r>
        <w:rPr>
          <w:sz w:val="15"/>
        </w:rPr>
        <w:t>Zřízení změny služby je akt písemně potvrzený na předávacím protokolu zástupci obou smluvních stran včetně času zprovoznění účastníkem požadované změny již poskytované služby v parametrech a v rozsahu uvedených ve smlouvě. Nebyl-li předávací protokol podepsán, rozumí se zřízením změny služby okamžik prvního použití změněné</w:t>
      </w:r>
      <w:r>
        <w:rPr>
          <w:spacing w:val="-29"/>
          <w:sz w:val="15"/>
        </w:rPr>
        <w:t> </w:t>
      </w:r>
      <w:r>
        <w:rPr>
          <w:sz w:val="15"/>
        </w:rPr>
        <w:t>služby.</w:t>
      </w:r>
    </w:p>
    <w:p>
      <w:pPr>
        <w:pStyle w:val="ListParagraph"/>
        <w:numPr>
          <w:ilvl w:val="1"/>
          <w:numId w:val="1"/>
        </w:numPr>
        <w:tabs>
          <w:tab w:pos="633" w:val="left" w:leader="none"/>
        </w:tabs>
        <w:spacing w:line="252" w:lineRule="auto" w:before="0" w:after="0"/>
        <w:ind w:left="632" w:right="154" w:hanging="397"/>
        <w:jc w:val="both"/>
        <w:rPr>
          <w:sz w:val="15"/>
        </w:rPr>
      </w:pPr>
      <w:r>
        <w:rPr>
          <w:sz w:val="15"/>
        </w:rPr>
        <w:t>Minimální doba užívání služby je období, ve kterém není účastník oprávněn uzavřenou smlouvu vypovědět. Minimální doba užívání služby  je uvedena ve smlouvě nebo technické specifikaci a počíná běžet okamžikem zřízení služby. Do běhu minimální doby užívání služby se nezapočítává doba, po kterou byla služba poskytována zdarma nebo poskytování služby bylo přerušeno na žádost</w:t>
      </w:r>
      <w:r>
        <w:rPr>
          <w:spacing w:val="-28"/>
          <w:sz w:val="15"/>
        </w:rPr>
        <w:t> </w:t>
      </w:r>
      <w:r>
        <w:rPr>
          <w:sz w:val="15"/>
        </w:rPr>
        <w:t>účastníka.</w:t>
      </w:r>
    </w:p>
    <w:p>
      <w:pPr>
        <w:pStyle w:val="ListParagraph"/>
        <w:numPr>
          <w:ilvl w:val="1"/>
          <w:numId w:val="1"/>
        </w:numPr>
        <w:tabs>
          <w:tab w:pos="633" w:val="left" w:leader="none"/>
        </w:tabs>
        <w:spacing w:line="169" w:lineRule="exact" w:before="2" w:after="0"/>
        <w:ind w:left="632" w:right="0" w:hanging="397"/>
        <w:jc w:val="left"/>
        <w:rPr>
          <w:sz w:val="15"/>
        </w:rPr>
      </w:pPr>
      <w:r>
        <w:rPr>
          <w:sz w:val="15"/>
        </w:rPr>
        <w:t>Pro účely přenesení telefonního čísla se</w:t>
      </w:r>
      <w:r>
        <w:rPr>
          <w:spacing w:val="-23"/>
          <w:sz w:val="15"/>
        </w:rPr>
        <w:t> </w:t>
      </w:r>
      <w:r>
        <w:rPr>
          <w:sz w:val="15"/>
        </w:rPr>
        <w:t>rozumí:</w:t>
      </w:r>
    </w:p>
    <w:p>
      <w:pPr>
        <w:pStyle w:val="ListParagraph"/>
        <w:numPr>
          <w:ilvl w:val="2"/>
          <w:numId w:val="1"/>
        </w:numPr>
        <w:tabs>
          <w:tab w:pos="803" w:val="left" w:leader="none"/>
        </w:tabs>
        <w:spacing w:line="249" w:lineRule="auto" w:before="9" w:after="0"/>
        <w:ind w:left="802" w:right="153" w:hanging="170"/>
        <w:jc w:val="both"/>
        <w:rPr>
          <w:sz w:val="15"/>
        </w:rPr>
      </w:pPr>
      <w:r>
        <w:rPr>
          <w:sz w:val="15"/>
        </w:rPr>
        <w:t>přeneseným telefonním číslem telefonní číslo, u něhož je realizována změna poskytovatele veřejně dostupné služby elektronických komunikací;</w:t>
      </w:r>
    </w:p>
    <w:p>
      <w:pPr>
        <w:pStyle w:val="ListParagraph"/>
        <w:numPr>
          <w:ilvl w:val="2"/>
          <w:numId w:val="1"/>
        </w:numPr>
        <w:tabs>
          <w:tab w:pos="803" w:val="left" w:leader="none"/>
        </w:tabs>
        <w:spacing w:line="254" w:lineRule="auto" w:before="0" w:after="0"/>
        <w:ind w:left="802" w:right="154" w:hanging="170"/>
        <w:jc w:val="both"/>
        <w:rPr>
          <w:sz w:val="15"/>
        </w:rPr>
      </w:pPr>
      <w:r>
        <w:rPr>
          <w:sz w:val="15"/>
        </w:rPr>
        <w:t>opouštěným poskytovatelem služby poskytovatel veřejně dostupné služby elektronických komunikací, u kterého bude poskytování této služby na přenášeném telefonním čísle</w:t>
      </w:r>
      <w:r>
        <w:rPr>
          <w:spacing w:val="-24"/>
          <w:sz w:val="15"/>
        </w:rPr>
        <w:t> </w:t>
      </w:r>
      <w:r>
        <w:rPr>
          <w:sz w:val="15"/>
        </w:rPr>
        <w:t>ukončeno;</w:t>
      </w:r>
    </w:p>
    <w:p>
      <w:pPr>
        <w:pStyle w:val="ListParagraph"/>
        <w:numPr>
          <w:ilvl w:val="2"/>
          <w:numId w:val="1"/>
        </w:numPr>
        <w:tabs>
          <w:tab w:pos="803" w:val="left" w:leader="none"/>
        </w:tabs>
        <w:spacing w:line="249" w:lineRule="auto" w:before="0" w:after="0"/>
        <w:ind w:left="802" w:right="154" w:hanging="170"/>
        <w:jc w:val="both"/>
        <w:rPr>
          <w:sz w:val="15"/>
        </w:rPr>
      </w:pPr>
      <w:r>
        <w:rPr>
          <w:sz w:val="15"/>
        </w:rPr>
        <w:t>přejímajícím poskytovatelem služby poskytovatel veřejně dostupné služby elektronických komunikací, u kterého bude poskytování této služby na přenášeném telefonním čísle</w:t>
      </w:r>
      <w:r>
        <w:rPr>
          <w:spacing w:val="-24"/>
          <w:sz w:val="15"/>
        </w:rPr>
        <w:t> </w:t>
      </w:r>
      <w:r>
        <w:rPr>
          <w:sz w:val="15"/>
        </w:rPr>
        <w:t>zahájeno.</w:t>
      </w:r>
    </w:p>
    <w:p>
      <w:pPr>
        <w:pStyle w:val="Heading3"/>
        <w:numPr>
          <w:ilvl w:val="0"/>
          <w:numId w:val="1"/>
        </w:numPr>
        <w:tabs>
          <w:tab w:pos="632" w:val="left" w:leader="none"/>
          <w:tab w:pos="633" w:val="left" w:leader="none"/>
        </w:tabs>
        <w:spacing w:line="240" w:lineRule="auto" w:before="63" w:after="0"/>
        <w:ind w:left="632" w:right="0" w:hanging="397"/>
        <w:jc w:val="left"/>
      </w:pPr>
      <w:r>
        <w:rPr/>
        <w:t>Povinnosti obou smluvních</w:t>
      </w:r>
      <w:r>
        <w:rPr>
          <w:spacing w:val="-17"/>
        </w:rPr>
        <w:t> </w:t>
      </w:r>
      <w:r>
        <w:rPr/>
        <w:t>stran</w:t>
      </w:r>
    </w:p>
    <w:p>
      <w:pPr>
        <w:pStyle w:val="ListParagraph"/>
        <w:numPr>
          <w:ilvl w:val="1"/>
          <w:numId w:val="1"/>
        </w:numPr>
        <w:tabs>
          <w:tab w:pos="633" w:val="left" w:leader="none"/>
        </w:tabs>
        <w:spacing w:line="249" w:lineRule="auto" w:before="9" w:after="0"/>
        <w:ind w:left="632" w:right="113" w:hanging="397"/>
        <w:jc w:val="both"/>
        <w:rPr>
          <w:sz w:val="15"/>
        </w:rPr>
      </w:pPr>
      <w:r>
        <w:rPr>
          <w:sz w:val="15"/>
        </w:rPr>
        <w:t>Obě smluvní strany jsou povinny aktivně a bez zbytečného prodlení informovat druhou smluvní stranu o vzniku skutečností, které by mohly ovlivnit platnost smlouvy nebo jednotlivých jejích ustanovení nebo kvalitu  a termíny plnění závazků vyplývajících ze smlouvy. To se týká především, ale nikoli výlučně těchto</w:t>
      </w:r>
      <w:r>
        <w:rPr>
          <w:spacing w:val="-19"/>
          <w:sz w:val="15"/>
        </w:rPr>
        <w:t> </w:t>
      </w:r>
      <w:r>
        <w:rPr>
          <w:sz w:val="15"/>
        </w:rPr>
        <w:t>skutečností:</w:t>
      </w:r>
    </w:p>
    <w:p>
      <w:pPr>
        <w:pStyle w:val="ListParagraph"/>
        <w:numPr>
          <w:ilvl w:val="2"/>
          <w:numId w:val="1"/>
        </w:numPr>
        <w:tabs>
          <w:tab w:pos="803" w:val="left" w:leader="none"/>
        </w:tabs>
        <w:spacing w:line="171" w:lineRule="exact" w:before="0" w:after="0"/>
        <w:ind w:left="802" w:right="0" w:hanging="170"/>
        <w:jc w:val="left"/>
        <w:rPr>
          <w:sz w:val="15"/>
        </w:rPr>
      </w:pPr>
      <w:r>
        <w:rPr>
          <w:sz w:val="15"/>
        </w:rPr>
        <w:t>změna údajů uvedených ve</w:t>
      </w:r>
      <w:r>
        <w:rPr>
          <w:spacing w:val="-17"/>
          <w:sz w:val="15"/>
        </w:rPr>
        <w:t> </w:t>
      </w:r>
      <w:r>
        <w:rPr>
          <w:sz w:val="15"/>
        </w:rPr>
        <w:t>smlouvě;</w:t>
      </w:r>
    </w:p>
    <w:p>
      <w:pPr>
        <w:pStyle w:val="ListParagraph"/>
        <w:numPr>
          <w:ilvl w:val="2"/>
          <w:numId w:val="1"/>
        </w:numPr>
        <w:tabs>
          <w:tab w:pos="803" w:val="left" w:leader="none"/>
        </w:tabs>
        <w:spacing w:line="240" w:lineRule="auto" w:before="10" w:after="0"/>
        <w:ind w:left="802" w:right="0" w:hanging="170"/>
        <w:jc w:val="left"/>
        <w:rPr>
          <w:sz w:val="15"/>
        </w:rPr>
      </w:pPr>
      <w:r>
        <w:rPr>
          <w:sz w:val="15"/>
        </w:rPr>
        <w:t>kontaktní údaje, zejména telefonní číslo a emailová</w:t>
      </w:r>
      <w:r>
        <w:rPr>
          <w:spacing w:val="-28"/>
          <w:sz w:val="15"/>
        </w:rPr>
        <w:t> </w:t>
      </w:r>
      <w:r>
        <w:rPr>
          <w:sz w:val="15"/>
        </w:rPr>
        <w:t>adresa;</w:t>
      </w:r>
    </w:p>
    <w:p>
      <w:pPr>
        <w:pStyle w:val="ListParagraph"/>
        <w:numPr>
          <w:ilvl w:val="2"/>
          <w:numId w:val="1"/>
        </w:numPr>
        <w:tabs>
          <w:tab w:pos="803" w:val="left" w:leader="none"/>
        </w:tabs>
        <w:spacing w:line="254" w:lineRule="auto" w:before="4" w:after="0"/>
        <w:ind w:left="802" w:right="154" w:hanging="170"/>
        <w:jc w:val="both"/>
        <w:rPr>
          <w:sz w:val="15"/>
        </w:rPr>
      </w:pPr>
      <w:r>
        <w:rPr>
          <w:sz w:val="15"/>
        </w:rPr>
        <w:t>změna v osobách oprávněných zástupců, pověřených zástupců, kontaktních</w:t>
      </w:r>
      <w:r>
        <w:rPr>
          <w:spacing w:val="-10"/>
          <w:sz w:val="15"/>
        </w:rPr>
        <w:t> </w:t>
      </w:r>
      <w:r>
        <w:rPr>
          <w:sz w:val="15"/>
        </w:rPr>
        <w:t>osob;</w:t>
      </w:r>
    </w:p>
    <w:p>
      <w:pPr>
        <w:pStyle w:val="ListParagraph"/>
        <w:numPr>
          <w:ilvl w:val="2"/>
          <w:numId w:val="1"/>
        </w:numPr>
        <w:tabs>
          <w:tab w:pos="803" w:val="left" w:leader="none"/>
        </w:tabs>
        <w:spacing w:line="254" w:lineRule="auto" w:before="0" w:after="0"/>
        <w:ind w:left="802" w:right="156" w:hanging="170"/>
        <w:jc w:val="both"/>
        <w:rPr>
          <w:sz w:val="15"/>
        </w:rPr>
      </w:pPr>
      <w:r>
        <w:rPr>
          <w:sz w:val="15"/>
        </w:rPr>
        <w:t>omezení právní subjektivity smluvní strany, např. předběžným soudním opatřením;</w:t>
      </w:r>
    </w:p>
    <w:p>
      <w:pPr>
        <w:pStyle w:val="ListParagraph"/>
        <w:numPr>
          <w:ilvl w:val="2"/>
          <w:numId w:val="1"/>
        </w:numPr>
        <w:tabs>
          <w:tab w:pos="803" w:val="left" w:leader="none"/>
        </w:tabs>
        <w:spacing w:line="168" w:lineRule="exact" w:before="5" w:after="0"/>
        <w:ind w:left="802" w:right="0" w:hanging="170"/>
        <w:jc w:val="left"/>
        <w:rPr>
          <w:sz w:val="15"/>
        </w:rPr>
      </w:pPr>
      <w:r>
        <w:rPr>
          <w:sz w:val="15"/>
        </w:rPr>
        <w:t>změna v platnosti oprávnění potřebných k plnění</w:t>
      </w:r>
      <w:r>
        <w:rPr>
          <w:spacing w:val="-28"/>
          <w:sz w:val="15"/>
        </w:rPr>
        <w:t> </w:t>
      </w:r>
      <w:r>
        <w:rPr>
          <w:sz w:val="15"/>
        </w:rPr>
        <w:t>smlouvy.</w:t>
      </w:r>
    </w:p>
    <w:p>
      <w:pPr>
        <w:pStyle w:val="ListParagraph"/>
        <w:numPr>
          <w:ilvl w:val="1"/>
          <w:numId w:val="1"/>
        </w:numPr>
        <w:tabs>
          <w:tab w:pos="633" w:val="left" w:leader="none"/>
        </w:tabs>
        <w:spacing w:line="249" w:lineRule="auto" w:before="9" w:after="0"/>
        <w:ind w:left="632" w:right="153" w:hanging="397"/>
        <w:jc w:val="both"/>
        <w:rPr>
          <w:sz w:val="15"/>
        </w:rPr>
      </w:pPr>
      <w:r>
        <w:rPr>
          <w:sz w:val="15"/>
        </w:rPr>
        <w:t>Za účelem následného prokázání identifikace účastníka při uzavření smlouvy uděluje účastník poskytovateli souhlas s pořízením opisu nebo kopie údajů nutných k identifikaci účastníka z předložených dokumentů a s jejich následnou</w:t>
      </w:r>
      <w:r>
        <w:rPr>
          <w:spacing w:val="-15"/>
          <w:sz w:val="15"/>
        </w:rPr>
        <w:t> </w:t>
      </w:r>
      <w:r>
        <w:rPr>
          <w:sz w:val="15"/>
        </w:rPr>
        <w:t>archivací.</w:t>
      </w:r>
    </w:p>
    <w:p>
      <w:pPr>
        <w:pStyle w:val="Heading3"/>
        <w:numPr>
          <w:ilvl w:val="0"/>
          <w:numId w:val="1"/>
        </w:numPr>
        <w:tabs>
          <w:tab w:pos="632" w:val="left" w:leader="none"/>
          <w:tab w:pos="633" w:val="left" w:leader="none"/>
        </w:tabs>
        <w:spacing w:line="240" w:lineRule="auto" w:before="60" w:after="0"/>
        <w:ind w:left="632" w:right="0" w:hanging="397"/>
        <w:jc w:val="left"/>
      </w:pPr>
      <w:r>
        <w:rPr/>
        <w:t>Povinnosti</w:t>
      </w:r>
      <w:r>
        <w:rPr>
          <w:spacing w:val="-15"/>
        </w:rPr>
        <w:t> </w:t>
      </w:r>
      <w:r>
        <w:rPr/>
        <w:t>poskytovatele</w:t>
      </w:r>
    </w:p>
    <w:p>
      <w:pPr>
        <w:pStyle w:val="ListParagraph"/>
        <w:numPr>
          <w:ilvl w:val="1"/>
          <w:numId w:val="1"/>
        </w:numPr>
        <w:tabs>
          <w:tab w:pos="633" w:val="left" w:leader="none"/>
        </w:tabs>
        <w:spacing w:line="252" w:lineRule="auto" w:before="9" w:after="0"/>
        <w:ind w:left="632" w:right="154" w:hanging="397"/>
        <w:jc w:val="both"/>
        <w:rPr>
          <w:sz w:val="15"/>
        </w:rPr>
      </w:pPr>
      <w:r>
        <w:rPr>
          <w:sz w:val="15"/>
        </w:rPr>
        <w:t>Poskytovatel je povinen zřídit každou jednotlivou požadovanou službu za podmínek, v cenách a termínech podle smlouvy. Není-li ve smlouvě uvedeno jinak, lhůta pro zahájení poskytování služby, resp. pro změnu služby,</w:t>
      </w:r>
      <w:r>
        <w:rPr>
          <w:spacing w:val="-3"/>
          <w:sz w:val="15"/>
        </w:rPr>
        <w:t> </w:t>
      </w:r>
      <w:r>
        <w:rPr>
          <w:sz w:val="15"/>
        </w:rPr>
        <w:t>je</w:t>
      </w:r>
      <w:r>
        <w:rPr>
          <w:spacing w:val="-3"/>
          <w:sz w:val="15"/>
        </w:rPr>
        <w:t> </w:t>
      </w:r>
      <w:r>
        <w:rPr>
          <w:sz w:val="15"/>
        </w:rPr>
        <w:t>maximálně</w:t>
      </w:r>
      <w:r>
        <w:rPr>
          <w:spacing w:val="-3"/>
          <w:sz w:val="15"/>
        </w:rPr>
        <w:t> </w:t>
      </w:r>
      <w:r>
        <w:rPr>
          <w:sz w:val="15"/>
        </w:rPr>
        <w:t>60</w:t>
      </w:r>
      <w:r>
        <w:rPr>
          <w:spacing w:val="-3"/>
          <w:sz w:val="15"/>
        </w:rPr>
        <w:t> </w:t>
      </w:r>
      <w:r>
        <w:rPr>
          <w:sz w:val="15"/>
        </w:rPr>
        <w:t>dnů</w:t>
      </w:r>
      <w:r>
        <w:rPr>
          <w:spacing w:val="-3"/>
          <w:sz w:val="15"/>
        </w:rPr>
        <w:t> </w:t>
      </w:r>
      <w:r>
        <w:rPr>
          <w:sz w:val="15"/>
        </w:rPr>
        <w:t>od</w:t>
      </w:r>
      <w:r>
        <w:rPr>
          <w:spacing w:val="-3"/>
          <w:sz w:val="15"/>
        </w:rPr>
        <w:t> </w:t>
      </w:r>
      <w:r>
        <w:rPr>
          <w:sz w:val="15"/>
        </w:rPr>
        <w:t>podpisu</w:t>
      </w:r>
      <w:r>
        <w:rPr>
          <w:spacing w:val="-3"/>
          <w:sz w:val="15"/>
        </w:rPr>
        <w:t> </w:t>
      </w:r>
      <w:r>
        <w:rPr>
          <w:sz w:val="15"/>
        </w:rPr>
        <w:t>smlouvy</w:t>
      </w:r>
      <w:r>
        <w:rPr>
          <w:spacing w:val="-3"/>
          <w:sz w:val="15"/>
        </w:rPr>
        <w:t> </w:t>
      </w:r>
      <w:r>
        <w:rPr>
          <w:sz w:val="15"/>
        </w:rPr>
        <w:t>či</w:t>
      </w:r>
      <w:r>
        <w:rPr>
          <w:spacing w:val="-3"/>
          <w:sz w:val="15"/>
        </w:rPr>
        <w:t> </w:t>
      </w:r>
      <w:r>
        <w:rPr>
          <w:sz w:val="15"/>
        </w:rPr>
        <w:t>jejího</w:t>
      </w:r>
      <w:r>
        <w:rPr>
          <w:spacing w:val="-3"/>
          <w:sz w:val="15"/>
        </w:rPr>
        <w:t> </w:t>
      </w:r>
      <w:r>
        <w:rPr>
          <w:sz w:val="15"/>
        </w:rPr>
        <w:t>dodatku.</w:t>
      </w:r>
    </w:p>
    <w:p>
      <w:pPr>
        <w:pStyle w:val="ListParagraph"/>
        <w:numPr>
          <w:ilvl w:val="1"/>
          <w:numId w:val="1"/>
        </w:numPr>
        <w:tabs>
          <w:tab w:pos="633" w:val="left" w:leader="none"/>
        </w:tabs>
        <w:spacing w:line="254" w:lineRule="auto" w:before="0" w:after="0"/>
        <w:ind w:left="632" w:right="155" w:hanging="397"/>
        <w:jc w:val="both"/>
        <w:rPr>
          <w:sz w:val="15"/>
        </w:rPr>
      </w:pPr>
      <w:r>
        <w:rPr>
          <w:sz w:val="15"/>
        </w:rPr>
        <w:t>Poskytovatel je povinen umožnit účastníkovi nepřetržité užívání služby/eb v rozsahu, za podmínek a v cenách uvedených ve</w:t>
      </w:r>
      <w:r>
        <w:rPr>
          <w:spacing w:val="-27"/>
          <w:sz w:val="15"/>
        </w:rPr>
        <w:t> </w:t>
      </w:r>
      <w:r>
        <w:rPr>
          <w:sz w:val="15"/>
        </w:rPr>
        <w:t>smlouvě.</w:t>
      </w:r>
    </w:p>
    <w:p>
      <w:pPr>
        <w:pStyle w:val="ListParagraph"/>
        <w:numPr>
          <w:ilvl w:val="1"/>
          <w:numId w:val="1"/>
        </w:numPr>
        <w:tabs>
          <w:tab w:pos="633" w:val="left" w:leader="none"/>
        </w:tabs>
        <w:spacing w:line="252" w:lineRule="auto" w:before="0" w:after="0"/>
        <w:ind w:left="632" w:right="154" w:hanging="397"/>
        <w:jc w:val="both"/>
        <w:rPr>
          <w:sz w:val="15"/>
        </w:rPr>
      </w:pPr>
      <w:r>
        <w:rPr>
          <w:sz w:val="15"/>
        </w:rPr>
        <w:t>Poskytovatel je povinen provést účastníkem požadovanou změnu parametrů poskytované služby, oboustranně potvrzenou, nejpozději v termínech pro provedení změny uvedených ve smlouvě nebo jejích dodatcích.</w:t>
      </w:r>
    </w:p>
    <w:p>
      <w:pPr>
        <w:pStyle w:val="ListParagraph"/>
        <w:numPr>
          <w:ilvl w:val="1"/>
          <w:numId w:val="1"/>
        </w:numPr>
        <w:tabs>
          <w:tab w:pos="633" w:val="left" w:leader="none"/>
        </w:tabs>
        <w:spacing w:line="252" w:lineRule="auto" w:before="0" w:after="0"/>
        <w:ind w:left="632" w:right="154" w:hanging="397"/>
        <w:jc w:val="both"/>
        <w:rPr>
          <w:sz w:val="15"/>
        </w:rPr>
      </w:pPr>
      <w:r>
        <w:rPr>
          <w:sz w:val="15"/>
        </w:rPr>
        <w:t>Poskytovatel je povinen udržovat telekomunikační infrastrukturu své sítě ve stavu a kvalitě, aby poskytované služby odpovídaly příslušným technickým a provozním standardům a podmínkám stanoveným ve smlouvě.</w:t>
      </w:r>
    </w:p>
    <w:p>
      <w:pPr>
        <w:pStyle w:val="ListParagraph"/>
        <w:numPr>
          <w:ilvl w:val="1"/>
          <w:numId w:val="1"/>
        </w:numPr>
        <w:tabs>
          <w:tab w:pos="633" w:val="left" w:leader="none"/>
        </w:tabs>
        <w:spacing w:line="249" w:lineRule="auto" w:before="0" w:after="0"/>
        <w:ind w:left="632" w:right="153" w:hanging="397"/>
        <w:jc w:val="both"/>
        <w:rPr>
          <w:sz w:val="15"/>
        </w:rPr>
      </w:pPr>
      <w:r>
        <w:rPr>
          <w:sz w:val="15"/>
        </w:rPr>
        <w:t>Poskytovatel je povinen odstranit bezodkladně a na vlastní náklady závadu v poskytování služby, kterou nezpůsobil ani nezavinil uživatel. Poskytovatel odstraní i závadu prokazatelně způsobenou nebo zaviněnou zcela nebo zčásti uživatelem, a to na náklady účastníka za podmínek dohodnutých</w:t>
      </w:r>
      <w:r>
        <w:rPr>
          <w:spacing w:val="-5"/>
          <w:sz w:val="15"/>
        </w:rPr>
        <w:t> </w:t>
      </w:r>
      <w:r>
        <w:rPr>
          <w:sz w:val="15"/>
        </w:rPr>
        <w:t>mezi</w:t>
      </w:r>
      <w:r>
        <w:rPr>
          <w:spacing w:val="-5"/>
          <w:sz w:val="15"/>
        </w:rPr>
        <w:t> </w:t>
      </w:r>
      <w:r>
        <w:rPr>
          <w:sz w:val="15"/>
        </w:rPr>
        <w:t>poskytovatelem</w:t>
      </w:r>
      <w:r>
        <w:rPr>
          <w:spacing w:val="-4"/>
          <w:sz w:val="15"/>
        </w:rPr>
        <w:t> </w:t>
      </w:r>
      <w:r>
        <w:rPr>
          <w:sz w:val="15"/>
        </w:rPr>
        <w:t>a</w:t>
      </w:r>
      <w:r>
        <w:rPr>
          <w:spacing w:val="-5"/>
          <w:sz w:val="15"/>
        </w:rPr>
        <w:t> </w:t>
      </w:r>
      <w:r>
        <w:rPr>
          <w:sz w:val="15"/>
        </w:rPr>
        <w:t>účastníkem</w:t>
      </w:r>
      <w:r>
        <w:rPr>
          <w:spacing w:val="-4"/>
          <w:sz w:val="15"/>
        </w:rPr>
        <w:t> </w:t>
      </w:r>
      <w:r>
        <w:rPr>
          <w:sz w:val="15"/>
        </w:rPr>
        <w:t>zvlášť</w:t>
      </w:r>
      <w:r>
        <w:rPr>
          <w:spacing w:val="-5"/>
          <w:sz w:val="15"/>
        </w:rPr>
        <w:t> </w:t>
      </w:r>
      <w:r>
        <w:rPr>
          <w:sz w:val="15"/>
        </w:rPr>
        <w:t>pro</w:t>
      </w:r>
      <w:r>
        <w:rPr>
          <w:spacing w:val="-5"/>
          <w:sz w:val="15"/>
        </w:rPr>
        <w:t> </w:t>
      </w:r>
      <w:r>
        <w:rPr>
          <w:sz w:val="15"/>
        </w:rPr>
        <w:t>každý</w:t>
      </w:r>
      <w:r>
        <w:rPr>
          <w:spacing w:val="-5"/>
          <w:sz w:val="15"/>
        </w:rPr>
        <w:t> </w:t>
      </w:r>
      <w:r>
        <w:rPr>
          <w:sz w:val="15"/>
        </w:rPr>
        <w:t>případ.</w:t>
      </w:r>
    </w:p>
    <w:p>
      <w:pPr>
        <w:pStyle w:val="ListParagraph"/>
        <w:numPr>
          <w:ilvl w:val="1"/>
          <w:numId w:val="1"/>
        </w:numPr>
        <w:tabs>
          <w:tab w:pos="633" w:val="left" w:leader="none"/>
        </w:tabs>
        <w:spacing w:line="249" w:lineRule="auto" w:before="4" w:after="0"/>
        <w:ind w:left="632" w:right="156" w:hanging="397"/>
        <w:jc w:val="both"/>
        <w:rPr>
          <w:sz w:val="15"/>
        </w:rPr>
      </w:pPr>
      <w:r>
        <w:rPr>
          <w:sz w:val="15"/>
        </w:rPr>
        <w:t>Poskytovatel je povinen dle zákona oznámit v předstihu účastníkovi omezení, přerušení, změny nebo nepravidelnosti v poskytování služby, které</w:t>
      </w:r>
      <w:r>
        <w:rPr>
          <w:spacing w:val="-5"/>
          <w:sz w:val="15"/>
        </w:rPr>
        <w:t> </w:t>
      </w:r>
      <w:r>
        <w:rPr>
          <w:sz w:val="15"/>
        </w:rPr>
        <w:t>jsou</w:t>
      </w:r>
      <w:r>
        <w:rPr>
          <w:spacing w:val="-5"/>
          <w:sz w:val="15"/>
        </w:rPr>
        <w:t> </w:t>
      </w:r>
      <w:r>
        <w:rPr>
          <w:sz w:val="15"/>
        </w:rPr>
        <w:t>poskytovateli</w:t>
      </w:r>
      <w:r>
        <w:rPr>
          <w:spacing w:val="-5"/>
          <w:sz w:val="15"/>
        </w:rPr>
        <w:t> </w:t>
      </w:r>
      <w:r>
        <w:rPr>
          <w:sz w:val="15"/>
        </w:rPr>
        <w:t>v</w:t>
      </w:r>
      <w:r>
        <w:rPr>
          <w:spacing w:val="-5"/>
          <w:sz w:val="15"/>
        </w:rPr>
        <w:t> </w:t>
      </w:r>
      <w:r>
        <w:rPr>
          <w:sz w:val="15"/>
        </w:rPr>
        <w:t>dostatečném</w:t>
      </w:r>
      <w:r>
        <w:rPr>
          <w:spacing w:val="-4"/>
          <w:sz w:val="15"/>
        </w:rPr>
        <w:t> </w:t>
      </w:r>
      <w:r>
        <w:rPr>
          <w:sz w:val="15"/>
        </w:rPr>
        <w:t>předstihu</w:t>
      </w:r>
      <w:r>
        <w:rPr>
          <w:spacing w:val="-5"/>
          <w:sz w:val="15"/>
        </w:rPr>
        <w:t> </w:t>
      </w:r>
      <w:r>
        <w:rPr>
          <w:sz w:val="15"/>
        </w:rPr>
        <w:t>předem</w:t>
      </w:r>
      <w:r>
        <w:rPr>
          <w:spacing w:val="-4"/>
          <w:sz w:val="15"/>
        </w:rPr>
        <w:t> </w:t>
      </w:r>
      <w:r>
        <w:rPr>
          <w:sz w:val="15"/>
        </w:rPr>
        <w:t>známy.</w:t>
      </w:r>
    </w:p>
    <w:p>
      <w:pPr>
        <w:pStyle w:val="ListParagraph"/>
        <w:numPr>
          <w:ilvl w:val="1"/>
          <w:numId w:val="1"/>
        </w:numPr>
        <w:tabs>
          <w:tab w:pos="633" w:val="left" w:leader="none"/>
        </w:tabs>
        <w:spacing w:line="249" w:lineRule="auto" w:before="0" w:after="0"/>
        <w:ind w:left="632" w:right="155" w:hanging="397"/>
        <w:jc w:val="both"/>
        <w:rPr>
          <w:sz w:val="15"/>
        </w:rPr>
      </w:pPr>
      <w:r>
        <w:rPr>
          <w:sz w:val="15"/>
        </w:rPr>
        <w:t>Poskytovatel je povinen zveřejňovat informace o případných změnách v poskytované službě. Zveřejněním se rozumí uvedení změny na www stránkách</w:t>
      </w:r>
      <w:r>
        <w:rPr>
          <w:spacing w:val="-13"/>
          <w:sz w:val="15"/>
        </w:rPr>
        <w:t> </w:t>
      </w:r>
      <w:r>
        <w:rPr>
          <w:sz w:val="15"/>
        </w:rPr>
        <w:t>poskytovatele.</w:t>
      </w:r>
    </w:p>
    <w:p>
      <w:pPr>
        <w:pStyle w:val="Heading3"/>
        <w:numPr>
          <w:ilvl w:val="0"/>
          <w:numId w:val="1"/>
        </w:numPr>
        <w:tabs>
          <w:tab w:pos="632" w:val="left" w:leader="none"/>
          <w:tab w:pos="633" w:val="left" w:leader="none"/>
        </w:tabs>
        <w:spacing w:line="240" w:lineRule="auto" w:before="63" w:after="0"/>
        <w:ind w:left="632" w:right="0" w:hanging="397"/>
        <w:jc w:val="left"/>
      </w:pPr>
      <w:r>
        <w:rPr/>
        <w:t>Povinnosti</w:t>
      </w:r>
      <w:r>
        <w:rPr>
          <w:spacing w:val="-12"/>
        </w:rPr>
        <w:t> </w:t>
      </w:r>
      <w:r>
        <w:rPr/>
        <w:t>účastníka</w:t>
      </w:r>
    </w:p>
    <w:p>
      <w:pPr>
        <w:pStyle w:val="ListParagraph"/>
        <w:numPr>
          <w:ilvl w:val="1"/>
          <w:numId w:val="1"/>
        </w:numPr>
        <w:tabs>
          <w:tab w:pos="633" w:val="left" w:leader="none"/>
        </w:tabs>
        <w:spacing w:line="254" w:lineRule="auto" w:before="10" w:after="0"/>
        <w:ind w:left="632" w:right="155" w:hanging="397"/>
        <w:jc w:val="both"/>
        <w:rPr>
          <w:sz w:val="15"/>
        </w:rPr>
      </w:pPr>
      <w:r>
        <w:rPr>
          <w:sz w:val="15"/>
        </w:rPr>
        <w:t>Účastník je povinen poskytovatele neprodleně informovat o změně svých údajů dle odst. 4.1</w:t>
      </w:r>
      <w:r>
        <w:rPr>
          <w:spacing w:val="-11"/>
          <w:sz w:val="15"/>
        </w:rPr>
        <w:t> </w:t>
      </w:r>
      <w:r>
        <w:rPr>
          <w:sz w:val="15"/>
        </w:rPr>
        <w:t>VP.</w:t>
      </w:r>
    </w:p>
    <w:p>
      <w:pPr>
        <w:pStyle w:val="ListParagraph"/>
        <w:numPr>
          <w:ilvl w:val="1"/>
          <w:numId w:val="1"/>
        </w:numPr>
        <w:tabs>
          <w:tab w:pos="633" w:val="left" w:leader="none"/>
        </w:tabs>
        <w:spacing w:line="168" w:lineRule="exact" w:before="0" w:after="0"/>
        <w:ind w:left="632" w:right="0" w:hanging="397"/>
        <w:jc w:val="left"/>
        <w:rPr>
          <w:sz w:val="15"/>
        </w:rPr>
      </w:pPr>
      <w:r>
        <w:rPr>
          <w:sz w:val="15"/>
        </w:rPr>
        <w:t>Účastník</w:t>
      </w:r>
      <w:r>
        <w:rPr>
          <w:spacing w:val="-4"/>
          <w:sz w:val="15"/>
        </w:rPr>
        <w:t> </w:t>
      </w:r>
      <w:r>
        <w:rPr>
          <w:sz w:val="15"/>
        </w:rPr>
        <w:t>je</w:t>
      </w:r>
      <w:r>
        <w:rPr>
          <w:spacing w:val="-4"/>
          <w:sz w:val="15"/>
        </w:rPr>
        <w:t> </w:t>
      </w:r>
      <w:r>
        <w:rPr>
          <w:sz w:val="15"/>
        </w:rPr>
        <w:t>povinen</w:t>
      </w:r>
      <w:r>
        <w:rPr>
          <w:spacing w:val="-4"/>
          <w:sz w:val="15"/>
        </w:rPr>
        <w:t> </w:t>
      </w:r>
      <w:r>
        <w:rPr>
          <w:sz w:val="15"/>
        </w:rPr>
        <w:t>hradit</w:t>
      </w:r>
      <w:r>
        <w:rPr>
          <w:spacing w:val="-4"/>
          <w:sz w:val="15"/>
        </w:rPr>
        <w:t> </w:t>
      </w:r>
      <w:r>
        <w:rPr>
          <w:sz w:val="15"/>
        </w:rPr>
        <w:t>ceny</w:t>
      </w:r>
      <w:r>
        <w:rPr>
          <w:spacing w:val="-4"/>
          <w:sz w:val="15"/>
        </w:rPr>
        <w:t> </w:t>
      </w:r>
      <w:r>
        <w:rPr>
          <w:sz w:val="15"/>
        </w:rPr>
        <w:t>za</w:t>
      </w:r>
      <w:r>
        <w:rPr>
          <w:spacing w:val="-4"/>
          <w:sz w:val="15"/>
        </w:rPr>
        <w:t> </w:t>
      </w:r>
      <w:r>
        <w:rPr>
          <w:sz w:val="15"/>
        </w:rPr>
        <w:t>služby</w:t>
      </w:r>
      <w:r>
        <w:rPr>
          <w:spacing w:val="-4"/>
          <w:sz w:val="15"/>
        </w:rPr>
        <w:t> </w:t>
      </w:r>
      <w:r>
        <w:rPr>
          <w:sz w:val="15"/>
        </w:rPr>
        <w:t>poskytované</w:t>
      </w:r>
      <w:r>
        <w:rPr>
          <w:spacing w:val="-4"/>
          <w:sz w:val="15"/>
        </w:rPr>
        <w:t> </w:t>
      </w:r>
      <w:r>
        <w:rPr>
          <w:sz w:val="15"/>
        </w:rPr>
        <w:t>dle</w:t>
      </w:r>
      <w:r>
        <w:rPr>
          <w:spacing w:val="-4"/>
          <w:sz w:val="15"/>
        </w:rPr>
        <w:t> </w:t>
      </w:r>
      <w:r>
        <w:rPr>
          <w:sz w:val="15"/>
        </w:rPr>
        <w:t>smlouvy.</w:t>
      </w:r>
    </w:p>
    <w:p>
      <w:pPr>
        <w:pStyle w:val="ListParagraph"/>
        <w:numPr>
          <w:ilvl w:val="1"/>
          <w:numId w:val="1"/>
        </w:numPr>
        <w:tabs>
          <w:tab w:pos="633" w:val="left" w:leader="none"/>
        </w:tabs>
        <w:spacing w:line="249" w:lineRule="auto" w:before="10" w:after="0"/>
        <w:ind w:left="632" w:right="154" w:hanging="397"/>
        <w:jc w:val="both"/>
        <w:rPr>
          <w:sz w:val="15"/>
        </w:rPr>
      </w:pPr>
      <w:r>
        <w:rPr>
          <w:sz w:val="15"/>
        </w:rPr>
        <w:t>Účastník odpovídá za to, že zařízení, které připojuje uživatel k zařízení poskytovatele, má platná technická a bezpečnostní osvědčení povinná pro provoz ve státě, kde je připojováno. Účastník odpovídá za stav zařízení, které uživatel připojuje k zařízení poskytovatele, včetně nastavení</w:t>
      </w:r>
      <w:r>
        <w:rPr>
          <w:spacing w:val="-11"/>
          <w:sz w:val="15"/>
        </w:rPr>
        <w:t> </w:t>
      </w:r>
      <w:r>
        <w:rPr>
          <w:sz w:val="15"/>
        </w:rPr>
        <w:t>parametrů.</w:t>
      </w:r>
    </w:p>
    <w:p>
      <w:pPr>
        <w:pStyle w:val="ListParagraph"/>
        <w:numPr>
          <w:ilvl w:val="1"/>
          <w:numId w:val="1"/>
        </w:numPr>
        <w:tabs>
          <w:tab w:pos="633" w:val="left" w:leader="none"/>
        </w:tabs>
        <w:spacing w:line="249" w:lineRule="auto" w:before="0" w:after="0"/>
        <w:ind w:left="632" w:right="153" w:hanging="397"/>
        <w:jc w:val="both"/>
        <w:rPr>
          <w:sz w:val="15"/>
        </w:rPr>
      </w:pPr>
      <w:r>
        <w:rPr>
          <w:sz w:val="15"/>
        </w:rPr>
        <w:t>Účastník je povinen zajistit součinnost s poskytovatelem při přípravě případných stavebních a instalačních činností pro instalaci, úpravu nebo deinstalaci zařízení poskytovatele souvisejícího s poskytovanou službou. Součinnost spočívá především v zajištění písemného souhlasu majitele objektu a majitele vnitřních rozvodů v objektu, ve kterém se nachází lokalita uživatele (případně v dalších objektech uvedených ve smlouvě), s provedením projektových, stavebních a instalačních prací a poskytnutí všech nezbytných podkladů a dokladů ke zpracování projektové dokumentace a získání příslušných</w:t>
      </w:r>
      <w:r>
        <w:rPr>
          <w:spacing w:val="-22"/>
          <w:sz w:val="15"/>
        </w:rPr>
        <w:t> </w:t>
      </w:r>
      <w:r>
        <w:rPr>
          <w:sz w:val="15"/>
        </w:rPr>
        <w:t>povolení.</w:t>
      </w:r>
    </w:p>
    <w:p>
      <w:pPr>
        <w:spacing w:after="0" w:line="249" w:lineRule="auto"/>
        <w:jc w:val="both"/>
        <w:rPr>
          <w:sz w:val="15"/>
        </w:rPr>
        <w:sectPr>
          <w:type w:val="continuous"/>
          <w:pgSz w:w="11910" w:h="16840"/>
          <w:pgMar w:top="260" w:bottom="440" w:left="280" w:right="300"/>
          <w:cols w:num="2" w:equalWidth="0">
            <w:col w:w="5594" w:space="40"/>
            <w:col w:w="5696"/>
          </w:cols>
        </w:sectPr>
      </w:pPr>
    </w:p>
    <w:p>
      <w:pPr>
        <w:pStyle w:val="Heading1"/>
      </w:pPr>
      <w:r>
        <w:rPr/>
        <w:t>VŠEOBECNÉ PODMÍNKY</w:t>
      </w:r>
    </w:p>
    <w:p>
      <w:pPr>
        <w:pStyle w:val="Heading2"/>
      </w:pPr>
      <w:r>
        <w:rPr/>
        <w:t>poskytování slu</w:t>
      </w:r>
      <w:r>
        <w:rPr>
          <w:i/>
        </w:rPr>
        <w:t>ž</w:t>
      </w:r>
      <w:r>
        <w:rPr/>
        <w:t>eb elektronick</w:t>
      </w:r>
      <w:r>
        <w:rPr>
          <w:i/>
        </w:rPr>
        <w:t>ý</w:t>
      </w:r>
      <w:r>
        <w:rPr/>
        <w:t>ch komunikací platné od 1.1.2021</w:t>
      </w:r>
    </w:p>
    <w:p>
      <w:pPr>
        <w:pStyle w:val="BodyText"/>
        <w:spacing w:before="9"/>
        <w:ind w:left="0" w:firstLine="0"/>
        <w:jc w:val="left"/>
        <w:rPr>
          <w:sz w:val="9"/>
        </w:rPr>
      </w:pPr>
    </w:p>
    <w:p>
      <w:pPr>
        <w:spacing w:after="0"/>
        <w:jc w:val="left"/>
        <w:rPr>
          <w:sz w:val="9"/>
        </w:rPr>
        <w:sectPr>
          <w:pgSz w:w="11910" w:h="16840"/>
          <w:pgMar w:header="0" w:footer="256" w:top="260" w:bottom="440" w:left="280" w:right="300"/>
        </w:sectPr>
      </w:pPr>
    </w:p>
    <w:p>
      <w:pPr>
        <w:pStyle w:val="ListParagraph"/>
        <w:numPr>
          <w:ilvl w:val="1"/>
          <w:numId w:val="1"/>
        </w:numPr>
        <w:tabs>
          <w:tab w:pos="689" w:val="left" w:leader="none"/>
        </w:tabs>
        <w:spacing w:line="249" w:lineRule="auto" w:before="74" w:after="0"/>
        <w:ind w:left="688" w:right="37" w:hanging="397"/>
        <w:jc w:val="both"/>
        <w:rPr>
          <w:sz w:val="15"/>
        </w:rPr>
      </w:pPr>
      <w:r>
        <w:rPr/>
        <w:pict>
          <v:group style="position:absolute;margin-left:19.592615pt;margin-top:13.6223pt;width:119.25pt;height:809.15pt;mso-position-horizontal-relative:page;mso-position-vertical-relative:page;z-index:-8704" coordorigin="392,272" coordsize="2385,16183">
            <v:shape style="position:absolute;left:739;top:272;width:2037;height:702" type="#_x0000_t75" stroked="false">
              <v:imagedata r:id="rId6" o:title=""/>
            </v:shape>
            <v:shape style="position:absolute;left:398;top:644;width:292;height:15805" coordorigin="398,644" coordsize="292,15805" path="m689,644l543,644,521,647,471,669,421,726,398,839,398,16335,400,16353,413,16392,448,16431,517,16449,689,16449e" filled="false" stroked="true" strokeweight=".593919pt" strokecolor="#80bb27">
              <v:path arrowok="t"/>
              <v:stroke dashstyle="solid"/>
            </v:shape>
            <w10:wrap type="none"/>
          </v:group>
        </w:pict>
      </w:r>
      <w:r>
        <w:rPr>
          <w:sz w:val="15"/>
        </w:rPr>
        <w:t>Účastník je povinen zajistit nebo umožnit poskytovatelem pověřeným osobám na požádání přístup za účelem údržby, opravy nebo instalace zařízení do prostor, ve kterých je nebo má být umístěno zařízení poskytovatele související s poskytovanou</w:t>
      </w:r>
      <w:r>
        <w:rPr>
          <w:spacing w:val="-26"/>
          <w:sz w:val="15"/>
        </w:rPr>
        <w:t> </w:t>
      </w:r>
      <w:r>
        <w:rPr>
          <w:sz w:val="15"/>
        </w:rPr>
        <w:t>službou.</w:t>
      </w:r>
    </w:p>
    <w:p>
      <w:pPr>
        <w:pStyle w:val="ListParagraph"/>
        <w:numPr>
          <w:ilvl w:val="1"/>
          <w:numId w:val="1"/>
        </w:numPr>
        <w:tabs>
          <w:tab w:pos="689" w:val="left" w:leader="none"/>
        </w:tabs>
        <w:spacing w:line="249" w:lineRule="auto" w:before="2" w:after="0"/>
        <w:ind w:left="688" w:right="36" w:hanging="397"/>
        <w:jc w:val="both"/>
        <w:rPr>
          <w:sz w:val="15"/>
        </w:rPr>
      </w:pPr>
      <w:r>
        <w:rPr>
          <w:sz w:val="15"/>
        </w:rPr>
        <w:t>Účastník je povinen zajistit na svůj náklad potřebné provozní prostory a podmínky pro provoz zařízení poskytovatele související s poskytovanou službou. Tyto prostory a podmínky, popsané v provozních podmínkách, musí po celou dobu poskytování služby odpovídat požadavkům poskytovatele a bez písemného souhlasu poskytovatele nemohou být měněny.</w:t>
      </w:r>
    </w:p>
    <w:p>
      <w:pPr>
        <w:pStyle w:val="ListParagraph"/>
        <w:numPr>
          <w:ilvl w:val="1"/>
          <w:numId w:val="1"/>
        </w:numPr>
        <w:tabs>
          <w:tab w:pos="689" w:val="left" w:leader="none"/>
        </w:tabs>
        <w:spacing w:line="249" w:lineRule="auto" w:before="2" w:after="0"/>
        <w:ind w:left="688" w:right="38" w:hanging="397"/>
        <w:jc w:val="both"/>
        <w:rPr>
          <w:sz w:val="15"/>
        </w:rPr>
      </w:pPr>
      <w:r>
        <w:rPr>
          <w:sz w:val="15"/>
        </w:rPr>
        <w:t>Účastník nesmí měnit bez osobní účasti nebo písemného souhlasu poskytovatele nastavení, zapojení, umístění a prostorové uspořádání zařízení poskytovatele v lokalitě uživatele proti stavu při zřízení služby, a dále účastník odpovídá za to, že takto nebude činit ani uživatel. Účastník je povinen zajistit, aby uživatel učinil veškerá opatření zabraňující nepovolaným osobám v manipulaci se zařízením poskytovatele v lokalitě uživatele.</w:t>
      </w:r>
    </w:p>
    <w:p>
      <w:pPr>
        <w:pStyle w:val="ListParagraph"/>
        <w:numPr>
          <w:ilvl w:val="1"/>
          <w:numId w:val="1"/>
        </w:numPr>
        <w:tabs>
          <w:tab w:pos="689" w:val="left" w:leader="none"/>
        </w:tabs>
        <w:spacing w:line="249" w:lineRule="auto" w:before="2" w:after="0"/>
        <w:ind w:left="688" w:right="39" w:hanging="397"/>
        <w:jc w:val="both"/>
        <w:rPr>
          <w:sz w:val="15"/>
        </w:rPr>
      </w:pPr>
      <w:r>
        <w:rPr>
          <w:sz w:val="15"/>
        </w:rPr>
        <w:t>Účastník, který není operátorem dle zákona č. 127/2005, zákon o elektronických komunikacích, v platném znění, (dále jen </w:t>
      </w:r>
      <w:r>
        <w:rPr>
          <w:i/>
          <w:sz w:val="15"/>
        </w:rPr>
        <w:t>„ZoEK“</w:t>
      </w:r>
      <w:r>
        <w:rPr>
          <w:sz w:val="15"/>
        </w:rPr>
        <w:t>) nesmí poskytované služby poskytovat třetím</w:t>
      </w:r>
      <w:r>
        <w:rPr>
          <w:spacing w:val="-22"/>
          <w:sz w:val="15"/>
        </w:rPr>
        <w:t> </w:t>
      </w:r>
      <w:r>
        <w:rPr>
          <w:sz w:val="15"/>
        </w:rPr>
        <w:t>osobám.</w:t>
      </w:r>
    </w:p>
    <w:p>
      <w:pPr>
        <w:pStyle w:val="ListParagraph"/>
        <w:numPr>
          <w:ilvl w:val="1"/>
          <w:numId w:val="1"/>
        </w:numPr>
        <w:tabs>
          <w:tab w:pos="689" w:val="left" w:leader="none"/>
        </w:tabs>
        <w:spacing w:line="252" w:lineRule="auto" w:before="0" w:after="0"/>
        <w:ind w:left="688" w:right="38" w:hanging="397"/>
        <w:jc w:val="both"/>
        <w:rPr>
          <w:sz w:val="15"/>
        </w:rPr>
      </w:pPr>
      <w:r>
        <w:rPr>
          <w:sz w:val="15"/>
        </w:rPr>
        <w:t>V případě, že  dojde  za  trvání  smlouvy  ze  strany  účastníka/uživatele  k poškození či ztrátě zařízení poskytovatele, které/á má účastník od poskytovatele v pronájmu nebo zapůjčené/á, je poskytovatel oprávněn účastníkovi takové/á zařízení</w:t>
      </w:r>
      <w:r>
        <w:rPr>
          <w:spacing w:val="-22"/>
          <w:sz w:val="15"/>
        </w:rPr>
        <w:t> </w:t>
      </w:r>
      <w:r>
        <w:rPr>
          <w:sz w:val="15"/>
        </w:rPr>
        <w:t>vyfakturovat.</w:t>
      </w:r>
    </w:p>
    <w:p>
      <w:pPr>
        <w:pStyle w:val="Heading3"/>
        <w:numPr>
          <w:ilvl w:val="0"/>
          <w:numId w:val="1"/>
        </w:numPr>
        <w:tabs>
          <w:tab w:pos="688" w:val="left" w:leader="none"/>
          <w:tab w:pos="689" w:val="left" w:leader="none"/>
        </w:tabs>
        <w:spacing w:line="240" w:lineRule="auto" w:before="61" w:after="0"/>
        <w:ind w:left="688" w:right="0" w:hanging="397"/>
        <w:jc w:val="left"/>
      </w:pPr>
      <w:r>
        <w:rPr/>
        <w:t>Práva smluvních</w:t>
      </w:r>
      <w:r>
        <w:rPr>
          <w:spacing w:val="-12"/>
        </w:rPr>
        <w:t> </w:t>
      </w:r>
      <w:r>
        <w:rPr/>
        <w:t>stran</w:t>
      </w:r>
    </w:p>
    <w:p>
      <w:pPr>
        <w:pStyle w:val="ListParagraph"/>
        <w:numPr>
          <w:ilvl w:val="1"/>
          <w:numId w:val="1"/>
        </w:numPr>
        <w:tabs>
          <w:tab w:pos="689" w:val="left" w:leader="none"/>
        </w:tabs>
        <w:spacing w:line="254" w:lineRule="auto" w:before="5" w:after="0"/>
        <w:ind w:left="688" w:right="39" w:hanging="397"/>
        <w:jc w:val="both"/>
        <w:rPr>
          <w:sz w:val="15"/>
        </w:rPr>
      </w:pPr>
      <w:r>
        <w:rPr>
          <w:sz w:val="15"/>
        </w:rPr>
        <w:t>Poskytovatel má právo účtovat účastníkovi smluvní pokutu z prodlení v úhradě</w:t>
      </w:r>
      <w:r>
        <w:rPr>
          <w:spacing w:val="-4"/>
          <w:sz w:val="15"/>
        </w:rPr>
        <w:t> </w:t>
      </w:r>
      <w:r>
        <w:rPr>
          <w:sz w:val="15"/>
        </w:rPr>
        <w:t>plateb</w:t>
      </w:r>
      <w:r>
        <w:rPr>
          <w:spacing w:val="-4"/>
          <w:sz w:val="15"/>
        </w:rPr>
        <w:t> </w:t>
      </w:r>
      <w:r>
        <w:rPr>
          <w:sz w:val="15"/>
        </w:rPr>
        <w:t>za</w:t>
      </w:r>
      <w:r>
        <w:rPr>
          <w:spacing w:val="-4"/>
          <w:sz w:val="15"/>
        </w:rPr>
        <w:t> </w:t>
      </w:r>
      <w:r>
        <w:rPr>
          <w:sz w:val="15"/>
        </w:rPr>
        <w:t>poskytované</w:t>
      </w:r>
      <w:r>
        <w:rPr>
          <w:spacing w:val="-4"/>
          <w:sz w:val="15"/>
        </w:rPr>
        <w:t> </w:t>
      </w:r>
      <w:r>
        <w:rPr>
          <w:sz w:val="15"/>
        </w:rPr>
        <w:t>služby</w:t>
      </w:r>
      <w:r>
        <w:rPr>
          <w:spacing w:val="-4"/>
          <w:sz w:val="15"/>
        </w:rPr>
        <w:t> </w:t>
      </w:r>
      <w:r>
        <w:rPr>
          <w:sz w:val="15"/>
        </w:rPr>
        <w:t>stanovenou</w:t>
      </w:r>
      <w:r>
        <w:rPr>
          <w:spacing w:val="-4"/>
          <w:sz w:val="15"/>
        </w:rPr>
        <w:t> </w:t>
      </w:r>
      <w:r>
        <w:rPr>
          <w:sz w:val="15"/>
        </w:rPr>
        <w:t>v</w:t>
      </w:r>
      <w:r>
        <w:rPr>
          <w:spacing w:val="-4"/>
          <w:sz w:val="15"/>
        </w:rPr>
        <w:t> </w:t>
      </w:r>
      <w:r>
        <w:rPr>
          <w:sz w:val="15"/>
        </w:rPr>
        <w:t>odst.</w:t>
      </w:r>
      <w:r>
        <w:rPr>
          <w:spacing w:val="-4"/>
          <w:sz w:val="15"/>
        </w:rPr>
        <w:t> </w:t>
      </w:r>
      <w:r>
        <w:rPr>
          <w:sz w:val="15"/>
        </w:rPr>
        <w:t>11.1</w:t>
      </w:r>
      <w:r>
        <w:rPr>
          <w:spacing w:val="-4"/>
          <w:sz w:val="15"/>
        </w:rPr>
        <w:t> </w:t>
      </w:r>
      <w:r>
        <w:rPr>
          <w:sz w:val="15"/>
        </w:rPr>
        <w:t>VP.</w:t>
      </w:r>
    </w:p>
    <w:p>
      <w:pPr>
        <w:pStyle w:val="ListParagraph"/>
        <w:numPr>
          <w:ilvl w:val="1"/>
          <w:numId w:val="1"/>
        </w:numPr>
        <w:tabs>
          <w:tab w:pos="689" w:val="left" w:leader="none"/>
        </w:tabs>
        <w:spacing w:line="249" w:lineRule="auto" w:before="0" w:after="0"/>
        <w:ind w:left="688" w:right="39" w:hanging="397"/>
        <w:jc w:val="both"/>
        <w:rPr>
          <w:sz w:val="15"/>
        </w:rPr>
      </w:pPr>
      <w:r>
        <w:rPr>
          <w:sz w:val="15"/>
        </w:rPr>
        <w:t>Poskytovatel má právo účtovat účastníkovi poplatky související s poskytováním služeb dle ceníku příslušné služby a Ceníku administrativních</w:t>
      </w:r>
      <w:r>
        <w:rPr>
          <w:spacing w:val="-13"/>
          <w:sz w:val="15"/>
        </w:rPr>
        <w:t> </w:t>
      </w:r>
      <w:r>
        <w:rPr>
          <w:sz w:val="15"/>
        </w:rPr>
        <w:t>poplatků.</w:t>
      </w:r>
    </w:p>
    <w:p>
      <w:pPr>
        <w:pStyle w:val="ListParagraph"/>
        <w:numPr>
          <w:ilvl w:val="1"/>
          <w:numId w:val="1"/>
        </w:numPr>
        <w:tabs>
          <w:tab w:pos="689" w:val="left" w:leader="none"/>
        </w:tabs>
        <w:spacing w:line="249" w:lineRule="auto" w:before="8" w:after="0"/>
        <w:ind w:left="688" w:right="37" w:hanging="397"/>
        <w:jc w:val="both"/>
        <w:rPr>
          <w:sz w:val="15"/>
        </w:rPr>
      </w:pPr>
      <w:r>
        <w:rPr>
          <w:sz w:val="15"/>
        </w:rPr>
        <w:t>Účastník má právo na vrácení části poplatků zaplacených za období, ve kterém služba měla být podle smlouvy poskytována a poskytována  nebyla nebo byla poskytována v menším rozsahu nebo nižší kvalitě, než je uvedeno ve smlouvě, vyjma situace popsané v čl. 8 VP. Výše a způsob vrácení části poplatku je specifikován v odst. 11.2</w:t>
      </w:r>
      <w:r>
        <w:rPr>
          <w:spacing w:val="-27"/>
          <w:sz w:val="15"/>
        </w:rPr>
        <w:t> </w:t>
      </w:r>
      <w:r>
        <w:rPr>
          <w:sz w:val="15"/>
        </w:rPr>
        <w:t>VP.</w:t>
      </w:r>
    </w:p>
    <w:p>
      <w:pPr>
        <w:pStyle w:val="ListParagraph"/>
        <w:numPr>
          <w:ilvl w:val="1"/>
          <w:numId w:val="1"/>
        </w:numPr>
        <w:tabs>
          <w:tab w:pos="689" w:val="left" w:leader="none"/>
        </w:tabs>
        <w:spacing w:line="252" w:lineRule="auto" w:before="0" w:after="0"/>
        <w:ind w:left="688" w:right="39" w:hanging="397"/>
        <w:jc w:val="both"/>
        <w:rPr>
          <w:sz w:val="15"/>
        </w:rPr>
      </w:pPr>
      <w:r>
        <w:rPr>
          <w:sz w:val="15"/>
        </w:rPr>
        <w:t>Poskytovatel má právo účtovat účastníkovi dle Ceníku administrativních poplatků náklady na vyřazení z databází odesílatelů nevyžádané pošty (spamů), o které může účastník poskytovatele požádat písemně, a to způsobem dle odst. 17.1 a), b)</w:t>
      </w:r>
      <w:r>
        <w:rPr>
          <w:spacing w:val="-17"/>
          <w:sz w:val="15"/>
        </w:rPr>
        <w:t> </w:t>
      </w:r>
      <w:r>
        <w:rPr>
          <w:sz w:val="15"/>
        </w:rPr>
        <w:t>VP.</w:t>
      </w:r>
    </w:p>
    <w:p>
      <w:pPr>
        <w:pStyle w:val="ListParagraph"/>
        <w:numPr>
          <w:ilvl w:val="1"/>
          <w:numId w:val="1"/>
        </w:numPr>
        <w:tabs>
          <w:tab w:pos="689" w:val="left" w:leader="none"/>
        </w:tabs>
        <w:spacing w:line="254" w:lineRule="auto" w:before="0" w:after="0"/>
        <w:ind w:left="688" w:right="39" w:hanging="397"/>
        <w:jc w:val="both"/>
        <w:rPr>
          <w:sz w:val="15"/>
        </w:rPr>
      </w:pPr>
      <w:r>
        <w:rPr>
          <w:sz w:val="15"/>
        </w:rPr>
        <w:t>Aktuální verze ceníků příslušných služeb a Ceníku administrativních poplatků</w:t>
      </w:r>
      <w:r>
        <w:rPr>
          <w:spacing w:val="-6"/>
          <w:sz w:val="15"/>
        </w:rPr>
        <w:t> </w:t>
      </w:r>
      <w:r>
        <w:rPr>
          <w:sz w:val="15"/>
        </w:rPr>
        <w:t>jsou</w:t>
      </w:r>
      <w:r>
        <w:rPr>
          <w:spacing w:val="-6"/>
          <w:sz w:val="15"/>
        </w:rPr>
        <w:t> </w:t>
      </w:r>
      <w:r>
        <w:rPr>
          <w:sz w:val="15"/>
        </w:rPr>
        <w:t>dostupné</w:t>
      </w:r>
      <w:r>
        <w:rPr>
          <w:spacing w:val="-6"/>
          <w:sz w:val="15"/>
        </w:rPr>
        <w:t> </w:t>
      </w:r>
      <w:r>
        <w:rPr>
          <w:sz w:val="15"/>
        </w:rPr>
        <w:t>na</w:t>
      </w:r>
      <w:r>
        <w:rPr>
          <w:spacing w:val="-6"/>
          <w:sz w:val="15"/>
        </w:rPr>
        <w:t> </w:t>
      </w:r>
      <w:r>
        <w:rPr>
          <w:sz w:val="15"/>
        </w:rPr>
        <w:t>internetových</w:t>
      </w:r>
      <w:r>
        <w:rPr>
          <w:spacing w:val="-6"/>
          <w:sz w:val="15"/>
        </w:rPr>
        <w:t> </w:t>
      </w:r>
      <w:r>
        <w:rPr>
          <w:sz w:val="15"/>
        </w:rPr>
        <w:t>stránkách</w:t>
      </w:r>
      <w:r>
        <w:rPr>
          <w:spacing w:val="-6"/>
          <w:sz w:val="15"/>
        </w:rPr>
        <w:t> </w:t>
      </w:r>
      <w:r>
        <w:rPr>
          <w:sz w:val="15"/>
        </w:rPr>
        <w:t>poskytovatele.</w:t>
      </w:r>
    </w:p>
    <w:p>
      <w:pPr>
        <w:pStyle w:val="ListParagraph"/>
        <w:numPr>
          <w:ilvl w:val="1"/>
          <w:numId w:val="1"/>
        </w:numPr>
        <w:tabs>
          <w:tab w:pos="689" w:val="left" w:leader="none"/>
        </w:tabs>
        <w:spacing w:line="249" w:lineRule="auto" w:before="1" w:after="0"/>
        <w:ind w:left="688" w:right="0" w:hanging="397"/>
        <w:jc w:val="both"/>
        <w:rPr>
          <w:sz w:val="15"/>
        </w:rPr>
      </w:pPr>
      <w:r>
        <w:rPr>
          <w:sz w:val="15"/>
        </w:rPr>
        <w:t>Poskytovatel je v rámci úspory systémových prostředků oprávněn bez náhrady mazat data účastníka/uživatele (emailové zprávy, historie hovorů, údaje o datových přenosech, atd.) starší 3</w:t>
      </w:r>
      <w:r>
        <w:rPr>
          <w:spacing w:val="-22"/>
          <w:sz w:val="15"/>
        </w:rPr>
        <w:t> </w:t>
      </w:r>
      <w:r>
        <w:rPr>
          <w:sz w:val="15"/>
        </w:rPr>
        <w:t>let.</w:t>
      </w:r>
    </w:p>
    <w:p>
      <w:pPr>
        <w:pStyle w:val="Heading3"/>
        <w:numPr>
          <w:ilvl w:val="0"/>
          <w:numId w:val="1"/>
        </w:numPr>
        <w:tabs>
          <w:tab w:pos="688" w:val="left" w:leader="none"/>
          <w:tab w:pos="689" w:val="left" w:leader="none"/>
        </w:tabs>
        <w:spacing w:line="240" w:lineRule="auto" w:before="60" w:after="0"/>
        <w:ind w:left="688" w:right="0" w:hanging="397"/>
        <w:jc w:val="left"/>
      </w:pPr>
      <w:r>
        <w:rPr/>
        <w:t>Důsledky neplacení nebo opožděného</w:t>
      </w:r>
      <w:r>
        <w:rPr>
          <w:spacing w:val="-25"/>
        </w:rPr>
        <w:t> </w:t>
      </w:r>
      <w:r>
        <w:rPr/>
        <w:t>placení</w:t>
      </w:r>
    </w:p>
    <w:p>
      <w:pPr>
        <w:pStyle w:val="ListParagraph"/>
        <w:numPr>
          <w:ilvl w:val="1"/>
          <w:numId w:val="1"/>
        </w:numPr>
        <w:tabs>
          <w:tab w:pos="689" w:val="left" w:leader="none"/>
        </w:tabs>
        <w:spacing w:line="254" w:lineRule="auto" w:before="5" w:after="0"/>
        <w:ind w:left="688" w:right="39" w:hanging="397"/>
        <w:jc w:val="both"/>
        <w:rPr>
          <w:sz w:val="15"/>
        </w:rPr>
      </w:pPr>
      <w:r>
        <w:rPr>
          <w:sz w:val="15"/>
        </w:rPr>
        <w:t>Poskytovatel výslovně upozorňuje účastníka na důsledky neplacení nebo opožděného</w:t>
      </w:r>
      <w:r>
        <w:rPr>
          <w:spacing w:val="-6"/>
          <w:sz w:val="15"/>
        </w:rPr>
        <w:t> </w:t>
      </w:r>
      <w:r>
        <w:rPr>
          <w:sz w:val="15"/>
        </w:rPr>
        <w:t>placení</w:t>
      </w:r>
      <w:r>
        <w:rPr>
          <w:spacing w:val="-6"/>
          <w:sz w:val="15"/>
        </w:rPr>
        <w:t> </w:t>
      </w:r>
      <w:r>
        <w:rPr>
          <w:sz w:val="15"/>
        </w:rPr>
        <w:t>za</w:t>
      </w:r>
      <w:r>
        <w:rPr>
          <w:spacing w:val="-6"/>
          <w:sz w:val="15"/>
        </w:rPr>
        <w:t> </w:t>
      </w:r>
      <w:r>
        <w:rPr>
          <w:sz w:val="15"/>
        </w:rPr>
        <w:t>poskytnuté</w:t>
      </w:r>
      <w:r>
        <w:rPr>
          <w:spacing w:val="-6"/>
          <w:sz w:val="15"/>
        </w:rPr>
        <w:t> </w:t>
      </w:r>
      <w:r>
        <w:rPr>
          <w:sz w:val="15"/>
        </w:rPr>
        <w:t>služby</w:t>
      </w:r>
      <w:r>
        <w:rPr>
          <w:spacing w:val="-6"/>
          <w:sz w:val="15"/>
        </w:rPr>
        <w:t> </w:t>
      </w:r>
      <w:r>
        <w:rPr>
          <w:sz w:val="15"/>
        </w:rPr>
        <w:t>elektronických</w:t>
      </w:r>
      <w:r>
        <w:rPr>
          <w:spacing w:val="-6"/>
          <w:sz w:val="15"/>
        </w:rPr>
        <w:t> </w:t>
      </w:r>
      <w:r>
        <w:rPr>
          <w:sz w:val="15"/>
        </w:rPr>
        <w:t>komunikací.</w:t>
      </w:r>
    </w:p>
    <w:p>
      <w:pPr>
        <w:pStyle w:val="ListParagraph"/>
        <w:numPr>
          <w:ilvl w:val="1"/>
          <w:numId w:val="1"/>
        </w:numPr>
        <w:tabs>
          <w:tab w:pos="689" w:val="left" w:leader="none"/>
        </w:tabs>
        <w:spacing w:line="249" w:lineRule="auto" w:before="0" w:after="0"/>
        <w:ind w:left="688" w:right="36" w:hanging="397"/>
        <w:jc w:val="both"/>
        <w:rPr>
          <w:sz w:val="15"/>
        </w:rPr>
      </w:pPr>
      <w:r>
        <w:rPr>
          <w:sz w:val="15"/>
        </w:rPr>
        <w:t>Nezaplatí-li účastník ve lhůtě splatnosti uvedené na vyúčtování ceny za poskytnuté služby, poskytovatel upozorní účastníka způsobem, který si účastník zvolil pro zasílání vyúčtování, a stanoví náhradní lhůtu plnění v trvání jednoho týdne ode dne dodání upozornění. Upozornění odeslané elektronicky je považováno za dodané 24 hodin po odeslání upozornění prostřednictvím elektronické pošty na poslední známou emailovou adresu účastníka.</w:t>
      </w:r>
    </w:p>
    <w:p>
      <w:pPr>
        <w:pStyle w:val="ListParagraph"/>
        <w:numPr>
          <w:ilvl w:val="1"/>
          <w:numId w:val="1"/>
        </w:numPr>
        <w:tabs>
          <w:tab w:pos="689" w:val="left" w:leader="none"/>
        </w:tabs>
        <w:spacing w:line="247" w:lineRule="auto" w:before="8" w:after="0"/>
        <w:ind w:left="688" w:right="39" w:hanging="397"/>
        <w:jc w:val="both"/>
        <w:rPr>
          <w:sz w:val="15"/>
        </w:rPr>
      </w:pPr>
      <w:r>
        <w:rPr>
          <w:sz w:val="15"/>
        </w:rPr>
        <w:t>Po marném uplynutí náhradní lhůty dle odst. 8.2 VP může poskytovatel uživateli</w:t>
      </w:r>
      <w:r>
        <w:rPr>
          <w:spacing w:val="-5"/>
          <w:sz w:val="15"/>
        </w:rPr>
        <w:t> </w:t>
      </w:r>
      <w:r>
        <w:rPr>
          <w:sz w:val="15"/>
        </w:rPr>
        <w:t>omezit</w:t>
      </w:r>
      <w:r>
        <w:rPr>
          <w:spacing w:val="-5"/>
          <w:sz w:val="15"/>
        </w:rPr>
        <w:t> </w:t>
      </w:r>
      <w:r>
        <w:rPr>
          <w:sz w:val="15"/>
        </w:rPr>
        <w:t>či</w:t>
      </w:r>
      <w:r>
        <w:rPr>
          <w:spacing w:val="-5"/>
          <w:sz w:val="15"/>
        </w:rPr>
        <w:t> </w:t>
      </w:r>
      <w:r>
        <w:rPr>
          <w:sz w:val="15"/>
        </w:rPr>
        <w:t>dočasně</w:t>
      </w:r>
      <w:r>
        <w:rPr>
          <w:spacing w:val="-5"/>
          <w:sz w:val="15"/>
        </w:rPr>
        <w:t> </w:t>
      </w:r>
      <w:r>
        <w:rPr>
          <w:sz w:val="15"/>
        </w:rPr>
        <w:t>pozastavit</w:t>
      </w:r>
      <w:r>
        <w:rPr>
          <w:spacing w:val="-5"/>
          <w:sz w:val="15"/>
        </w:rPr>
        <w:t> </w:t>
      </w:r>
      <w:r>
        <w:rPr>
          <w:sz w:val="15"/>
        </w:rPr>
        <w:t>poskytování</w:t>
      </w:r>
      <w:r>
        <w:rPr>
          <w:spacing w:val="-5"/>
          <w:sz w:val="15"/>
        </w:rPr>
        <w:t> </w:t>
      </w:r>
      <w:r>
        <w:rPr>
          <w:sz w:val="15"/>
        </w:rPr>
        <w:t>dotčené</w:t>
      </w:r>
      <w:r>
        <w:rPr>
          <w:spacing w:val="-5"/>
          <w:sz w:val="15"/>
        </w:rPr>
        <w:t> </w:t>
      </w:r>
      <w:r>
        <w:rPr>
          <w:sz w:val="15"/>
        </w:rPr>
        <w:t>služby.</w:t>
      </w:r>
    </w:p>
    <w:p>
      <w:pPr>
        <w:pStyle w:val="ListParagraph"/>
        <w:numPr>
          <w:ilvl w:val="1"/>
          <w:numId w:val="1"/>
        </w:numPr>
        <w:tabs>
          <w:tab w:pos="689" w:val="left" w:leader="none"/>
        </w:tabs>
        <w:spacing w:line="249" w:lineRule="auto" w:before="5" w:after="0"/>
        <w:ind w:left="688" w:right="39" w:hanging="397"/>
        <w:jc w:val="both"/>
        <w:rPr>
          <w:sz w:val="15"/>
        </w:rPr>
      </w:pPr>
      <w:r>
        <w:rPr>
          <w:sz w:val="15"/>
        </w:rPr>
        <w:t>Pro případ omezení či pozastavení poskytování služby z důvodu neplacení nebo opožděného placení ze strany účastníka se nejedná o neposkytnutí služby ze strany</w:t>
      </w:r>
      <w:r>
        <w:rPr>
          <w:spacing w:val="-23"/>
          <w:sz w:val="15"/>
        </w:rPr>
        <w:t> </w:t>
      </w:r>
      <w:r>
        <w:rPr>
          <w:sz w:val="15"/>
        </w:rPr>
        <w:t>poskytovatele.</w:t>
      </w:r>
    </w:p>
    <w:p>
      <w:pPr>
        <w:pStyle w:val="ListParagraph"/>
        <w:numPr>
          <w:ilvl w:val="1"/>
          <w:numId w:val="1"/>
        </w:numPr>
        <w:tabs>
          <w:tab w:pos="689" w:val="left" w:leader="none"/>
        </w:tabs>
        <w:spacing w:line="254" w:lineRule="auto" w:before="0" w:after="0"/>
        <w:ind w:left="688" w:right="38" w:hanging="397"/>
        <w:jc w:val="both"/>
        <w:rPr>
          <w:sz w:val="15"/>
        </w:rPr>
      </w:pPr>
      <w:r>
        <w:rPr>
          <w:sz w:val="15"/>
        </w:rPr>
        <w:t>Veškerá ustanovení čl. 8 VP se použijí i v případě neplacení nebo opožděného</w:t>
      </w:r>
      <w:r>
        <w:rPr>
          <w:spacing w:val="-4"/>
          <w:sz w:val="15"/>
        </w:rPr>
        <w:t> </w:t>
      </w:r>
      <w:r>
        <w:rPr>
          <w:sz w:val="15"/>
        </w:rPr>
        <w:t>placení</w:t>
      </w:r>
      <w:r>
        <w:rPr>
          <w:spacing w:val="-4"/>
          <w:sz w:val="15"/>
        </w:rPr>
        <w:t> </w:t>
      </w:r>
      <w:r>
        <w:rPr>
          <w:sz w:val="15"/>
        </w:rPr>
        <w:t>trvale</w:t>
      </w:r>
      <w:r>
        <w:rPr>
          <w:spacing w:val="-4"/>
          <w:sz w:val="15"/>
        </w:rPr>
        <w:t> </w:t>
      </w:r>
      <w:r>
        <w:rPr>
          <w:sz w:val="15"/>
        </w:rPr>
        <w:t>vratné</w:t>
      </w:r>
      <w:r>
        <w:rPr>
          <w:spacing w:val="-4"/>
          <w:sz w:val="15"/>
        </w:rPr>
        <w:t> </w:t>
      </w:r>
      <w:r>
        <w:rPr>
          <w:sz w:val="15"/>
        </w:rPr>
        <w:t>finanční</w:t>
      </w:r>
      <w:r>
        <w:rPr>
          <w:spacing w:val="-4"/>
          <w:sz w:val="15"/>
        </w:rPr>
        <w:t> </w:t>
      </w:r>
      <w:r>
        <w:rPr>
          <w:sz w:val="15"/>
        </w:rPr>
        <w:t>zálohy</w:t>
      </w:r>
      <w:r>
        <w:rPr>
          <w:spacing w:val="-4"/>
          <w:sz w:val="15"/>
        </w:rPr>
        <w:t> </w:t>
      </w:r>
      <w:r>
        <w:rPr>
          <w:sz w:val="15"/>
        </w:rPr>
        <w:t>dle</w:t>
      </w:r>
      <w:r>
        <w:rPr>
          <w:spacing w:val="-4"/>
          <w:sz w:val="15"/>
        </w:rPr>
        <w:t> </w:t>
      </w:r>
      <w:r>
        <w:rPr>
          <w:sz w:val="15"/>
        </w:rPr>
        <w:t>odst.</w:t>
      </w:r>
      <w:r>
        <w:rPr>
          <w:spacing w:val="-4"/>
          <w:sz w:val="15"/>
        </w:rPr>
        <w:t> </w:t>
      </w:r>
      <w:r>
        <w:rPr>
          <w:sz w:val="15"/>
        </w:rPr>
        <w:t>9.7</w:t>
      </w:r>
      <w:r>
        <w:rPr>
          <w:spacing w:val="-4"/>
          <w:sz w:val="15"/>
        </w:rPr>
        <w:t> </w:t>
      </w:r>
      <w:r>
        <w:rPr>
          <w:sz w:val="15"/>
        </w:rPr>
        <w:t>VP.</w:t>
      </w:r>
    </w:p>
    <w:p>
      <w:pPr>
        <w:pStyle w:val="Heading3"/>
        <w:numPr>
          <w:ilvl w:val="0"/>
          <w:numId w:val="1"/>
        </w:numPr>
        <w:tabs>
          <w:tab w:pos="688" w:val="left" w:leader="none"/>
          <w:tab w:pos="689" w:val="left" w:leader="none"/>
        </w:tabs>
        <w:spacing w:line="240" w:lineRule="auto" w:before="59" w:after="0"/>
        <w:ind w:left="688" w:right="0" w:hanging="397"/>
        <w:jc w:val="left"/>
      </w:pPr>
      <w:r>
        <w:rPr/>
        <w:t>Cena a platební</w:t>
      </w:r>
      <w:r>
        <w:rPr>
          <w:spacing w:val="-13"/>
        </w:rPr>
        <w:t> </w:t>
      </w:r>
      <w:r>
        <w:rPr/>
        <w:t>podmínky</w:t>
      </w:r>
    </w:p>
    <w:p>
      <w:pPr>
        <w:pStyle w:val="ListParagraph"/>
        <w:numPr>
          <w:ilvl w:val="1"/>
          <w:numId w:val="1"/>
        </w:numPr>
        <w:tabs>
          <w:tab w:pos="689" w:val="left" w:leader="none"/>
        </w:tabs>
        <w:spacing w:line="240" w:lineRule="auto" w:before="5" w:after="0"/>
        <w:ind w:left="688" w:right="0" w:hanging="397"/>
        <w:jc w:val="left"/>
        <w:rPr>
          <w:sz w:val="15"/>
        </w:rPr>
      </w:pPr>
      <w:r>
        <w:rPr>
          <w:sz w:val="15"/>
        </w:rPr>
        <w:t>Ceny poskytovaných služeb jsou</w:t>
      </w:r>
      <w:r>
        <w:rPr>
          <w:spacing w:val="-20"/>
          <w:sz w:val="15"/>
        </w:rPr>
        <w:t> </w:t>
      </w:r>
      <w:r>
        <w:rPr>
          <w:sz w:val="15"/>
        </w:rPr>
        <w:t>smluvní.</w:t>
      </w:r>
    </w:p>
    <w:p>
      <w:pPr>
        <w:pStyle w:val="ListParagraph"/>
        <w:numPr>
          <w:ilvl w:val="1"/>
          <w:numId w:val="1"/>
        </w:numPr>
        <w:tabs>
          <w:tab w:pos="689" w:val="left" w:leader="none"/>
        </w:tabs>
        <w:spacing w:line="249" w:lineRule="auto" w:before="9" w:after="0"/>
        <w:ind w:left="688" w:right="39" w:hanging="397"/>
        <w:jc w:val="both"/>
        <w:rPr>
          <w:sz w:val="15"/>
        </w:rPr>
      </w:pPr>
      <w:r>
        <w:rPr>
          <w:sz w:val="15"/>
        </w:rPr>
        <w:t>Pokud není v rámci konkrétních ustanovení dotčených dokumentů uvedeno jinak, jedná se o ceny v tuzemské měně bez daně z přidané hodnoty.</w:t>
      </w:r>
    </w:p>
    <w:p>
      <w:pPr>
        <w:pStyle w:val="ListParagraph"/>
        <w:numPr>
          <w:ilvl w:val="1"/>
          <w:numId w:val="1"/>
        </w:numPr>
        <w:tabs>
          <w:tab w:pos="689" w:val="left" w:leader="none"/>
        </w:tabs>
        <w:spacing w:line="247" w:lineRule="auto" w:before="2" w:after="0"/>
        <w:ind w:left="688" w:right="38" w:hanging="397"/>
        <w:jc w:val="both"/>
        <w:rPr>
          <w:sz w:val="15"/>
        </w:rPr>
      </w:pPr>
      <w:r>
        <w:rPr>
          <w:sz w:val="15"/>
        </w:rPr>
        <w:t>Není-li ve smlouvě uvedeno jinak, je zúčtovací období poskytované služby jeden měsíc a splatnost vyúčtování/faktur je 14</w:t>
      </w:r>
      <w:r>
        <w:rPr>
          <w:spacing w:val="-29"/>
          <w:sz w:val="15"/>
        </w:rPr>
        <w:t> </w:t>
      </w:r>
      <w:r>
        <w:rPr>
          <w:sz w:val="15"/>
        </w:rPr>
        <w:t>dní.</w:t>
      </w:r>
    </w:p>
    <w:p>
      <w:pPr>
        <w:pStyle w:val="ListParagraph"/>
        <w:numPr>
          <w:ilvl w:val="1"/>
          <w:numId w:val="1"/>
        </w:numPr>
        <w:tabs>
          <w:tab w:pos="689" w:val="left" w:leader="none"/>
        </w:tabs>
        <w:spacing w:line="249" w:lineRule="auto" w:before="4" w:after="0"/>
        <w:ind w:left="688" w:right="36" w:hanging="397"/>
        <w:jc w:val="both"/>
        <w:rPr>
          <w:sz w:val="15"/>
        </w:rPr>
      </w:pPr>
      <w:r>
        <w:rPr>
          <w:sz w:val="15"/>
        </w:rPr>
        <w:t>Ceny za poskytované služby se začínají účtovat dnem zřízení služby. Cena změněná v souvislosti se změnou některé služby se účtuje počínaje momentem následujícím po provedení změny služby. Pokud dojde ke zrušení některé služby, pravidelné měsíční platby se přestávají účtovat počínaje dnem následujícím po dni zrušení</w:t>
      </w:r>
      <w:r>
        <w:rPr>
          <w:spacing w:val="-23"/>
          <w:sz w:val="15"/>
        </w:rPr>
        <w:t> </w:t>
      </w:r>
      <w:r>
        <w:rPr>
          <w:sz w:val="15"/>
        </w:rPr>
        <w:t>služby.</w:t>
      </w:r>
    </w:p>
    <w:p>
      <w:pPr>
        <w:pStyle w:val="ListParagraph"/>
        <w:numPr>
          <w:ilvl w:val="1"/>
          <w:numId w:val="1"/>
        </w:numPr>
        <w:tabs>
          <w:tab w:pos="689" w:val="left" w:leader="none"/>
        </w:tabs>
        <w:spacing w:line="171" w:lineRule="exact" w:before="0" w:after="0"/>
        <w:ind w:left="688" w:right="0" w:hanging="397"/>
        <w:jc w:val="left"/>
        <w:rPr>
          <w:sz w:val="15"/>
        </w:rPr>
      </w:pPr>
      <w:r>
        <w:rPr>
          <w:sz w:val="15"/>
        </w:rPr>
        <w:t>Vyúčtování/faktura</w:t>
      </w:r>
      <w:r>
        <w:rPr>
          <w:spacing w:val="-6"/>
          <w:sz w:val="15"/>
        </w:rPr>
        <w:t> </w:t>
      </w:r>
      <w:r>
        <w:rPr>
          <w:sz w:val="15"/>
        </w:rPr>
        <w:t>má</w:t>
      </w:r>
      <w:r>
        <w:rPr>
          <w:spacing w:val="-6"/>
          <w:sz w:val="15"/>
        </w:rPr>
        <w:t> </w:t>
      </w:r>
      <w:r>
        <w:rPr>
          <w:sz w:val="15"/>
        </w:rPr>
        <w:t>náležitosti</w:t>
      </w:r>
      <w:r>
        <w:rPr>
          <w:spacing w:val="-6"/>
          <w:sz w:val="15"/>
        </w:rPr>
        <w:t> </w:t>
      </w:r>
      <w:r>
        <w:rPr>
          <w:sz w:val="15"/>
        </w:rPr>
        <w:t>daňového</w:t>
      </w:r>
      <w:r>
        <w:rPr>
          <w:spacing w:val="-6"/>
          <w:sz w:val="15"/>
        </w:rPr>
        <w:t> </w:t>
      </w:r>
      <w:r>
        <w:rPr>
          <w:sz w:val="15"/>
        </w:rPr>
        <w:t>dokladu</w:t>
      </w:r>
      <w:r>
        <w:rPr>
          <w:spacing w:val="-6"/>
          <w:sz w:val="15"/>
        </w:rPr>
        <w:t> </w:t>
      </w:r>
      <w:r>
        <w:rPr>
          <w:sz w:val="15"/>
        </w:rPr>
        <w:t>dle</w:t>
      </w:r>
      <w:r>
        <w:rPr>
          <w:spacing w:val="-6"/>
          <w:sz w:val="15"/>
        </w:rPr>
        <w:t> </w:t>
      </w:r>
      <w:r>
        <w:rPr>
          <w:sz w:val="15"/>
        </w:rPr>
        <w:t>zákona.</w:t>
      </w:r>
    </w:p>
    <w:p>
      <w:pPr>
        <w:pStyle w:val="ListParagraph"/>
        <w:numPr>
          <w:ilvl w:val="1"/>
          <w:numId w:val="1"/>
        </w:numPr>
        <w:tabs>
          <w:tab w:pos="689" w:val="left" w:leader="none"/>
        </w:tabs>
        <w:spacing w:line="249" w:lineRule="auto" w:before="10" w:after="0"/>
        <w:ind w:left="688" w:right="38" w:hanging="397"/>
        <w:jc w:val="both"/>
        <w:rPr>
          <w:sz w:val="15"/>
        </w:rPr>
      </w:pPr>
      <w:r>
        <w:rPr>
          <w:sz w:val="15"/>
        </w:rPr>
        <w:t>Účtované částky musí být bezhotovostně převedeny na účet Poskytovatele do data splatnosti uvedeného na vyúčtování/faktuře, jinak je účastník v prodlení. Případné platby ze zahraničních účtů nebo účtů     v cizí měně musí být odeslány v režimu OUR – všechny poplatky k tíži plátce. Bude-li poskytovateli v souvislosti s nedodržením platebních instrukcí uvedených v tomto odstavci naúčtován zvýšený bankovní poplatek nebo bude-li platba připsána v nevýhodném měnovém kurzu (tj. odchylka  od  kurzu  vyhlášeného  Českou  národní  bankou  pro  den,</w:t>
      </w:r>
      <w:r>
        <w:rPr>
          <w:spacing w:val="18"/>
          <w:sz w:val="15"/>
        </w:rPr>
        <w:t> </w:t>
      </w:r>
      <w:r>
        <w:rPr>
          <w:sz w:val="15"/>
        </w:rPr>
        <w:t>ve</w:t>
      </w:r>
    </w:p>
    <w:p>
      <w:pPr>
        <w:pStyle w:val="BodyText"/>
        <w:spacing w:line="249" w:lineRule="auto" w:before="74"/>
        <w:ind w:left="593" w:right="154" w:firstLine="0"/>
      </w:pPr>
      <w:r>
        <w:rPr/>
        <w:br w:type="column"/>
      </w:r>
      <w:r>
        <w:rPr/>
        <w:t>kterém byla platba od účastníka přijata, bude vyšší než 0,5%), je poskytovatel oprávněn o tento poplatek nebo kurzový rozdíl ponížit přijatou platbu a účastník se zavazuje k doplacení rozdílu.</w:t>
      </w:r>
    </w:p>
    <w:p>
      <w:pPr>
        <w:pStyle w:val="ListParagraph"/>
        <w:numPr>
          <w:ilvl w:val="1"/>
          <w:numId w:val="1"/>
        </w:numPr>
        <w:tabs>
          <w:tab w:pos="594" w:val="left" w:leader="none"/>
        </w:tabs>
        <w:spacing w:line="252" w:lineRule="auto" w:before="0" w:after="0"/>
        <w:ind w:left="594" w:right="153" w:hanging="397"/>
        <w:jc w:val="both"/>
        <w:rPr>
          <w:sz w:val="15"/>
        </w:rPr>
      </w:pPr>
      <w:r>
        <w:rPr>
          <w:sz w:val="15"/>
        </w:rPr>
        <w:t>Poskytovatel má právo požadovat po účastníkovi trvalou vratnou finanční zálohu. Záloha je splatná ve lhůtě splatnosti zálohové faktury a bude účastníkovi vrácena nejpozději ve lhůtě 30 dní po ukončení smlouvy. V případě, že účastník bude v prodlení s úhradou řádně vyúčtovaných poplatků, poskytovatel má právo trvalou vratnou finanční zálohu zúčtovat proti takto vzniklému</w:t>
      </w:r>
      <w:r>
        <w:rPr>
          <w:spacing w:val="-16"/>
          <w:sz w:val="15"/>
        </w:rPr>
        <w:t> </w:t>
      </w:r>
      <w:r>
        <w:rPr>
          <w:sz w:val="15"/>
        </w:rPr>
        <w:t>nedoplatku.</w:t>
      </w:r>
    </w:p>
    <w:p>
      <w:pPr>
        <w:pStyle w:val="ListParagraph"/>
        <w:numPr>
          <w:ilvl w:val="1"/>
          <w:numId w:val="1"/>
        </w:numPr>
        <w:tabs>
          <w:tab w:pos="594" w:val="left" w:leader="none"/>
        </w:tabs>
        <w:spacing w:line="249" w:lineRule="auto" w:before="0" w:after="0"/>
        <w:ind w:left="594" w:right="153" w:hanging="397"/>
        <w:jc w:val="both"/>
        <w:rPr>
          <w:sz w:val="15"/>
        </w:rPr>
      </w:pPr>
      <w:r>
        <w:rPr>
          <w:sz w:val="15"/>
        </w:rPr>
        <w:t>Při uzavření smlouvy s účastníkem, který má trvalý pobyt mimo území České republiky, má poskytovatel právo, před zahájením poskytování služby, požadovat za účelem zajištění povinností plynoucích ze smlouvy jistinu, a to až do výše odpovídající součtu ceny zařízení poskytovatelem zapůjčeného účastníkovi a dvěma pravidelným měsíčním platbám dle smlouvy. Jistina je splatná ve lhůtě splatnosti zálohové faktury a bude účastníkovi vrácena nejpozději ve lhůtě 30 dní po ukončení smlouvy.       V případě, že účastník jistinu dle zálohové faktury neuhradí, je poskytovatel oprávněn od takové smlouvy bez zbytečného odkladu odstoupit. V případě, že účastník bude v prodlení s úhradou řádně vyúčtovaných poplatků, poskytovatel má právo jistinu zúčtovat proti takto vzniklému</w:t>
      </w:r>
      <w:r>
        <w:rPr>
          <w:spacing w:val="-11"/>
          <w:sz w:val="15"/>
        </w:rPr>
        <w:t> </w:t>
      </w:r>
      <w:r>
        <w:rPr>
          <w:sz w:val="15"/>
        </w:rPr>
        <w:t>nedoplatku.</w:t>
      </w:r>
    </w:p>
    <w:p>
      <w:pPr>
        <w:pStyle w:val="Heading3"/>
        <w:numPr>
          <w:ilvl w:val="0"/>
          <w:numId w:val="1"/>
        </w:numPr>
        <w:tabs>
          <w:tab w:pos="593" w:val="left" w:leader="none"/>
          <w:tab w:pos="594" w:val="left" w:leader="none"/>
        </w:tabs>
        <w:spacing w:line="240" w:lineRule="auto" w:before="62" w:after="0"/>
        <w:ind w:left="594" w:right="0" w:hanging="397"/>
        <w:jc w:val="left"/>
      </w:pPr>
      <w:r>
        <w:rPr/>
        <w:t>Přenesení telefonního</w:t>
      </w:r>
      <w:r>
        <w:rPr>
          <w:spacing w:val="-15"/>
        </w:rPr>
        <w:t> </w:t>
      </w:r>
      <w:r>
        <w:rPr/>
        <w:t>čísla</w:t>
      </w:r>
    </w:p>
    <w:p>
      <w:pPr>
        <w:pStyle w:val="ListParagraph"/>
        <w:numPr>
          <w:ilvl w:val="1"/>
          <w:numId w:val="1"/>
        </w:numPr>
        <w:tabs>
          <w:tab w:pos="594" w:val="left" w:leader="none"/>
        </w:tabs>
        <w:spacing w:line="249" w:lineRule="auto" w:before="10" w:after="0"/>
        <w:ind w:left="594" w:right="154" w:hanging="397"/>
        <w:jc w:val="both"/>
        <w:rPr>
          <w:sz w:val="15"/>
        </w:rPr>
      </w:pPr>
      <w:r>
        <w:rPr>
          <w:sz w:val="15"/>
        </w:rPr>
        <w:t>Účastník, který má zájem o přenesení svého telefonního čísla od jiného poskytovatele do sítě poskytovatele nebo naopak od poskytovatele do  sítě jiného poskytovatele, může požádat přejímajícího poskytovatele služby o zajištění přenesení telefonního čísla. V takové žádosti je třeba uvést:</w:t>
      </w:r>
    </w:p>
    <w:p>
      <w:pPr>
        <w:pStyle w:val="ListParagraph"/>
        <w:numPr>
          <w:ilvl w:val="2"/>
          <w:numId w:val="1"/>
        </w:numPr>
        <w:tabs>
          <w:tab w:pos="764" w:val="left" w:leader="none"/>
        </w:tabs>
        <w:spacing w:line="171" w:lineRule="exact" w:before="0" w:after="0"/>
        <w:ind w:left="764" w:right="0" w:hanging="170"/>
        <w:jc w:val="left"/>
        <w:rPr>
          <w:sz w:val="15"/>
        </w:rPr>
      </w:pPr>
      <w:r>
        <w:rPr>
          <w:sz w:val="15"/>
        </w:rPr>
        <w:t>identifikační údaje</w:t>
      </w:r>
      <w:r>
        <w:rPr>
          <w:spacing w:val="-15"/>
          <w:sz w:val="15"/>
        </w:rPr>
        <w:t> </w:t>
      </w:r>
      <w:r>
        <w:rPr>
          <w:sz w:val="15"/>
        </w:rPr>
        <w:t>účastníka;</w:t>
      </w:r>
    </w:p>
    <w:p>
      <w:pPr>
        <w:pStyle w:val="ListParagraph"/>
        <w:numPr>
          <w:ilvl w:val="2"/>
          <w:numId w:val="1"/>
        </w:numPr>
        <w:tabs>
          <w:tab w:pos="764" w:val="left" w:leader="none"/>
        </w:tabs>
        <w:spacing w:line="240" w:lineRule="auto" w:before="10" w:after="0"/>
        <w:ind w:left="764" w:right="0" w:hanging="170"/>
        <w:jc w:val="left"/>
        <w:rPr>
          <w:sz w:val="15"/>
        </w:rPr>
      </w:pPr>
      <w:r>
        <w:rPr>
          <w:sz w:val="15"/>
        </w:rPr>
        <w:t>označení opouštěného poskytovatele</w:t>
      </w:r>
      <w:r>
        <w:rPr>
          <w:spacing w:val="-23"/>
          <w:sz w:val="15"/>
        </w:rPr>
        <w:t> </w:t>
      </w:r>
      <w:r>
        <w:rPr>
          <w:sz w:val="15"/>
        </w:rPr>
        <w:t>služby;</w:t>
      </w:r>
    </w:p>
    <w:p>
      <w:pPr>
        <w:pStyle w:val="ListParagraph"/>
        <w:numPr>
          <w:ilvl w:val="2"/>
          <w:numId w:val="1"/>
        </w:numPr>
        <w:tabs>
          <w:tab w:pos="764" w:val="left" w:leader="none"/>
        </w:tabs>
        <w:spacing w:line="240" w:lineRule="auto" w:before="5" w:after="0"/>
        <w:ind w:left="764" w:right="0" w:hanging="170"/>
        <w:jc w:val="left"/>
        <w:rPr>
          <w:sz w:val="15"/>
        </w:rPr>
      </w:pPr>
      <w:r>
        <w:rPr>
          <w:sz w:val="15"/>
        </w:rPr>
        <w:t>telefonní číslo, o jehož přenesení</w:t>
      </w:r>
      <w:r>
        <w:rPr>
          <w:spacing w:val="-19"/>
          <w:sz w:val="15"/>
        </w:rPr>
        <w:t> </w:t>
      </w:r>
      <w:r>
        <w:rPr>
          <w:sz w:val="15"/>
        </w:rPr>
        <w:t>žádá;</w:t>
      </w:r>
    </w:p>
    <w:p>
      <w:pPr>
        <w:pStyle w:val="ListParagraph"/>
        <w:numPr>
          <w:ilvl w:val="2"/>
          <w:numId w:val="1"/>
        </w:numPr>
        <w:tabs>
          <w:tab w:pos="764" w:val="left" w:leader="none"/>
        </w:tabs>
        <w:spacing w:line="247" w:lineRule="auto" w:before="9" w:after="0"/>
        <w:ind w:left="764" w:right="652" w:hanging="170"/>
        <w:jc w:val="left"/>
        <w:rPr>
          <w:sz w:val="15"/>
        </w:rPr>
      </w:pPr>
      <w:r>
        <w:rPr>
          <w:sz w:val="15"/>
        </w:rPr>
        <w:t>ověřovací kód účastníka pro přenesení telefonního čísla vydaný opouštěným poskytovatelem služby (dále jen „</w:t>
      </w:r>
      <w:r>
        <w:rPr>
          <w:i/>
          <w:sz w:val="15"/>
        </w:rPr>
        <w:t>OKU</w:t>
      </w:r>
      <w:r>
        <w:rPr>
          <w:sz w:val="15"/>
        </w:rPr>
        <w:t>“)</w:t>
      </w:r>
      <w:r>
        <w:rPr>
          <w:spacing w:val="-26"/>
          <w:sz w:val="15"/>
        </w:rPr>
        <w:t> </w:t>
      </w:r>
      <w:r>
        <w:rPr>
          <w:sz w:val="15"/>
        </w:rPr>
        <w:t>a</w:t>
      </w:r>
    </w:p>
    <w:p>
      <w:pPr>
        <w:pStyle w:val="ListParagraph"/>
        <w:numPr>
          <w:ilvl w:val="2"/>
          <w:numId w:val="1"/>
        </w:numPr>
        <w:tabs>
          <w:tab w:pos="764" w:val="left" w:leader="none"/>
        </w:tabs>
        <w:spacing w:line="240" w:lineRule="auto" w:before="4" w:after="0"/>
        <w:ind w:left="764" w:right="0" w:hanging="170"/>
        <w:jc w:val="left"/>
        <w:rPr>
          <w:sz w:val="15"/>
        </w:rPr>
      </w:pPr>
      <w:r>
        <w:rPr>
          <w:sz w:val="15"/>
        </w:rPr>
        <w:t>den, ke kterému má přenos telefonního čísla</w:t>
      </w:r>
      <w:r>
        <w:rPr>
          <w:spacing w:val="-28"/>
          <w:sz w:val="15"/>
        </w:rPr>
        <w:t> </w:t>
      </w:r>
      <w:r>
        <w:rPr>
          <w:sz w:val="15"/>
        </w:rPr>
        <w:t>proběhnout.</w:t>
      </w:r>
    </w:p>
    <w:p>
      <w:pPr>
        <w:pStyle w:val="ListParagraph"/>
        <w:numPr>
          <w:ilvl w:val="1"/>
          <w:numId w:val="1"/>
        </w:numPr>
        <w:tabs>
          <w:tab w:pos="594" w:val="left" w:leader="none"/>
        </w:tabs>
        <w:spacing w:line="249" w:lineRule="auto" w:before="5" w:after="0"/>
        <w:ind w:left="594" w:right="154" w:hanging="397"/>
        <w:jc w:val="both"/>
        <w:rPr>
          <w:sz w:val="15"/>
        </w:rPr>
      </w:pPr>
      <w:r>
        <w:rPr>
          <w:sz w:val="15"/>
        </w:rPr>
        <w:t>Přejímající poskytovatel služby je oprávněn ověřit totožnost účastníka před tím, než jeho jménem požádá opouštěného poskytovatele služby o přenesení telefonního čísla; neposkytne-li účastník na výzvu přejímajícího poskytovatele služby potřebnou součinnost při ověření své  totožnosti, hledí</w:t>
      </w:r>
      <w:r>
        <w:rPr>
          <w:spacing w:val="-4"/>
          <w:sz w:val="15"/>
        </w:rPr>
        <w:t> </w:t>
      </w:r>
      <w:r>
        <w:rPr>
          <w:sz w:val="15"/>
        </w:rPr>
        <w:t>se</w:t>
      </w:r>
      <w:r>
        <w:rPr>
          <w:spacing w:val="-4"/>
          <w:sz w:val="15"/>
        </w:rPr>
        <w:t> </w:t>
      </w:r>
      <w:r>
        <w:rPr>
          <w:sz w:val="15"/>
        </w:rPr>
        <w:t>na</w:t>
      </w:r>
      <w:r>
        <w:rPr>
          <w:spacing w:val="-4"/>
          <w:sz w:val="15"/>
        </w:rPr>
        <w:t> </w:t>
      </w:r>
      <w:r>
        <w:rPr>
          <w:sz w:val="15"/>
        </w:rPr>
        <w:t>něho,</w:t>
      </w:r>
      <w:r>
        <w:rPr>
          <w:spacing w:val="-4"/>
          <w:sz w:val="15"/>
        </w:rPr>
        <w:t> </w:t>
      </w:r>
      <w:r>
        <w:rPr>
          <w:sz w:val="15"/>
        </w:rPr>
        <w:t>jako</w:t>
      </w:r>
      <w:r>
        <w:rPr>
          <w:spacing w:val="-4"/>
          <w:sz w:val="15"/>
        </w:rPr>
        <w:t> </w:t>
      </w:r>
      <w:r>
        <w:rPr>
          <w:sz w:val="15"/>
        </w:rPr>
        <w:t>by</w:t>
      </w:r>
      <w:r>
        <w:rPr>
          <w:spacing w:val="-4"/>
          <w:sz w:val="15"/>
        </w:rPr>
        <w:t> </w:t>
      </w:r>
      <w:r>
        <w:rPr>
          <w:sz w:val="15"/>
        </w:rPr>
        <w:t>o</w:t>
      </w:r>
      <w:r>
        <w:rPr>
          <w:spacing w:val="-4"/>
          <w:sz w:val="15"/>
        </w:rPr>
        <w:t> </w:t>
      </w:r>
      <w:r>
        <w:rPr>
          <w:sz w:val="15"/>
        </w:rPr>
        <w:t>přenesení</w:t>
      </w:r>
      <w:r>
        <w:rPr>
          <w:spacing w:val="-4"/>
          <w:sz w:val="15"/>
        </w:rPr>
        <w:t> </w:t>
      </w:r>
      <w:r>
        <w:rPr>
          <w:sz w:val="15"/>
        </w:rPr>
        <w:t>telefonního</w:t>
      </w:r>
      <w:r>
        <w:rPr>
          <w:spacing w:val="-4"/>
          <w:sz w:val="15"/>
        </w:rPr>
        <w:t> </w:t>
      </w:r>
      <w:r>
        <w:rPr>
          <w:sz w:val="15"/>
        </w:rPr>
        <w:t>čísla</w:t>
      </w:r>
      <w:r>
        <w:rPr>
          <w:spacing w:val="-4"/>
          <w:sz w:val="15"/>
        </w:rPr>
        <w:t> </w:t>
      </w:r>
      <w:r>
        <w:rPr>
          <w:sz w:val="15"/>
        </w:rPr>
        <w:t>nepožádal.</w:t>
      </w:r>
    </w:p>
    <w:p>
      <w:pPr>
        <w:pStyle w:val="ListParagraph"/>
        <w:numPr>
          <w:ilvl w:val="1"/>
          <w:numId w:val="1"/>
        </w:numPr>
        <w:tabs>
          <w:tab w:pos="594" w:val="left" w:leader="none"/>
        </w:tabs>
        <w:spacing w:line="249" w:lineRule="auto" w:before="3" w:after="0"/>
        <w:ind w:left="594" w:right="154" w:hanging="397"/>
        <w:jc w:val="both"/>
        <w:rPr>
          <w:sz w:val="15"/>
        </w:rPr>
      </w:pPr>
      <w:r>
        <w:rPr>
          <w:sz w:val="15"/>
        </w:rPr>
        <w:t>Přejímající poskytovatel služby neprodleně po splnění podmínek přenositelnosti telefonního čísla zajistí provedení úkonů potřebných k přenesení telefonního čísla a informuje účastníka o dni, ke kterému má přenos telefonního čísla proběhnout a který je zároveň dnem ukončení smluvního vztahu s opouštěným poskytovatelem</w:t>
      </w:r>
      <w:r>
        <w:rPr>
          <w:spacing w:val="-26"/>
          <w:sz w:val="15"/>
        </w:rPr>
        <w:t> </w:t>
      </w:r>
      <w:r>
        <w:rPr>
          <w:sz w:val="15"/>
        </w:rPr>
        <w:t>služby.</w:t>
      </w:r>
    </w:p>
    <w:p>
      <w:pPr>
        <w:pStyle w:val="ListParagraph"/>
        <w:numPr>
          <w:ilvl w:val="1"/>
          <w:numId w:val="1"/>
        </w:numPr>
        <w:tabs>
          <w:tab w:pos="594" w:val="left" w:leader="none"/>
        </w:tabs>
        <w:spacing w:line="249" w:lineRule="auto" w:before="3" w:after="0"/>
        <w:ind w:left="594" w:right="153" w:hanging="397"/>
        <w:jc w:val="both"/>
        <w:rPr>
          <w:sz w:val="15"/>
        </w:rPr>
      </w:pPr>
      <w:r>
        <w:rPr>
          <w:sz w:val="15"/>
        </w:rPr>
        <w:t>Přejímající poskytovatel služby do jednoho pracovního dne od obdržení žádosti účastníka podle odst. 10.1 VP vyrozumí opouštěného poskytovatele služby o žádosti účastníka o přenesení telefonního čísla, včetně ověřovacího kódu účastníka, a okamžiku zániku smlouvy a společně s ním zajistí, aby jimi poskytované služby na sebe přímo navazovaly.</w:t>
      </w:r>
    </w:p>
    <w:p>
      <w:pPr>
        <w:pStyle w:val="ListParagraph"/>
        <w:numPr>
          <w:ilvl w:val="1"/>
          <w:numId w:val="1"/>
        </w:numPr>
        <w:tabs>
          <w:tab w:pos="594" w:val="left" w:leader="none"/>
        </w:tabs>
        <w:spacing w:line="249" w:lineRule="auto" w:before="3" w:after="0"/>
        <w:ind w:left="594" w:right="153" w:hanging="397"/>
        <w:jc w:val="both"/>
        <w:rPr>
          <w:sz w:val="15"/>
        </w:rPr>
      </w:pPr>
      <w:r>
        <w:rPr>
          <w:sz w:val="15"/>
        </w:rPr>
        <w:t>Využije-li účastník svého práva o přenesení telefonního číslo, dojde k zániku smlouvy nejpozději počátkem prvního pracovního dne následujícího po uplynutí lhůty 2 pracovních dnů, která začne běžet, jakmile přejímající poskytovatel služby vyrozumí opouštěného poskytovatele služby dle odst. 10.4. VP. Tato lhůta se neuplatní, pokud doba zbývající do zániku smlouvy je kratší nebo k přenesení telefonního čísla nedošlo. K aktivaci přeneseného telefonního čísla u přejímajícího poskytovatele služby dochází v den zániku</w:t>
      </w:r>
      <w:r>
        <w:rPr>
          <w:spacing w:val="-25"/>
          <w:sz w:val="15"/>
        </w:rPr>
        <w:t> </w:t>
      </w:r>
      <w:r>
        <w:rPr>
          <w:sz w:val="15"/>
        </w:rPr>
        <w:t>smlouvy.</w:t>
      </w:r>
    </w:p>
    <w:p>
      <w:pPr>
        <w:pStyle w:val="ListParagraph"/>
        <w:numPr>
          <w:ilvl w:val="1"/>
          <w:numId w:val="1"/>
        </w:numPr>
        <w:tabs>
          <w:tab w:pos="594" w:val="left" w:leader="none"/>
        </w:tabs>
        <w:spacing w:line="249" w:lineRule="auto" w:before="3" w:after="0"/>
        <w:ind w:left="594" w:right="113" w:hanging="397"/>
        <w:jc w:val="left"/>
        <w:rPr>
          <w:sz w:val="15"/>
        </w:rPr>
      </w:pPr>
      <w:r>
        <w:rPr>
          <w:sz w:val="15"/>
        </w:rPr>
        <w:t>Pokud smlouva na přenášeném telefonním čísle zanikne dříve než počátkem prvního pracovního dne následujícího po uplynutí lhůty dle odst. 10.5, VP není na předmětném přenášeném telefonním čísle zaručena přímá návaznost poskytování veřejně dostupné služby elektronických komunikací tak, jak je uvedeno v odst. 10.4.</w:t>
      </w:r>
      <w:r>
        <w:rPr>
          <w:spacing w:val="-21"/>
          <w:sz w:val="15"/>
        </w:rPr>
        <w:t> </w:t>
      </w:r>
      <w:r>
        <w:rPr>
          <w:sz w:val="15"/>
        </w:rPr>
        <w:t>VP.</w:t>
      </w:r>
    </w:p>
    <w:p>
      <w:pPr>
        <w:pStyle w:val="ListParagraph"/>
        <w:numPr>
          <w:ilvl w:val="1"/>
          <w:numId w:val="1"/>
        </w:numPr>
        <w:tabs>
          <w:tab w:pos="594" w:val="left" w:leader="none"/>
        </w:tabs>
        <w:spacing w:line="254" w:lineRule="auto" w:before="0" w:after="0"/>
        <w:ind w:left="594" w:right="155" w:hanging="397"/>
        <w:jc w:val="both"/>
        <w:rPr>
          <w:sz w:val="15"/>
        </w:rPr>
      </w:pPr>
      <w:r>
        <w:rPr>
          <w:sz w:val="15"/>
        </w:rPr>
        <w:t>Opouštěný poskytovatel služby a přejímající poskytovatel služby jsou oprávněni  odmítnout  žádost  o  zajištění  přenesení  telefonního  čísla     v případě,</w:t>
      </w:r>
      <w:r>
        <w:rPr>
          <w:spacing w:val="-7"/>
          <w:sz w:val="15"/>
        </w:rPr>
        <w:t> </w:t>
      </w:r>
      <w:r>
        <w:rPr>
          <w:sz w:val="15"/>
        </w:rPr>
        <w:t>že:</w:t>
      </w:r>
    </w:p>
    <w:p>
      <w:pPr>
        <w:pStyle w:val="ListParagraph"/>
        <w:numPr>
          <w:ilvl w:val="2"/>
          <w:numId w:val="1"/>
        </w:numPr>
        <w:tabs>
          <w:tab w:pos="764" w:val="left" w:leader="none"/>
        </w:tabs>
        <w:spacing w:line="168" w:lineRule="exact" w:before="1" w:after="0"/>
        <w:ind w:left="764" w:right="0" w:hanging="170"/>
        <w:jc w:val="left"/>
        <w:rPr>
          <w:sz w:val="15"/>
        </w:rPr>
      </w:pPr>
      <w:r>
        <w:rPr>
          <w:sz w:val="15"/>
        </w:rPr>
        <w:t>telefonní číslo je již obsaženo v jiné</w:t>
      </w:r>
      <w:r>
        <w:rPr>
          <w:spacing w:val="-23"/>
          <w:sz w:val="15"/>
        </w:rPr>
        <w:t> </w:t>
      </w:r>
      <w:r>
        <w:rPr>
          <w:sz w:val="15"/>
        </w:rPr>
        <w:t>objednávce;</w:t>
      </w:r>
    </w:p>
    <w:p>
      <w:pPr>
        <w:pStyle w:val="ListParagraph"/>
        <w:numPr>
          <w:ilvl w:val="2"/>
          <w:numId w:val="1"/>
        </w:numPr>
        <w:tabs>
          <w:tab w:pos="764" w:val="left" w:leader="none"/>
        </w:tabs>
        <w:spacing w:line="240" w:lineRule="auto" w:before="9" w:after="0"/>
        <w:ind w:left="764" w:right="0" w:hanging="170"/>
        <w:jc w:val="left"/>
        <w:rPr>
          <w:sz w:val="15"/>
        </w:rPr>
      </w:pPr>
      <w:r>
        <w:rPr>
          <w:sz w:val="15"/>
        </w:rPr>
        <w:t>existují</w:t>
      </w:r>
      <w:r>
        <w:rPr>
          <w:spacing w:val="-6"/>
          <w:sz w:val="15"/>
        </w:rPr>
        <w:t> </w:t>
      </w:r>
      <w:r>
        <w:rPr>
          <w:sz w:val="15"/>
        </w:rPr>
        <w:t>technické</w:t>
      </w:r>
      <w:r>
        <w:rPr>
          <w:spacing w:val="-6"/>
          <w:sz w:val="15"/>
        </w:rPr>
        <w:t> </w:t>
      </w:r>
      <w:r>
        <w:rPr>
          <w:sz w:val="15"/>
        </w:rPr>
        <w:t>překážky</w:t>
      </w:r>
      <w:r>
        <w:rPr>
          <w:spacing w:val="-6"/>
          <w:sz w:val="15"/>
        </w:rPr>
        <w:t> </w:t>
      </w:r>
      <w:r>
        <w:rPr>
          <w:sz w:val="15"/>
        </w:rPr>
        <w:t>bránící</w:t>
      </w:r>
      <w:r>
        <w:rPr>
          <w:spacing w:val="-6"/>
          <w:sz w:val="15"/>
        </w:rPr>
        <w:t> </w:t>
      </w:r>
      <w:r>
        <w:rPr>
          <w:sz w:val="15"/>
        </w:rPr>
        <w:t>přenesení</w:t>
      </w:r>
      <w:r>
        <w:rPr>
          <w:spacing w:val="-6"/>
          <w:sz w:val="15"/>
        </w:rPr>
        <w:t> </w:t>
      </w:r>
      <w:r>
        <w:rPr>
          <w:sz w:val="15"/>
        </w:rPr>
        <w:t>telefonního</w:t>
      </w:r>
      <w:r>
        <w:rPr>
          <w:spacing w:val="-6"/>
          <w:sz w:val="15"/>
        </w:rPr>
        <w:t> </w:t>
      </w:r>
      <w:r>
        <w:rPr>
          <w:sz w:val="15"/>
        </w:rPr>
        <w:t>čísla;</w:t>
      </w:r>
    </w:p>
    <w:p>
      <w:pPr>
        <w:pStyle w:val="ListParagraph"/>
        <w:numPr>
          <w:ilvl w:val="2"/>
          <w:numId w:val="1"/>
        </w:numPr>
        <w:tabs>
          <w:tab w:pos="764" w:val="left" w:leader="none"/>
        </w:tabs>
        <w:spacing w:line="254" w:lineRule="auto" w:before="5" w:after="0"/>
        <w:ind w:left="764" w:right="155" w:hanging="170"/>
        <w:jc w:val="left"/>
        <w:rPr>
          <w:sz w:val="15"/>
        </w:rPr>
      </w:pPr>
      <w:r>
        <w:rPr>
          <w:sz w:val="15"/>
        </w:rPr>
        <w:t>na telefonní číslo se nevztahuje povinnosti přenositelnosti podle zvláštního</w:t>
      </w:r>
      <w:r>
        <w:rPr>
          <w:spacing w:val="-11"/>
          <w:sz w:val="15"/>
        </w:rPr>
        <w:t> </w:t>
      </w:r>
      <w:r>
        <w:rPr>
          <w:sz w:val="15"/>
        </w:rPr>
        <w:t>předpisu.</w:t>
      </w:r>
    </w:p>
    <w:p>
      <w:pPr>
        <w:pStyle w:val="ListParagraph"/>
        <w:numPr>
          <w:ilvl w:val="1"/>
          <w:numId w:val="1"/>
        </w:numPr>
        <w:tabs>
          <w:tab w:pos="594" w:val="left" w:leader="none"/>
        </w:tabs>
        <w:spacing w:line="168" w:lineRule="exact" w:before="0" w:after="0"/>
        <w:ind w:left="594" w:right="0" w:hanging="397"/>
        <w:jc w:val="left"/>
        <w:rPr>
          <w:sz w:val="15"/>
        </w:rPr>
      </w:pPr>
      <w:r>
        <w:rPr>
          <w:sz w:val="15"/>
        </w:rPr>
        <w:t>Přenesení telefonního čísla je</w:t>
      </w:r>
      <w:r>
        <w:rPr>
          <w:spacing w:val="-21"/>
          <w:sz w:val="15"/>
        </w:rPr>
        <w:t> </w:t>
      </w:r>
      <w:r>
        <w:rPr>
          <w:sz w:val="15"/>
        </w:rPr>
        <w:t>bezplatné.</w:t>
      </w:r>
    </w:p>
    <w:p>
      <w:pPr>
        <w:pStyle w:val="ListParagraph"/>
        <w:numPr>
          <w:ilvl w:val="1"/>
          <w:numId w:val="1"/>
        </w:numPr>
        <w:tabs>
          <w:tab w:pos="594" w:val="left" w:leader="none"/>
        </w:tabs>
        <w:spacing w:line="247" w:lineRule="auto" w:before="9" w:after="0"/>
        <w:ind w:left="594" w:right="154" w:hanging="397"/>
        <w:jc w:val="both"/>
        <w:rPr>
          <w:sz w:val="15"/>
        </w:rPr>
      </w:pPr>
      <w:r>
        <w:rPr>
          <w:sz w:val="15"/>
        </w:rPr>
        <w:t>Přenesením telefonního čísla nezaniká povinnost účastníka zaplatit veškeré své závazky vůči</w:t>
      </w:r>
      <w:r>
        <w:rPr>
          <w:spacing w:val="-20"/>
          <w:sz w:val="15"/>
        </w:rPr>
        <w:t> </w:t>
      </w:r>
      <w:r>
        <w:rPr>
          <w:sz w:val="15"/>
        </w:rPr>
        <w:t>poskytovateli.</w:t>
      </w:r>
    </w:p>
    <w:p>
      <w:pPr>
        <w:pStyle w:val="ListParagraph"/>
        <w:numPr>
          <w:ilvl w:val="1"/>
          <w:numId w:val="1"/>
        </w:numPr>
        <w:tabs>
          <w:tab w:pos="594" w:val="left" w:leader="none"/>
        </w:tabs>
        <w:spacing w:line="249" w:lineRule="auto" w:before="4" w:after="0"/>
        <w:ind w:left="594" w:right="154" w:hanging="397"/>
        <w:jc w:val="both"/>
        <w:rPr>
          <w:sz w:val="15"/>
        </w:rPr>
      </w:pPr>
      <w:r>
        <w:rPr>
          <w:sz w:val="15"/>
        </w:rPr>
        <w:t>Opouštěný poskytovatel služby na žádost spotřebitele, využívajícího předplacené služby, podanou nejpozději do 30 dnů ode dne ukončení smlouvy, vrátí zbývající zůstatek předplatného na hovorném. Vrácení zůstatku</w:t>
      </w:r>
      <w:r>
        <w:rPr>
          <w:spacing w:val="-6"/>
          <w:sz w:val="15"/>
        </w:rPr>
        <w:t> </w:t>
      </w:r>
      <w:r>
        <w:rPr>
          <w:sz w:val="15"/>
        </w:rPr>
        <w:t>je</w:t>
      </w:r>
      <w:r>
        <w:rPr>
          <w:spacing w:val="-6"/>
          <w:sz w:val="15"/>
        </w:rPr>
        <w:t> </w:t>
      </w:r>
      <w:r>
        <w:rPr>
          <w:sz w:val="15"/>
        </w:rPr>
        <w:t>zpoplatněno</w:t>
      </w:r>
      <w:r>
        <w:rPr>
          <w:spacing w:val="-6"/>
          <w:sz w:val="15"/>
        </w:rPr>
        <w:t> </w:t>
      </w:r>
      <w:r>
        <w:rPr>
          <w:sz w:val="15"/>
        </w:rPr>
        <w:t>dle</w:t>
      </w:r>
      <w:r>
        <w:rPr>
          <w:spacing w:val="-6"/>
          <w:sz w:val="15"/>
        </w:rPr>
        <w:t> </w:t>
      </w:r>
      <w:r>
        <w:rPr>
          <w:sz w:val="15"/>
        </w:rPr>
        <w:t>Ceníku</w:t>
      </w:r>
      <w:r>
        <w:rPr>
          <w:spacing w:val="-6"/>
          <w:sz w:val="15"/>
        </w:rPr>
        <w:t> </w:t>
      </w:r>
      <w:r>
        <w:rPr>
          <w:sz w:val="15"/>
        </w:rPr>
        <w:t>administrativních</w:t>
      </w:r>
      <w:r>
        <w:rPr>
          <w:spacing w:val="-6"/>
          <w:sz w:val="15"/>
        </w:rPr>
        <w:t> </w:t>
      </w:r>
      <w:r>
        <w:rPr>
          <w:sz w:val="15"/>
        </w:rPr>
        <w:t>poplatků.</w:t>
      </w:r>
    </w:p>
    <w:p>
      <w:pPr>
        <w:pStyle w:val="ListParagraph"/>
        <w:numPr>
          <w:ilvl w:val="1"/>
          <w:numId w:val="1"/>
        </w:numPr>
        <w:tabs>
          <w:tab w:pos="594" w:val="left" w:leader="none"/>
        </w:tabs>
        <w:spacing w:line="249" w:lineRule="auto" w:before="3" w:after="0"/>
        <w:ind w:left="594" w:right="154" w:hanging="397"/>
        <w:jc w:val="both"/>
        <w:rPr>
          <w:sz w:val="15"/>
        </w:rPr>
      </w:pPr>
      <w:r>
        <w:rPr>
          <w:sz w:val="15"/>
        </w:rPr>
        <w:t>Po přenesení telefonního čísla může účastník využívat pouze služby nabízené přejímajícím poskytovatelem služeb. Nastavení služeb se nepřenáší.</w:t>
      </w:r>
    </w:p>
    <w:p>
      <w:pPr>
        <w:pStyle w:val="ListParagraph"/>
        <w:numPr>
          <w:ilvl w:val="1"/>
          <w:numId w:val="1"/>
        </w:numPr>
        <w:tabs>
          <w:tab w:pos="594" w:val="left" w:leader="none"/>
        </w:tabs>
        <w:spacing w:line="249" w:lineRule="auto" w:before="0" w:after="0"/>
        <w:ind w:left="594" w:right="153" w:hanging="397"/>
        <w:jc w:val="both"/>
        <w:rPr>
          <w:sz w:val="15"/>
        </w:rPr>
      </w:pPr>
      <w:r>
        <w:rPr>
          <w:sz w:val="15"/>
        </w:rPr>
        <w:t>Dojde-li k předčasnému ukončení smlouvy nebo služby na základě výpovědi s přenesením (zejména před uplynutím minimální doby užívání služby/před</w:t>
      </w:r>
      <w:r>
        <w:rPr>
          <w:spacing w:val="28"/>
          <w:sz w:val="15"/>
        </w:rPr>
        <w:t> </w:t>
      </w:r>
      <w:r>
        <w:rPr>
          <w:sz w:val="15"/>
        </w:rPr>
        <w:t>uplynutím</w:t>
      </w:r>
      <w:r>
        <w:rPr>
          <w:spacing w:val="28"/>
          <w:sz w:val="15"/>
        </w:rPr>
        <w:t> </w:t>
      </w:r>
      <w:r>
        <w:rPr>
          <w:sz w:val="15"/>
        </w:rPr>
        <w:t>doby</w:t>
      </w:r>
      <w:r>
        <w:rPr>
          <w:spacing w:val="28"/>
          <w:sz w:val="15"/>
        </w:rPr>
        <w:t> </w:t>
      </w:r>
      <w:r>
        <w:rPr>
          <w:sz w:val="15"/>
        </w:rPr>
        <w:t>trvání,</w:t>
      </w:r>
      <w:r>
        <w:rPr>
          <w:spacing w:val="28"/>
          <w:sz w:val="15"/>
        </w:rPr>
        <w:t> </w:t>
      </w:r>
      <w:r>
        <w:rPr>
          <w:sz w:val="15"/>
        </w:rPr>
        <w:t>na</w:t>
      </w:r>
      <w:r>
        <w:rPr>
          <w:spacing w:val="28"/>
          <w:sz w:val="15"/>
        </w:rPr>
        <w:t> </w:t>
      </w:r>
      <w:r>
        <w:rPr>
          <w:sz w:val="15"/>
        </w:rPr>
        <w:t>kterou</w:t>
      </w:r>
      <w:r>
        <w:rPr>
          <w:spacing w:val="28"/>
          <w:sz w:val="15"/>
        </w:rPr>
        <w:t> </w:t>
      </w:r>
      <w:r>
        <w:rPr>
          <w:sz w:val="15"/>
        </w:rPr>
        <w:t>je</w:t>
      </w:r>
      <w:r>
        <w:rPr>
          <w:spacing w:val="28"/>
          <w:sz w:val="15"/>
        </w:rPr>
        <w:t> </w:t>
      </w:r>
      <w:r>
        <w:rPr>
          <w:sz w:val="15"/>
        </w:rPr>
        <w:t>smlouva</w:t>
      </w:r>
      <w:r>
        <w:rPr>
          <w:spacing w:val="28"/>
          <w:sz w:val="15"/>
        </w:rPr>
        <w:t> </w:t>
      </w:r>
      <w:r>
        <w:rPr>
          <w:sz w:val="15"/>
        </w:rPr>
        <w:t>uzavřena),</w:t>
      </w:r>
      <w:r>
        <w:rPr>
          <w:spacing w:val="28"/>
          <w:sz w:val="15"/>
        </w:rPr>
        <w:t> </w:t>
      </w:r>
      <w:r>
        <w:rPr>
          <w:sz w:val="15"/>
        </w:rPr>
        <w:t>je</w:t>
      </w:r>
    </w:p>
    <w:p>
      <w:pPr>
        <w:spacing w:after="0" w:line="249" w:lineRule="auto"/>
        <w:jc w:val="both"/>
        <w:rPr>
          <w:sz w:val="15"/>
        </w:rPr>
        <w:sectPr>
          <w:type w:val="continuous"/>
          <w:pgSz w:w="11910" w:h="16840"/>
          <w:pgMar w:top="260" w:bottom="440" w:left="280" w:right="300"/>
          <w:cols w:num="2" w:equalWidth="0">
            <w:col w:w="5632" w:space="40"/>
            <w:col w:w="5658"/>
          </w:cols>
        </w:sectPr>
      </w:pPr>
    </w:p>
    <w:p>
      <w:pPr>
        <w:pStyle w:val="Heading1"/>
      </w:pPr>
      <w:r>
        <w:rPr/>
        <w:t>VŠEOBECNÉ PODMÍNKY</w:t>
      </w:r>
    </w:p>
    <w:p>
      <w:pPr>
        <w:pStyle w:val="Heading2"/>
      </w:pPr>
      <w:r>
        <w:rPr/>
        <w:t>poskytování slu</w:t>
      </w:r>
      <w:r>
        <w:rPr>
          <w:i/>
        </w:rPr>
        <w:t>ž</w:t>
      </w:r>
      <w:r>
        <w:rPr/>
        <w:t>eb elektronick</w:t>
      </w:r>
      <w:r>
        <w:rPr>
          <w:i/>
        </w:rPr>
        <w:t>ý</w:t>
      </w:r>
      <w:r>
        <w:rPr/>
        <w:t>ch komunikací platné od 1.1.2021</w:t>
      </w:r>
    </w:p>
    <w:p>
      <w:pPr>
        <w:pStyle w:val="BodyText"/>
        <w:spacing w:before="9"/>
        <w:ind w:left="0" w:firstLine="0"/>
        <w:jc w:val="left"/>
        <w:rPr>
          <w:sz w:val="9"/>
        </w:rPr>
      </w:pPr>
    </w:p>
    <w:p>
      <w:pPr>
        <w:spacing w:after="0"/>
        <w:jc w:val="left"/>
        <w:rPr>
          <w:sz w:val="9"/>
        </w:rPr>
        <w:sectPr>
          <w:pgSz w:w="11910" w:h="16840"/>
          <w:pgMar w:header="0" w:footer="256" w:top="260" w:bottom="440" w:left="280" w:right="340"/>
        </w:sectPr>
      </w:pPr>
    </w:p>
    <w:p>
      <w:pPr>
        <w:pStyle w:val="BodyText"/>
        <w:spacing w:line="247" w:lineRule="auto" w:before="74"/>
        <w:ind w:firstLine="0"/>
        <w:jc w:val="left"/>
      </w:pPr>
      <w:r>
        <w:rPr/>
        <w:pict>
          <v:group style="position:absolute;margin-left:19.592615pt;margin-top:13.6223pt;width:119.25pt;height:809.15pt;mso-position-horizontal-relative:page;mso-position-vertical-relative:page;z-index:-8680" coordorigin="392,272" coordsize="2385,16183">
            <v:shape style="position:absolute;left:739;top:272;width:2037;height:702" type="#_x0000_t75" stroked="false">
              <v:imagedata r:id="rId6" o:title=""/>
            </v:shape>
            <v:shape style="position:absolute;left:398;top:644;width:292;height:15805" coordorigin="398,644" coordsize="292,15805" path="m689,644l543,644,521,647,471,669,421,726,398,839,398,16335,400,16353,413,16392,448,16431,517,16449,689,16449e" filled="false" stroked="true" strokeweight=".593919pt" strokecolor="#80bb27">
              <v:path arrowok="t"/>
              <v:stroke dashstyle="solid"/>
            </v:shape>
            <w10:wrap type="none"/>
          </v:group>
        </w:pict>
      </w:r>
      <w:r>
        <w:rPr/>
        <w:t>poskytovatel oprávněn vyúčtovat a účastník povinen uhradit jednorázový poplatek stanovený v odst. 12.7, 12.8, 18.5 a 18.6 VP.</w:t>
      </w:r>
    </w:p>
    <w:p>
      <w:pPr>
        <w:pStyle w:val="ListParagraph"/>
        <w:numPr>
          <w:ilvl w:val="1"/>
          <w:numId w:val="1"/>
        </w:numPr>
        <w:tabs>
          <w:tab w:pos="689" w:val="left" w:leader="none"/>
        </w:tabs>
        <w:spacing w:line="249" w:lineRule="auto" w:before="4" w:after="0"/>
        <w:ind w:left="688" w:right="1" w:hanging="397"/>
        <w:jc w:val="both"/>
        <w:rPr>
          <w:sz w:val="15"/>
        </w:rPr>
      </w:pPr>
      <w:r>
        <w:rPr>
          <w:sz w:val="15"/>
        </w:rPr>
        <w:t>Účastník může v rámci jedné žádosti o přenesení přenést více svých telefonních čísel. Každé z přenášených telefonních čísel musí splnit náležitosti stanovené těmito podmínkami. V případě, že mezi účastníkem a poskytovatelem je uzavřena smlouva na více telefonních čísel, a účastník žádá o přenesení pouze části telefonních čísel, zaniká předmětná smlouva pouze v rozsahu telefonních čísel, o jejichž  přenesení účastník požádal. Ve zbývajícím rozsahu trvá předmětná smlouva mezi účastníkem a poskytovatelem</w:t>
      </w:r>
      <w:r>
        <w:rPr>
          <w:spacing w:val="-21"/>
          <w:sz w:val="15"/>
        </w:rPr>
        <w:t> </w:t>
      </w:r>
      <w:r>
        <w:rPr>
          <w:sz w:val="15"/>
        </w:rPr>
        <w:t>dál.</w:t>
      </w:r>
    </w:p>
    <w:p>
      <w:pPr>
        <w:pStyle w:val="ListParagraph"/>
        <w:numPr>
          <w:ilvl w:val="1"/>
          <w:numId w:val="1"/>
        </w:numPr>
        <w:tabs>
          <w:tab w:pos="689" w:val="left" w:leader="none"/>
        </w:tabs>
        <w:spacing w:line="249" w:lineRule="auto" w:before="3" w:after="0"/>
        <w:ind w:left="688" w:right="0" w:hanging="397"/>
        <w:jc w:val="both"/>
        <w:rPr>
          <w:sz w:val="15"/>
        </w:rPr>
      </w:pPr>
      <w:r>
        <w:rPr>
          <w:sz w:val="15"/>
        </w:rPr>
        <w:t>Ověřovací kód účastníka pro přenesení telefonního čísla (OKU) je  uveden po přihlášení účastníka v zákaznickém portálu poskytovatele a    v příloze smluv uzavřených po</w:t>
      </w:r>
      <w:r>
        <w:rPr>
          <w:spacing w:val="-20"/>
          <w:sz w:val="15"/>
        </w:rPr>
        <w:t> </w:t>
      </w:r>
      <w:r>
        <w:rPr>
          <w:sz w:val="15"/>
        </w:rPr>
        <w:t>31.3.2020.</w:t>
      </w:r>
    </w:p>
    <w:p>
      <w:pPr>
        <w:pStyle w:val="Heading3"/>
        <w:numPr>
          <w:ilvl w:val="0"/>
          <w:numId w:val="1"/>
        </w:numPr>
        <w:tabs>
          <w:tab w:pos="688" w:val="left" w:leader="none"/>
          <w:tab w:pos="689" w:val="left" w:leader="none"/>
        </w:tabs>
        <w:spacing w:line="240" w:lineRule="auto" w:before="61" w:after="0"/>
        <w:ind w:left="688" w:right="0" w:hanging="397"/>
        <w:jc w:val="left"/>
      </w:pPr>
      <w:r>
        <w:rPr/>
        <w:t>Záruky a</w:t>
      </w:r>
      <w:r>
        <w:rPr>
          <w:spacing w:val="-9"/>
        </w:rPr>
        <w:t> </w:t>
      </w:r>
      <w:r>
        <w:rPr/>
        <w:t>sankce</w:t>
      </w:r>
    </w:p>
    <w:p>
      <w:pPr>
        <w:pStyle w:val="ListParagraph"/>
        <w:numPr>
          <w:ilvl w:val="1"/>
          <w:numId w:val="1"/>
        </w:numPr>
        <w:tabs>
          <w:tab w:pos="689" w:val="left" w:leader="none"/>
        </w:tabs>
        <w:spacing w:line="254" w:lineRule="auto" w:before="5" w:after="0"/>
        <w:ind w:left="688" w:right="0" w:hanging="397"/>
        <w:jc w:val="both"/>
        <w:rPr>
          <w:sz w:val="15"/>
        </w:rPr>
      </w:pPr>
      <w:r>
        <w:rPr>
          <w:sz w:val="15"/>
        </w:rPr>
        <w:t>Smluvní pokuta z prodlení v úhradě plateb je stanovena ve výši 0,1%       z dlužné částky za každý den</w:t>
      </w:r>
      <w:r>
        <w:rPr>
          <w:spacing w:val="-19"/>
          <w:sz w:val="15"/>
        </w:rPr>
        <w:t> </w:t>
      </w:r>
      <w:r>
        <w:rPr>
          <w:sz w:val="15"/>
        </w:rPr>
        <w:t>prodlení.</w:t>
      </w:r>
    </w:p>
    <w:p>
      <w:pPr>
        <w:pStyle w:val="ListParagraph"/>
        <w:numPr>
          <w:ilvl w:val="1"/>
          <w:numId w:val="1"/>
        </w:numPr>
        <w:tabs>
          <w:tab w:pos="689" w:val="left" w:leader="none"/>
        </w:tabs>
        <w:spacing w:line="252" w:lineRule="auto" w:before="0" w:after="0"/>
        <w:ind w:left="688" w:right="0" w:hanging="397"/>
        <w:jc w:val="both"/>
        <w:rPr>
          <w:sz w:val="15"/>
        </w:rPr>
      </w:pPr>
      <w:r>
        <w:rPr>
          <w:sz w:val="15"/>
        </w:rPr>
        <w:t>Účastník má právo, na základě písemné žádosti, na vrácení poměrné části pravidelných měsíčních poplatků za každé souvislé období delší než 15 minut, s výjimkou doby pro plánovanou údržbu a případu dle čl. 8 VP, ve kterém služba nebyla poskytována nebo byla poskytována v menším rozsahu nebo nižší kvalitě, než uvádí smlouva nebo Provozní podmínky. Toto právo účastník ztrácí v případě, že k uvedenému důsledku došlo byť i částečně z viny uživatele nebo zásahem vyšší moci. V případě částečného zavinění uživatelem smluvní strany dohodnou přiměřené snížení částky k vrácení. Vrácení částky se provede odečtem z částky poplatků za službu účtované v příslušném nebo následujícím zúčtovacím období.</w:t>
      </w:r>
    </w:p>
    <w:p>
      <w:pPr>
        <w:pStyle w:val="Heading3"/>
        <w:numPr>
          <w:ilvl w:val="0"/>
          <w:numId w:val="1"/>
        </w:numPr>
        <w:tabs>
          <w:tab w:pos="688" w:val="left" w:leader="none"/>
          <w:tab w:pos="689" w:val="left" w:leader="none"/>
        </w:tabs>
        <w:spacing w:line="240" w:lineRule="auto" w:before="64" w:after="0"/>
        <w:ind w:left="688" w:right="0" w:hanging="397"/>
        <w:jc w:val="left"/>
      </w:pPr>
      <w:r>
        <w:rPr/>
        <w:t>Vznik, změna a ukončení</w:t>
      </w:r>
      <w:r>
        <w:rPr>
          <w:spacing w:val="-17"/>
        </w:rPr>
        <w:t> </w:t>
      </w:r>
      <w:r>
        <w:rPr/>
        <w:t>smlouvy</w:t>
      </w:r>
    </w:p>
    <w:p>
      <w:pPr>
        <w:pStyle w:val="ListParagraph"/>
        <w:numPr>
          <w:ilvl w:val="1"/>
          <w:numId w:val="1"/>
        </w:numPr>
        <w:tabs>
          <w:tab w:pos="689" w:val="left" w:leader="none"/>
        </w:tabs>
        <w:spacing w:line="249" w:lineRule="auto" w:before="4" w:after="0"/>
        <w:ind w:left="688" w:right="1" w:hanging="397"/>
        <w:jc w:val="both"/>
        <w:rPr>
          <w:sz w:val="15"/>
        </w:rPr>
      </w:pPr>
      <w:r>
        <w:rPr>
          <w:sz w:val="15"/>
        </w:rPr>
        <w:t>Smlouva se uzavírá na dobu neurčitou nebo na dobu určitou. Doba trvání smlouvy je uvedena v provozních podmínkách jednotlivých služeb, případně ve smlouvě nebo jejím</w:t>
      </w:r>
      <w:r>
        <w:rPr>
          <w:spacing w:val="-19"/>
          <w:sz w:val="15"/>
        </w:rPr>
        <w:t> </w:t>
      </w:r>
      <w:r>
        <w:rPr>
          <w:sz w:val="15"/>
        </w:rPr>
        <w:t>dodatku.</w:t>
      </w:r>
    </w:p>
    <w:p>
      <w:pPr>
        <w:pStyle w:val="ListParagraph"/>
        <w:numPr>
          <w:ilvl w:val="1"/>
          <w:numId w:val="1"/>
        </w:numPr>
        <w:tabs>
          <w:tab w:pos="689" w:val="left" w:leader="none"/>
        </w:tabs>
        <w:spacing w:line="249" w:lineRule="auto" w:before="2" w:after="0"/>
        <w:ind w:left="688" w:right="0" w:hanging="397"/>
        <w:jc w:val="both"/>
        <w:rPr>
          <w:sz w:val="15"/>
        </w:rPr>
      </w:pPr>
      <w:r>
        <w:rPr>
          <w:sz w:val="15"/>
        </w:rPr>
        <w:t>Při změně smlouvy na žádost účastníka před zřízením služby, např. při změně umístění lokality uživatele, a to z důvodů, které nenastaly na straně poskytovatele, je účastník povinen poskytovateli nahradit vynaložené</w:t>
      </w:r>
      <w:r>
        <w:rPr>
          <w:spacing w:val="-4"/>
          <w:sz w:val="15"/>
        </w:rPr>
        <w:t> </w:t>
      </w:r>
      <w:r>
        <w:rPr>
          <w:sz w:val="15"/>
        </w:rPr>
        <w:t>výdaje</w:t>
      </w:r>
      <w:r>
        <w:rPr>
          <w:spacing w:val="-4"/>
          <w:sz w:val="15"/>
        </w:rPr>
        <w:t> </w:t>
      </w:r>
      <w:r>
        <w:rPr>
          <w:sz w:val="15"/>
        </w:rPr>
        <w:t>připadající</w:t>
      </w:r>
      <w:r>
        <w:rPr>
          <w:spacing w:val="-4"/>
          <w:sz w:val="15"/>
        </w:rPr>
        <w:t> </w:t>
      </w:r>
      <w:r>
        <w:rPr>
          <w:sz w:val="15"/>
        </w:rPr>
        <w:t>na</w:t>
      </w:r>
      <w:r>
        <w:rPr>
          <w:spacing w:val="-4"/>
          <w:sz w:val="15"/>
        </w:rPr>
        <w:t> </w:t>
      </w:r>
      <w:r>
        <w:rPr>
          <w:sz w:val="15"/>
        </w:rPr>
        <w:t>již</w:t>
      </w:r>
      <w:r>
        <w:rPr>
          <w:spacing w:val="-4"/>
          <w:sz w:val="15"/>
        </w:rPr>
        <w:t> </w:t>
      </w:r>
      <w:r>
        <w:rPr>
          <w:sz w:val="15"/>
        </w:rPr>
        <w:t>provedené</w:t>
      </w:r>
      <w:r>
        <w:rPr>
          <w:spacing w:val="-4"/>
          <w:sz w:val="15"/>
        </w:rPr>
        <w:t> </w:t>
      </w:r>
      <w:r>
        <w:rPr>
          <w:sz w:val="15"/>
        </w:rPr>
        <w:t>práce</w:t>
      </w:r>
      <w:r>
        <w:rPr>
          <w:spacing w:val="-4"/>
          <w:sz w:val="15"/>
        </w:rPr>
        <w:t> </w:t>
      </w:r>
      <w:r>
        <w:rPr>
          <w:sz w:val="15"/>
        </w:rPr>
        <w:t>a</w:t>
      </w:r>
      <w:r>
        <w:rPr>
          <w:spacing w:val="-4"/>
          <w:sz w:val="15"/>
        </w:rPr>
        <w:t> </w:t>
      </w:r>
      <w:r>
        <w:rPr>
          <w:sz w:val="15"/>
        </w:rPr>
        <w:t>jejich</w:t>
      </w:r>
      <w:r>
        <w:rPr>
          <w:spacing w:val="-4"/>
          <w:sz w:val="15"/>
        </w:rPr>
        <w:t> </w:t>
      </w:r>
      <w:r>
        <w:rPr>
          <w:sz w:val="15"/>
        </w:rPr>
        <w:t>přípravu.</w:t>
      </w:r>
    </w:p>
    <w:p>
      <w:pPr>
        <w:pStyle w:val="ListParagraph"/>
        <w:numPr>
          <w:ilvl w:val="1"/>
          <w:numId w:val="1"/>
        </w:numPr>
        <w:tabs>
          <w:tab w:pos="689" w:val="left" w:leader="none"/>
        </w:tabs>
        <w:spacing w:line="249" w:lineRule="auto" w:before="2" w:after="0"/>
        <w:ind w:left="688" w:right="0" w:hanging="397"/>
        <w:jc w:val="both"/>
        <w:rPr>
          <w:sz w:val="15"/>
        </w:rPr>
      </w:pPr>
      <w:r>
        <w:rPr>
          <w:sz w:val="15"/>
        </w:rPr>
        <w:t>Smlouva nebo část smlouvy zahrnující některé služby  může  být ukončena dohodou, výpovědí, výpovědí s přenesením, odstoupením, smrtí nebo zánikem smluvní strany bez právního nástupce, uplynutím doby, na kterou byla</w:t>
      </w:r>
      <w:r>
        <w:rPr>
          <w:spacing w:val="-16"/>
          <w:sz w:val="15"/>
        </w:rPr>
        <w:t> </w:t>
      </w:r>
      <w:r>
        <w:rPr>
          <w:sz w:val="15"/>
        </w:rPr>
        <w:t>sjednána.</w:t>
      </w:r>
    </w:p>
    <w:p>
      <w:pPr>
        <w:pStyle w:val="ListParagraph"/>
        <w:numPr>
          <w:ilvl w:val="1"/>
          <w:numId w:val="1"/>
        </w:numPr>
        <w:tabs>
          <w:tab w:pos="689" w:val="left" w:leader="none"/>
        </w:tabs>
        <w:spacing w:line="252" w:lineRule="auto" w:before="2" w:after="0"/>
        <w:ind w:left="688" w:right="0" w:hanging="397"/>
        <w:jc w:val="both"/>
        <w:rPr>
          <w:sz w:val="15"/>
        </w:rPr>
      </w:pPr>
      <w:r>
        <w:rPr>
          <w:sz w:val="15"/>
        </w:rPr>
        <w:t>Účastník je oprávněn vypovědět smlouvu uzavřenou na dobu neurčitou    s výpovědní dobou v délce 30 dnů, která začíná běžet dnem následujícím po doručení písemné výpovědi poskytovateli, není-li ve smlouvě stanoveno</w:t>
      </w:r>
      <w:r>
        <w:rPr>
          <w:spacing w:val="-9"/>
          <w:sz w:val="15"/>
        </w:rPr>
        <w:t> </w:t>
      </w:r>
      <w:r>
        <w:rPr>
          <w:sz w:val="15"/>
        </w:rPr>
        <w:t>jinak.</w:t>
      </w:r>
    </w:p>
    <w:p>
      <w:pPr>
        <w:pStyle w:val="ListParagraph"/>
        <w:numPr>
          <w:ilvl w:val="1"/>
          <w:numId w:val="1"/>
        </w:numPr>
        <w:tabs>
          <w:tab w:pos="689" w:val="left" w:leader="none"/>
        </w:tabs>
        <w:spacing w:line="252" w:lineRule="auto" w:before="0" w:after="0"/>
        <w:ind w:left="688" w:right="0" w:hanging="397"/>
        <w:jc w:val="both"/>
        <w:rPr>
          <w:sz w:val="15"/>
        </w:rPr>
      </w:pPr>
      <w:r>
        <w:rPr>
          <w:sz w:val="15"/>
        </w:rPr>
        <w:t>Účastník je oprávněn vypovědět jakoukoliv smlouvu s výpovědní dobou v délce 24 hodin až 30 dnů, podle volby účastníka, která začíná běžet dnem  následujícím   po   doručení   písemné   výpovědi   poskytovateli   z</w:t>
      </w:r>
      <w:r>
        <w:rPr>
          <w:spacing w:val="-5"/>
          <w:sz w:val="15"/>
        </w:rPr>
        <w:t> </w:t>
      </w:r>
      <w:r>
        <w:rPr>
          <w:sz w:val="15"/>
        </w:rPr>
        <w:t>důvodu:</w:t>
      </w:r>
    </w:p>
    <w:p>
      <w:pPr>
        <w:pStyle w:val="ListParagraph"/>
        <w:numPr>
          <w:ilvl w:val="2"/>
          <w:numId w:val="1"/>
        </w:numPr>
        <w:tabs>
          <w:tab w:pos="859" w:val="left" w:leader="none"/>
        </w:tabs>
        <w:spacing w:line="254" w:lineRule="auto" w:before="0" w:after="0"/>
        <w:ind w:left="858" w:right="1" w:hanging="170"/>
        <w:jc w:val="both"/>
        <w:rPr>
          <w:sz w:val="15"/>
        </w:rPr>
      </w:pPr>
      <w:r>
        <w:rPr>
          <w:sz w:val="15"/>
        </w:rPr>
        <w:t>poskytovatel nezřídil požadovanou službu ani do 10 kalendářních dnů po uplynutí lhůty uvedené pro zřízení dané</w:t>
      </w:r>
      <w:r>
        <w:rPr>
          <w:spacing w:val="-25"/>
          <w:sz w:val="15"/>
        </w:rPr>
        <w:t> </w:t>
      </w:r>
      <w:r>
        <w:rPr>
          <w:sz w:val="15"/>
        </w:rPr>
        <w:t>služby;</w:t>
      </w:r>
    </w:p>
    <w:p>
      <w:pPr>
        <w:pStyle w:val="ListParagraph"/>
        <w:numPr>
          <w:ilvl w:val="2"/>
          <w:numId w:val="1"/>
        </w:numPr>
        <w:tabs>
          <w:tab w:pos="859" w:val="left" w:leader="none"/>
        </w:tabs>
        <w:spacing w:line="249" w:lineRule="auto" w:before="0" w:after="0"/>
        <w:ind w:left="858" w:right="0" w:hanging="170"/>
        <w:jc w:val="both"/>
        <w:rPr>
          <w:sz w:val="15"/>
        </w:rPr>
      </w:pPr>
      <w:r>
        <w:rPr>
          <w:sz w:val="15"/>
        </w:rPr>
        <w:t>poskytovatel neprovedl požadovanou změnu služby ani do 10 kalendářních dnů po uplynutí lhůty uvedené pro provedení změny dané služby;</w:t>
      </w:r>
    </w:p>
    <w:p>
      <w:pPr>
        <w:pStyle w:val="ListParagraph"/>
        <w:numPr>
          <w:ilvl w:val="2"/>
          <w:numId w:val="1"/>
        </w:numPr>
        <w:tabs>
          <w:tab w:pos="859" w:val="left" w:leader="none"/>
        </w:tabs>
        <w:spacing w:line="247" w:lineRule="auto" w:before="8" w:after="0"/>
        <w:ind w:left="858" w:right="1" w:hanging="170"/>
        <w:jc w:val="both"/>
        <w:rPr>
          <w:sz w:val="15"/>
        </w:rPr>
      </w:pPr>
      <w:r>
        <w:rPr>
          <w:sz w:val="15"/>
        </w:rPr>
        <w:t>poskytovatel opakovaně zavinil závažné poškození nebo odcizení zařízení</w:t>
      </w:r>
      <w:r>
        <w:rPr>
          <w:spacing w:val="-10"/>
          <w:sz w:val="15"/>
        </w:rPr>
        <w:t> </w:t>
      </w:r>
      <w:r>
        <w:rPr>
          <w:sz w:val="15"/>
        </w:rPr>
        <w:t>účastníka.</w:t>
      </w:r>
    </w:p>
    <w:p>
      <w:pPr>
        <w:pStyle w:val="ListParagraph"/>
        <w:numPr>
          <w:ilvl w:val="1"/>
          <w:numId w:val="1"/>
        </w:numPr>
        <w:tabs>
          <w:tab w:pos="689" w:val="left" w:leader="none"/>
        </w:tabs>
        <w:spacing w:line="247" w:lineRule="auto" w:before="4" w:after="0"/>
        <w:ind w:left="688" w:right="0" w:hanging="397"/>
        <w:jc w:val="both"/>
        <w:rPr>
          <w:sz w:val="15"/>
        </w:rPr>
      </w:pPr>
      <w:r>
        <w:rPr>
          <w:sz w:val="15"/>
        </w:rPr>
        <w:t>Poskytovatel je oprávněn vypovědět jakoukoliv smlouvu s výpovědní dobou:</w:t>
      </w:r>
    </w:p>
    <w:p>
      <w:pPr>
        <w:pStyle w:val="ListParagraph"/>
        <w:numPr>
          <w:ilvl w:val="2"/>
          <w:numId w:val="1"/>
        </w:numPr>
        <w:tabs>
          <w:tab w:pos="859" w:val="left" w:leader="none"/>
        </w:tabs>
        <w:spacing w:line="247" w:lineRule="auto" w:before="4" w:after="0"/>
        <w:ind w:left="858" w:right="0" w:hanging="170"/>
        <w:jc w:val="both"/>
        <w:rPr>
          <w:sz w:val="15"/>
        </w:rPr>
      </w:pPr>
      <w:r>
        <w:rPr>
          <w:sz w:val="15"/>
        </w:rPr>
        <w:t>v délce 30 dnů, která začíná běžet dnem následujícím po doručení písemné</w:t>
      </w:r>
      <w:r>
        <w:rPr>
          <w:spacing w:val="-5"/>
          <w:sz w:val="15"/>
        </w:rPr>
        <w:t> </w:t>
      </w:r>
      <w:r>
        <w:rPr>
          <w:sz w:val="15"/>
        </w:rPr>
        <w:t>výpovědi</w:t>
      </w:r>
      <w:r>
        <w:rPr>
          <w:spacing w:val="-5"/>
          <w:sz w:val="15"/>
        </w:rPr>
        <w:t> </w:t>
      </w:r>
      <w:r>
        <w:rPr>
          <w:sz w:val="15"/>
        </w:rPr>
        <w:t>účastníkovi,</w:t>
      </w:r>
      <w:r>
        <w:rPr>
          <w:spacing w:val="-5"/>
          <w:sz w:val="15"/>
        </w:rPr>
        <w:t> </w:t>
      </w:r>
      <w:r>
        <w:rPr>
          <w:sz w:val="15"/>
        </w:rPr>
        <w:t>není-li</w:t>
      </w:r>
      <w:r>
        <w:rPr>
          <w:spacing w:val="-5"/>
          <w:sz w:val="15"/>
        </w:rPr>
        <w:t> </w:t>
      </w:r>
      <w:r>
        <w:rPr>
          <w:sz w:val="15"/>
        </w:rPr>
        <w:t>ve</w:t>
      </w:r>
      <w:r>
        <w:rPr>
          <w:spacing w:val="-5"/>
          <w:sz w:val="15"/>
        </w:rPr>
        <w:t> </w:t>
      </w:r>
      <w:r>
        <w:rPr>
          <w:sz w:val="15"/>
        </w:rPr>
        <w:t>smlouvě</w:t>
      </w:r>
      <w:r>
        <w:rPr>
          <w:spacing w:val="-5"/>
          <w:sz w:val="15"/>
        </w:rPr>
        <w:t> </w:t>
      </w:r>
      <w:r>
        <w:rPr>
          <w:sz w:val="15"/>
        </w:rPr>
        <w:t>stanoveno</w:t>
      </w:r>
      <w:r>
        <w:rPr>
          <w:spacing w:val="-5"/>
          <w:sz w:val="15"/>
        </w:rPr>
        <w:t> </w:t>
      </w:r>
      <w:r>
        <w:rPr>
          <w:sz w:val="15"/>
        </w:rPr>
        <w:t>jinak;</w:t>
      </w:r>
    </w:p>
    <w:p>
      <w:pPr>
        <w:pStyle w:val="ListParagraph"/>
        <w:numPr>
          <w:ilvl w:val="2"/>
          <w:numId w:val="1"/>
        </w:numPr>
        <w:tabs>
          <w:tab w:pos="859" w:val="left" w:leader="none"/>
        </w:tabs>
        <w:spacing w:line="249" w:lineRule="auto" w:before="4" w:after="0"/>
        <w:ind w:left="858" w:right="0" w:hanging="170"/>
        <w:jc w:val="both"/>
        <w:rPr>
          <w:sz w:val="15"/>
        </w:rPr>
      </w:pPr>
      <w:r>
        <w:rPr>
          <w:sz w:val="15"/>
        </w:rPr>
        <w:t>v délce 24 hodin až 30 dnů, podle volby poskytovatele, která začíná běžet dnem následujícím po doručení písemné výpovědi účastníkovi   z</w:t>
      </w:r>
      <w:r>
        <w:rPr>
          <w:spacing w:val="-5"/>
          <w:sz w:val="15"/>
        </w:rPr>
        <w:t> </w:t>
      </w:r>
      <w:r>
        <w:rPr>
          <w:sz w:val="15"/>
        </w:rPr>
        <w:t>důvodu:</w:t>
      </w:r>
    </w:p>
    <w:p>
      <w:pPr>
        <w:pStyle w:val="ListParagraph"/>
        <w:numPr>
          <w:ilvl w:val="3"/>
          <w:numId w:val="1"/>
        </w:numPr>
        <w:tabs>
          <w:tab w:pos="1143" w:val="left" w:leader="none"/>
        </w:tabs>
        <w:spacing w:line="252" w:lineRule="auto" w:before="0" w:after="0"/>
        <w:ind w:left="1142" w:right="0" w:hanging="284"/>
        <w:jc w:val="both"/>
        <w:rPr>
          <w:sz w:val="15"/>
        </w:rPr>
      </w:pPr>
      <w:r>
        <w:rPr>
          <w:sz w:val="15"/>
        </w:rPr>
        <w:t>účastník přes upozornění poskytovatele soustavně opožděně platil nebo soustavně neplatil cenu za poskytnuté služby; Soustavným opožděným placením se rozumí zaplacení nejméně 2 po sobě jdoucích vyúčtování za službu/y po lhůtě splatnosti. Soustavným neplacením se rozumí existence 3 nezaplacených vyúčtování za službu/y.</w:t>
      </w:r>
    </w:p>
    <w:p>
      <w:pPr>
        <w:pStyle w:val="ListParagraph"/>
        <w:numPr>
          <w:ilvl w:val="3"/>
          <w:numId w:val="1"/>
        </w:numPr>
        <w:tabs>
          <w:tab w:pos="1143" w:val="left" w:leader="none"/>
        </w:tabs>
        <w:spacing w:line="247" w:lineRule="auto" w:before="3" w:after="0"/>
        <w:ind w:left="1142" w:right="0" w:hanging="284"/>
        <w:jc w:val="both"/>
        <w:rPr>
          <w:sz w:val="15"/>
        </w:rPr>
      </w:pPr>
      <w:r>
        <w:rPr>
          <w:sz w:val="15"/>
        </w:rPr>
        <w:t>účastník nebo uživatel opakovaně zavinil závažné poškození nebo odcizení zařízení</w:t>
      </w:r>
      <w:r>
        <w:rPr>
          <w:spacing w:val="-17"/>
          <w:sz w:val="15"/>
        </w:rPr>
        <w:t> </w:t>
      </w:r>
      <w:r>
        <w:rPr>
          <w:sz w:val="15"/>
        </w:rPr>
        <w:t>poskytovatele;</w:t>
      </w:r>
    </w:p>
    <w:p>
      <w:pPr>
        <w:pStyle w:val="ListParagraph"/>
        <w:numPr>
          <w:ilvl w:val="3"/>
          <w:numId w:val="1"/>
        </w:numPr>
        <w:tabs>
          <w:tab w:pos="1143" w:val="left" w:leader="none"/>
        </w:tabs>
        <w:spacing w:line="249" w:lineRule="auto" w:before="0" w:after="0"/>
        <w:ind w:left="1142" w:right="1" w:hanging="284"/>
        <w:jc w:val="both"/>
        <w:rPr>
          <w:sz w:val="15"/>
        </w:rPr>
      </w:pPr>
      <w:r>
        <w:rPr>
          <w:sz w:val="15"/>
        </w:rPr>
        <w:t>účastník nebo uživatel opakovaně a přes upozornění používá poskytovanou službu elektronických komunikací nebo zařízení poskytovatele v rozporu  se  smlouvou  nebo  se  zákony platnými v</w:t>
      </w:r>
      <w:r>
        <w:rPr>
          <w:spacing w:val="-3"/>
          <w:sz w:val="15"/>
        </w:rPr>
        <w:t> </w:t>
      </w:r>
      <w:r>
        <w:rPr>
          <w:sz w:val="15"/>
        </w:rPr>
        <w:t>ČR;</w:t>
      </w:r>
    </w:p>
    <w:p>
      <w:pPr>
        <w:pStyle w:val="ListParagraph"/>
        <w:numPr>
          <w:ilvl w:val="3"/>
          <w:numId w:val="1"/>
        </w:numPr>
        <w:tabs>
          <w:tab w:pos="1143" w:val="left" w:leader="none"/>
        </w:tabs>
        <w:spacing w:line="247" w:lineRule="auto" w:before="0" w:after="0"/>
        <w:ind w:left="1142" w:right="1" w:hanging="284"/>
        <w:jc w:val="both"/>
        <w:rPr>
          <w:sz w:val="15"/>
        </w:rPr>
      </w:pPr>
      <w:r>
        <w:rPr>
          <w:sz w:val="15"/>
        </w:rPr>
        <w:t>dojde k pravomocnému prohlášení konkursu na majetek účastníka nebo je proti účastníkovi vedeno insolvenční</w:t>
      </w:r>
      <w:r>
        <w:rPr>
          <w:spacing w:val="-26"/>
          <w:sz w:val="15"/>
        </w:rPr>
        <w:t> </w:t>
      </w:r>
      <w:r>
        <w:rPr>
          <w:sz w:val="15"/>
        </w:rPr>
        <w:t>řízení;</w:t>
      </w:r>
    </w:p>
    <w:p>
      <w:pPr>
        <w:pStyle w:val="ListParagraph"/>
        <w:numPr>
          <w:ilvl w:val="3"/>
          <w:numId w:val="1"/>
        </w:numPr>
        <w:tabs>
          <w:tab w:pos="1143" w:val="left" w:leader="none"/>
        </w:tabs>
        <w:spacing w:line="240" w:lineRule="auto" w:before="2" w:after="0"/>
        <w:ind w:left="1142" w:right="0" w:hanging="284"/>
        <w:jc w:val="left"/>
        <w:rPr>
          <w:sz w:val="15"/>
        </w:rPr>
      </w:pPr>
      <w:r>
        <w:rPr>
          <w:sz w:val="15"/>
        </w:rPr>
        <w:t>vůči účastníkovi je nařízena</w:t>
      </w:r>
      <w:r>
        <w:rPr>
          <w:spacing w:val="-19"/>
          <w:sz w:val="15"/>
        </w:rPr>
        <w:t> </w:t>
      </w:r>
      <w:r>
        <w:rPr>
          <w:sz w:val="15"/>
        </w:rPr>
        <w:t>exekuce.</w:t>
      </w:r>
    </w:p>
    <w:p>
      <w:pPr>
        <w:pStyle w:val="BodyText"/>
        <w:spacing w:line="254" w:lineRule="auto" w:before="5"/>
        <w:ind w:left="717" w:firstLine="0"/>
        <w:jc w:val="left"/>
      </w:pPr>
      <w:r>
        <w:rPr/>
        <w:t>Pro případ výpovědi dle odstavce 12.6 VP se za den doručení písemné výpovědi považuje desátý den po jejím odeslání poskytovatelem.</w:t>
      </w:r>
    </w:p>
    <w:p>
      <w:pPr>
        <w:pStyle w:val="ListParagraph"/>
        <w:numPr>
          <w:ilvl w:val="1"/>
          <w:numId w:val="1"/>
        </w:numPr>
        <w:tabs>
          <w:tab w:pos="689" w:val="left" w:leader="none"/>
        </w:tabs>
        <w:spacing w:line="249" w:lineRule="auto" w:before="0" w:after="0"/>
        <w:ind w:left="688" w:right="1" w:hanging="397"/>
        <w:jc w:val="both"/>
        <w:rPr>
          <w:sz w:val="15"/>
        </w:rPr>
      </w:pPr>
      <w:r>
        <w:rPr>
          <w:sz w:val="15"/>
        </w:rPr>
        <w:t>V případě ukončení smlouvy nebo některé služby dříve, než uplyne minimální doba užívání některé služby, ať již výpovědí nebo dohodou smluvních stran, má poskytovatel právo účtovat účastníkovi, který není spotřebitelem nebo podnikající fyzickou osobou, jednorázový poplatek rovný   součtu   měsíčních   poplatků   (paušálů)   zbývajících   do  </w:t>
      </w:r>
      <w:r>
        <w:rPr>
          <w:spacing w:val="5"/>
          <w:sz w:val="15"/>
        </w:rPr>
        <w:t> </w:t>
      </w:r>
      <w:r>
        <w:rPr>
          <w:sz w:val="15"/>
        </w:rPr>
        <w:t>konce</w:t>
      </w:r>
    </w:p>
    <w:p>
      <w:pPr>
        <w:pStyle w:val="BodyText"/>
        <w:spacing w:line="249" w:lineRule="auto" w:before="74"/>
        <w:ind w:left="632" w:right="113" w:firstLine="0"/>
      </w:pPr>
      <w:r>
        <w:rPr/>
        <w:br w:type="column"/>
      </w:r>
      <w:r>
        <w:rPr/>
        <w:t>sjednané minimální doby užívání služby nebo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poskytnuto za zvýhodněných podmínek. V případě ukončení smlouvy, uzavřené na dobu určitou, před uplynutím doby trvání, na kterou je smlouva uzavřena, ať již výpovědí nebo dohodou smluvních stran, má poskytovatel právo účtovat účastníkovi, který není spotřebitelem nebo podnikající fyzickou osobou, jednorázový poplatek rovný součtu měsíčních poplatků (paušálů) zbývajících do konce sjednané doby trvání smlouvy nebo součtu minimálních sjednaných měsíčních plnění zbývajících do konce sjednané doby trvání smlouvy, a to ode dne následujícího po dni, v němž došlo k ukončení smlouvy, do konce sjednané  doby  trvání  smlouvy,  a  dále     úhradu  nákladů  spojených    s telekomunikačním koncovým zařízením, které bylo účastníkovi poskytnuto za zvýhodněných</w:t>
      </w:r>
      <w:r>
        <w:rPr>
          <w:spacing w:val="-20"/>
        </w:rPr>
        <w:t> </w:t>
      </w:r>
      <w:r>
        <w:rPr/>
        <w:t>podmínek.</w:t>
      </w:r>
    </w:p>
    <w:p>
      <w:pPr>
        <w:pStyle w:val="ListParagraph"/>
        <w:numPr>
          <w:ilvl w:val="1"/>
          <w:numId w:val="1"/>
        </w:numPr>
        <w:tabs>
          <w:tab w:pos="633" w:val="left" w:leader="none"/>
        </w:tabs>
        <w:spacing w:line="249" w:lineRule="auto" w:before="0" w:after="0"/>
        <w:ind w:left="632" w:right="112" w:hanging="397"/>
        <w:jc w:val="both"/>
        <w:rPr>
          <w:sz w:val="15"/>
        </w:rPr>
      </w:pPr>
      <w:r>
        <w:rPr>
          <w:sz w:val="15"/>
        </w:rPr>
        <w:t>V případě ukončení smlouvy nebo některé služby dříve, než uplyne minimální doba užívání některé služby, a zároveň do tří měsíců od uzavření smlouvy, ať již výpovědí nebo dohodou smluvních stran, má poskytovatel právo účtovat účastníkovi, který je podnikající fyzickou osobou, jednorázový poplatek rovný jedné dvacetině součtu měsíčních poplatků (paušálů) zbývajících do konce sjednané minimální doby užívání služby nebo jedné dvacetině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nelze určit výši úhrady z ceníkové ceny. V případě ukončení smlouvy, uzavřené na dobu určitou, před uplynutím doby trvání, na kterou je smlouva uzavřena a zároveň do tří měsíců od uzavření smlouvy, ať již výpovědí nebo dohodou smluvních stran, má poskytovatel právo účtovat účastníkovi, který je podnikající fyzickou osobou, jednorázový poplatek rovný jedné dvacetině součtu měsíčních poplatků (paušálů) zbývajících do konce sjednané doby trvání smlouvy nebo jedné dvacetině součtu minimálních sjednaných měsíčních plnění zbývajících do konce sjednané doby trvání smlouvy, a to ode dne následujícího po dni, v němž došlo k ukončení smlouvy, do konce sjednané doby trvání smlouvy, a dále úhradu nákladů spojených s telekomunikačním koncovým zařízením, které bylo účastníkovi  poskytnuto za zvýhodněných podmínek, přičemž výše úhrady se počítá z částky placené v průběhu trvání smlouvy, a pokud je poskytována sleva oproti</w:t>
      </w:r>
      <w:r>
        <w:rPr>
          <w:spacing w:val="-4"/>
          <w:sz w:val="15"/>
        </w:rPr>
        <w:t> </w:t>
      </w:r>
      <w:r>
        <w:rPr>
          <w:sz w:val="15"/>
        </w:rPr>
        <w:t>ceníkové</w:t>
      </w:r>
      <w:r>
        <w:rPr>
          <w:spacing w:val="-4"/>
          <w:sz w:val="15"/>
        </w:rPr>
        <w:t> </w:t>
      </w:r>
      <w:r>
        <w:rPr>
          <w:sz w:val="15"/>
        </w:rPr>
        <w:t>ceně,</w:t>
      </w:r>
      <w:r>
        <w:rPr>
          <w:spacing w:val="-4"/>
          <w:sz w:val="15"/>
        </w:rPr>
        <w:t> </w:t>
      </w:r>
      <w:r>
        <w:rPr>
          <w:sz w:val="15"/>
        </w:rPr>
        <w:t>nelze</w:t>
      </w:r>
      <w:r>
        <w:rPr>
          <w:spacing w:val="-4"/>
          <w:sz w:val="15"/>
        </w:rPr>
        <w:t> </w:t>
      </w:r>
      <w:r>
        <w:rPr>
          <w:sz w:val="15"/>
        </w:rPr>
        <w:t>určit</w:t>
      </w:r>
      <w:r>
        <w:rPr>
          <w:spacing w:val="-4"/>
          <w:sz w:val="15"/>
        </w:rPr>
        <w:t> </w:t>
      </w:r>
      <w:r>
        <w:rPr>
          <w:sz w:val="15"/>
        </w:rPr>
        <w:t>výši</w:t>
      </w:r>
      <w:r>
        <w:rPr>
          <w:spacing w:val="-4"/>
          <w:sz w:val="15"/>
        </w:rPr>
        <w:t> </w:t>
      </w:r>
      <w:r>
        <w:rPr>
          <w:sz w:val="15"/>
        </w:rPr>
        <w:t>úhrady</w:t>
      </w:r>
      <w:r>
        <w:rPr>
          <w:spacing w:val="-4"/>
          <w:sz w:val="15"/>
        </w:rPr>
        <w:t> </w:t>
      </w:r>
      <w:r>
        <w:rPr>
          <w:sz w:val="15"/>
        </w:rPr>
        <w:t>z</w:t>
      </w:r>
      <w:r>
        <w:rPr>
          <w:spacing w:val="-4"/>
          <w:sz w:val="15"/>
        </w:rPr>
        <w:t> </w:t>
      </w:r>
      <w:r>
        <w:rPr>
          <w:sz w:val="15"/>
        </w:rPr>
        <w:t>ceníkové</w:t>
      </w:r>
      <w:r>
        <w:rPr>
          <w:spacing w:val="-4"/>
          <w:sz w:val="15"/>
        </w:rPr>
        <w:t> </w:t>
      </w:r>
      <w:r>
        <w:rPr>
          <w:sz w:val="15"/>
        </w:rPr>
        <w:t>ceny.</w:t>
      </w:r>
    </w:p>
    <w:p>
      <w:pPr>
        <w:pStyle w:val="ListParagraph"/>
        <w:numPr>
          <w:ilvl w:val="1"/>
          <w:numId w:val="1"/>
        </w:numPr>
        <w:tabs>
          <w:tab w:pos="633" w:val="left" w:leader="none"/>
        </w:tabs>
        <w:spacing w:line="249" w:lineRule="auto" w:before="5" w:after="0"/>
        <w:ind w:left="632" w:right="114" w:hanging="397"/>
        <w:jc w:val="both"/>
        <w:rPr>
          <w:sz w:val="15"/>
        </w:rPr>
      </w:pPr>
      <w:r>
        <w:rPr>
          <w:sz w:val="15"/>
        </w:rPr>
        <w:t>Při ukončení smlouvy nebo její části výpovědí podanou účastníkem před zřízením služby nebo provedením změny služby, a to nikoli dle odst. 12.5 VP, je účastník povinen poskytovateli nahradit vynaložené výdaje připadající na již provedené práce a jejich</w:t>
      </w:r>
      <w:r>
        <w:rPr>
          <w:spacing w:val="-25"/>
          <w:sz w:val="15"/>
        </w:rPr>
        <w:t> </w:t>
      </w:r>
      <w:r>
        <w:rPr>
          <w:sz w:val="15"/>
        </w:rPr>
        <w:t>přípravu.</w:t>
      </w:r>
    </w:p>
    <w:p>
      <w:pPr>
        <w:pStyle w:val="ListParagraph"/>
        <w:numPr>
          <w:ilvl w:val="1"/>
          <w:numId w:val="1"/>
        </w:numPr>
        <w:tabs>
          <w:tab w:pos="633" w:val="left" w:leader="none"/>
        </w:tabs>
        <w:spacing w:line="249" w:lineRule="auto" w:before="2" w:after="0"/>
        <w:ind w:left="632" w:right="114" w:hanging="397"/>
        <w:jc w:val="both"/>
        <w:rPr>
          <w:sz w:val="15"/>
        </w:rPr>
      </w:pPr>
      <w:r>
        <w:rPr>
          <w:sz w:val="15"/>
        </w:rPr>
        <w:t>Při ukončení smlouvy je účastník povinen bez zbytečného odkladu, nejpozději však do 14 dnů od ukončení smlouvy, vrátit poskytovateli vše, co je vlastnictvím poskytovatele. Věci nevrácené v uvedeném termínu budou poskytovatelem účastníkovi</w:t>
      </w:r>
      <w:r>
        <w:rPr>
          <w:spacing w:val="-24"/>
          <w:sz w:val="15"/>
        </w:rPr>
        <w:t> </w:t>
      </w:r>
      <w:r>
        <w:rPr>
          <w:sz w:val="15"/>
        </w:rPr>
        <w:t>vyfakturovány.</w:t>
      </w:r>
    </w:p>
    <w:p>
      <w:pPr>
        <w:pStyle w:val="Heading3"/>
        <w:numPr>
          <w:ilvl w:val="0"/>
          <w:numId w:val="1"/>
        </w:numPr>
        <w:tabs>
          <w:tab w:pos="632" w:val="left" w:leader="none"/>
          <w:tab w:pos="633" w:val="left" w:leader="none"/>
        </w:tabs>
        <w:spacing w:line="240" w:lineRule="auto" w:before="60" w:after="0"/>
        <w:ind w:left="632" w:right="0" w:hanging="397"/>
        <w:jc w:val="left"/>
      </w:pPr>
      <w:r>
        <w:rPr/>
        <w:t>Reklamace</w:t>
      </w:r>
    </w:p>
    <w:p>
      <w:pPr>
        <w:pStyle w:val="ListParagraph"/>
        <w:numPr>
          <w:ilvl w:val="1"/>
          <w:numId w:val="1"/>
        </w:numPr>
        <w:tabs>
          <w:tab w:pos="633" w:val="left" w:leader="none"/>
        </w:tabs>
        <w:spacing w:line="249" w:lineRule="auto" w:before="10" w:after="0"/>
        <w:ind w:left="632" w:right="114" w:hanging="397"/>
        <w:jc w:val="both"/>
        <w:rPr>
          <w:sz w:val="15"/>
        </w:rPr>
      </w:pPr>
      <w:r>
        <w:rPr>
          <w:sz w:val="15"/>
        </w:rPr>
        <w:t>Pokud účastník dojde k názoru, že poskytovatel nepostupuje podle smlouvy a nedostatek nelze odstranit přímou dohodou, uplatní u poskytovatele reklamaci některé z těchto</w:t>
      </w:r>
      <w:r>
        <w:rPr>
          <w:spacing w:val="-26"/>
          <w:sz w:val="15"/>
        </w:rPr>
        <w:t> </w:t>
      </w:r>
      <w:r>
        <w:rPr>
          <w:sz w:val="15"/>
        </w:rPr>
        <w:t>skutečností:</w:t>
      </w:r>
    </w:p>
    <w:p>
      <w:pPr>
        <w:pStyle w:val="ListParagraph"/>
        <w:numPr>
          <w:ilvl w:val="2"/>
          <w:numId w:val="1"/>
        </w:numPr>
        <w:tabs>
          <w:tab w:pos="803" w:val="left" w:leader="none"/>
        </w:tabs>
        <w:spacing w:line="171" w:lineRule="exact" w:before="0" w:after="0"/>
        <w:ind w:left="802" w:right="0" w:hanging="170"/>
        <w:jc w:val="both"/>
        <w:rPr>
          <w:sz w:val="15"/>
        </w:rPr>
      </w:pPr>
      <w:r>
        <w:rPr>
          <w:sz w:val="15"/>
        </w:rPr>
        <w:t>reklamaci vad poskytnuté</w:t>
      </w:r>
      <w:r>
        <w:rPr>
          <w:spacing w:val="-16"/>
          <w:sz w:val="15"/>
        </w:rPr>
        <w:t> </w:t>
      </w:r>
      <w:r>
        <w:rPr>
          <w:sz w:val="15"/>
        </w:rPr>
        <w:t>služby;</w:t>
      </w:r>
    </w:p>
    <w:p>
      <w:pPr>
        <w:pStyle w:val="ListParagraph"/>
        <w:numPr>
          <w:ilvl w:val="2"/>
          <w:numId w:val="1"/>
        </w:numPr>
        <w:tabs>
          <w:tab w:pos="803" w:val="left" w:leader="none"/>
        </w:tabs>
        <w:spacing w:line="240" w:lineRule="auto" w:before="9" w:after="0"/>
        <w:ind w:left="802" w:right="0" w:hanging="170"/>
        <w:jc w:val="both"/>
        <w:rPr>
          <w:sz w:val="15"/>
        </w:rPr>
      </w:pPr>
      <w:r>
        <w:rPr>
          <w:sz w:val="15"/>
        </w:rPr>
        <w:t>reklamaci vyúčtování cen za poskytnuté</w:t>
      </w:r>
      <w:r>
        <w:rPr>
          <w:spacing w:val="-22"/>
          <w:sz w:val="15"/>
        </w:rPr>
        <w:t> </w:t>
      </w:r>
      <w:r>
        <w:rPr>
          <w:sz w:val="15"/>
        </w:rPr>
        <w:t>služby.</w:t>
      </w:r>
    </w:p>
    <w:p>
      <w:pPr>
        <w:pStyle w:val="ListParagraph"/>
        <w:numPr>
          <w:ilvl w:val="1"/>
          <w:numId w:val="1"/>
        </w:numPr>
        <w:tabs>
          <w:tab w:pos="633" w:val="left" w:leader="none"/>
        </w:tabs>
        <w:spacing w:line="252" w:lineRule="auto" w:before="4" w:after="0"/>
        <w:ind w:left="632" w:right="113" w:hanging="397"/>
        <w:jc w:val="both"/>
        <w:rPr>
          <w:sz w:val="15"/>
        </w:rPr>
      </w:pPr>
      <w:r>
        <w:rPr>
          <w:sz w:val="15"/>
        </w:rPr>
        <w:t>Reklamaci uplatňuje účastník písemným sdělením podepsaným kontaktní osobou, pověřeným zástupcem nebo oprávněným zástupcem účastníka prokazatelně zaslaným poskytovateli způsobem dle odst. 17.1 a), b) VP. Reklamaci je nutno uplatnit do 2 měsíců od vystavení příslušného vyúčtování, ve kterém reklamovaná skutečnost měla být  zohledněna, jinak právo na reklamaci</w:t>
      </w:r>
      <w:r>
        <w:rPr>
          <w:spacing w:val="-16"/>
          <w:sz w:val="15"/>
        </w:rPr>
        <w:t> </w:t>
      </w:r>
      <w:r>
        <w:rPr>
          <w:sz w:val="15"/>
        </w:rPr>
        <w:t>zanikne.</w:t>
      </w:r>
    </w:p>
    <w:p>
      <w:pPr>
        <w:pStyle w:val="ListParagraph"/>
        <w:numPr>
          <w:ilvl w:val="1"/>
          <w:numId w:val="1"/>
        </w:numPr>
        <w:tabs>
          <w:tab w:pos="633" w:val="left" w:leader="none"/>
        </w:tabs>
        <w:spacing w:line="249" w:lineRule="auto" w:before="1" w:after="0"/>
        <w:ind w:left="632" w:right="114" w:hanging="397"/>
        <w:jc w:val="both"/>
        <w:rPr>
          <w:sz w:val="15"/>
        </w:rPr>
      </w:pPr>
      <w:r>
        <w:rPr>
          <w:sz w:val="15"/>
        </w:rPr>
        <w:t>Poskytovatel rozhodne o uznání nebo neuznání reklamace a do 1 měsíce po doručení reklamace písemně nebo prostřednictvím elektronické pošty informuje o výsledku posouzení účastníka. Vyžaduje-li vyřízení reklamace projednání se zahraničním provozovatelem, rozhodne poskytovatel o uznání nebo neuznání reklamace do 2 měsíců ode dne doručení reklamace.</w:t>
      </w:r>
    </w:p>
    <w:p>
      <w:pPr>
        <w:pStyle w:val="ListParagraph"/>
        <w:numPr>
          <w:ilvl w:val="1"/>
          <w:numId w:val="1"/>
        </w:numPr>
        <w:tabs>
          <w:tab w:pos="633" w:val="left" w:leader="none"/>
        </w:tabs>
        <w:spacing w:line="249" w:lineRule="auto" w:before="3" w:after="0"/>
        <w:ind w:left="632" w:right="114" w:hanging="397"/>
        <w:jc w:val="both"/>
        <w:rPr>
          <w:sz w:val="15"/>
        </w:rPr>
      </w:pPr>
      <w:r>
        <w:rPr>
          <w:sz w:val="15"/>
        </w:rPr>
        <w:t>Uplatnění reklamace nemá odkladný účinek na splatnost účtovaných částek. V případě, že je uznána reklamace ohledně výše vyúčtované částky nebo způsobu vyúčtování, poskytovatel vrátí případný přeplatek účastníka z toho plynoucí, a to do 30 kalendářních dnů po rozhodnutí na bankovní účet účastníka. Na základě dohody s účastníkem může poskytovatel přeplatek vrátit účastníkovi formou odečtu z částky poplatků za službu účtované v nejbližším následujícím účtovacím</w:t>
      </w:r>
      <w:r>
        <w:rPr>
          <w:spacing w:val="-29"/>
          <w:sz w:val="15"/>
        </w:rPr>
        <w:t> </w:t>
      </w:r>
      <w:r>
        <w:rPr>
          <w:sz w:val="15"/>
        </w:rPr>
        <w:t>období.</w:t>
      </w:r>
    </w:p>
    <w:p>
      <w:pPr>
        <w:pStyle w:val="ListParagraph"/>
        <w:numPr>
          <w:ilvl w:val="1"/>
          <w:numId w:val="1"/>
        </w:numPr>
        <w:tabs>
          <w:tab w:pos="633" w:val="left" w:leader="none"/>
        </w:tabs>
        <w:spacing w:line="249" w:lineRule="auto" w:before="0" w:after="0"/>
        <w:ind w:left="632" w:right="115" w:hanging="397"/>
        <w:jc w:val="both"/>
        <w:rPr>
          <w:sz w:val="15"/>
        </w:rPr>
      </w:pPr>
      <w:r>
        <w:rPr>
          <w:sz w:val="15"/>
        </w:rPr>
        <w:t>V případě nesouhlasu s výsledkem posouzení reklamace může účastník podat námitku u odboru Českého telekomunikačního úřadu místně příslušného pro danou</w:t>
      </w:r>
      <w:r>
        <w:rPr>
          <w:spacing w:val="-15"/>
          <w:sz w:val="15"/>
        </w:rPr>
        <w:t> </w:t>
      </w:r>
      <w:r>
        <w:rPr>
          <w:sz w:val="15"/>
        </w:rPr>
        <w:t>oblast.</w:t>
      </w:r>
    </w:p>
    <w:p>
      <w:pPr>
        <w:spacing w:after="0" w:line="249" w:lineRule="auto"/>
        <w:jc w:val="both"/>
        <w:rPr>
          <w:sz w:val="15"/>
        </w:rPr>
        <w:sectPr>
          <w:type w:val="continuous"/>
          <w:pgSz w:w="11910" w:h="16840"/>
          <w:pgMar w:top="260" w:bottom="440" w:left="280" w:right="340"/>
          <w:cols w:num="2" w:equalWidth="0">
            <w:col w:w="5594" w:space="40"/>
            <w:col w:w="5656"/>
          </w:cols>
        </w:sectPr>
      </w:pPr>
    </w:p>
    <w:p>
      <w:pPr>
        <w:pStyle w:val="Heading1"/>
      </w:pPr>
      <w:r>
        <w:rPr/>
        <w:t>VŠEOBECNÉ PODMÍNKY</w:t>
      </w:r>
    </w:p>
    <w:p>
      <w:pPr>
        <w:pStyle w:val="Heading2"/>
      </w:pPr>
      <w:r>
        <w:rPr/>
        <w:t>poskytování slu</w:t>
      </w:r>
      <w:r>
        <w:rPr>
          <w:i/>
        </w:rPr>
        <w:t>ž</w:t>
      </w:r>
      <w:r>
        <w:rPr/>
        <w:t>eb elektronick</w:t>
      </w:r>
      <w:r>
        <w:rPr>
          <w:i/>
        </w:rPr>
        <w:t>ý</w:t>
      </w:r>
      <w:r>
        <w:rPr/>
        <w:t>ch komunikací platné od 1.1.2021</w:t>
      </w:r>
    </w:p>
    <w:p>
      <w:pPr>
        <w:pStyle w:val="BodyText"/>
        <w:spacing w:before="9"/>
        <w:ind w:left="0" w:firstLine="0"/>
        <w:jc w:val="left"/>
        <w:rPr>
          <w:sz w:val="9"/>
        </w:rPr>
      </w:pPr>
    </w:p>
    <w:p>
      <w:pPr>
        <w:spacing w:after="0"/>
        <w:jc w:val="left"/>
        <w:rPr>
          <w:sz w:val="9"/>
        </w:rPr>
        <w:sectPr>
          <w:pgSz w:w="11910" w:h="16840"/>
          <w:pgMar w:header="0" w:footer="256" w:top="260" w:bottom="440" w:left="280" w:right="300"/>
        </w:sectPr>
      </w:pPr>
    </w:p>
    <w:p>
      <w:pPr>
        <w:pStyle w:val="ListParagraph"/>
        <w:numPr>
          <w:ilvl w:val="1"/>
          <w:numId w:val="1"/>
        </w:numPr>
        <w:tabs>
          <w:tab w:pos="689" w:val="left" w:leader="none"/>
        </w:tabs>
        <w:spacing w:line="247" w:lineRule="auto" w:before="74" w:after="0"/>
        <w:ind w:left="688" w:right="36" w:hanging="397"/>
        <w:jc w:val="both"/>
        <w:rPr>
          <w:sz w:val="15"/>
        </w:rPr>
      </w:pPr>
      <w:r>
        <w:rPr/>
        <w:pict>
          <v:group style="position:absolute;margin-left:19.592615pt;margin-top:13.6223pt;width:119.25pt;height:809.15pt;mso-position-horizontal-relative:page;mso-position-vertical-relative:page;z-index:-8656" coordorigin="392,272" coordsize="2385,16183">
            <v:shape style="position:absolute;left:739;top:272;width:2037;height:702" type="#_x0000_t75" stroked="false">
              <v:imagedata r:id="rId6" o:title=""/>
            </v:shape>
            <v:shape style="position:absolute;left:398;top:644;width:292;height:15805" coordorigin="398,644" coordsize="292,15805" path="m689,644l543,644,521,647,471,669,421,726,398,839,398,16335,400,16353,413,16392,448,16431,517,16449,689,16449e" filled="false" stroked="true" strokeweight=".593919pt" strokecolor="#80bb27">
              <v:path arrowok="t"/>
              <v:stroke dashstyle="solid"/>
            </v:shape>
            <w10:wrap type="none"/>
          </v:group>
        </w:pict>
      </w:r>
      <w:r>
        <w:rPr>
          <w:sz w:val="15"/>
        </w:rPr>
        <w:t>Reklamace zařízení dodaných účastníkovi poskytovatelem se řídí ustanoveními Občanského</w:t>
      </w:r>
      <w:r>
        <w:rPr>
          <w:spacing w:val="-17"/>
          <w:sz w:val="15"/>
        </w:rPr>
        <w:t> </w:t>
      </w:r>
      <w:r>
        <w:rPr>
          <w:sz w:val="15"/>
        </w:rPr>
        <w:t>zákoníku.</w:t>
      </w:r>
    </w:p>
    <w:p>
      <w:pPr>
        <w:pStyle w:val="Heading3"/>
        <w:numPr>
          <w:ilvl w:val="0"/>
          <w:numId w:val="1"/>
        </w:numPr>
        <w:tabs>
          <w:tab w:pos="688" w:val="left" w:leader="none"/>
          <w:tab w:pos="689" w:val="left" w:leader="none"/>
        </w:tabs>
        <w:spacing w:line="240" w:lineRule="auto" w:before="62" w:after="0"/>
        <w:ind w:left="688" w:right="0" w:hanging="397"/>
        <w:jc w:val="left"/>
      </w:pPr>
      <w:r>
        <w:rPr/>
        <w:t>Odpovědnost za</w:t>
      </w:r>
      <w:r>
        <w:rPr>
          <w:spacing w:val="-13"/>
        </w:rPr>
        <w:t> </w:t>
      </w:r>
      <w:r>
        <w:rPr/>
        <w:t>škodu</w:t>
      </w:r>
    </w:p>
    <w:p>
      <w:pPr>
        <w:pStyle w:val="ListParagraph"/>
        <w:numPr>
          <w:ilvl w:val="1"/>
          <w:numId w:val="1"/>
        </w:numPr>
        <w:tabs>
          <w:tab w:pos="689" w:val="left" w:leader="none"/>
        </w:tabs>
        <w:spacing w:line="249" w:lineRule="auto" w:before="10" w:after="0"/>
        <w:ind w:left="688" w:right="36" w:hanging="397"/>
        <w:jc w:val="both"/>
        <w:rPr>
          <w:sz w:val="15"/>
        </w:rPr>
      </w:pPr>
      <w:r>
        <w:rPr>
          <w:sz w:val="15"/>
        </w:rPr>
        <w:t>Smluvní strana odpovídá pouze za skutečnou škodu na hmotném  majetku vzniklou prokazatelně jejím zaviněním druhé straně, a to s výjimkou případů vylučujících odpovědnost podle zákona. Tuto škodu je odpovědná smluvní strana povinna uhradit v prokázané skutečné výši, nejvýše však ve výši 1.000.000,- Kč. Smluvní strany si vzájemně neodpovídají za ušlý zisk ani za jiné</w:t>
      </w:r>
      <w:r>
        <w:rPr>
          <w:spacing w:val="-21"/>
          <w:sz w:val="15"/>
        </w:rPr>
        <w:t> </w:t>
      </w:r>
      <w:r>
        <w:rPr>
          <w:sz w:val="15"/>
        </w:rPr>
        <w:t>škody.</w:t>
      </w:r>
    </w:p>
    <w:p>
      <w:pPr>
        <w:pStyle w:val="ListParagraph"/>
        <w:numPr>
          <w:ilvl w:val="1"/>
          <w:numId w:val="1"/>
        </w:numPr>
        <w:tabs>
          <w:tab w:pos="689" w:val="left" w:leader="none"/>
        </w:tabs>
        <w:spacing w:line="249" w:lineRule="auto" w:before="3" w:after="0"/>
        <w:ind w:left="688" w:right="37" w:hanging="397"/>
        <w:jc w:val="both"/>
        <w:rPr>
          <w:sz w:val="15"/>
        </w:rPr>
      </w:pPr>
      <w:r>
        <w:rPr>
          <w:sz w:val="15"/>
        </w:rPr>
        <w:t>Poskytovatel neodpovídá za škodu, která účastníkovi/uživateli vznikne následkem poruchy, opravy nebo údržby sítě poskytovatele či její části, vyjma škody vzniklé účastníkovi/uživateli na jeho zařízení prokazatelným zaviněním poskytovatele nebo jeho subdodavatelů. Poskytovatel dále neodpovídá za škodu, která účastníkovi/uživateli vznikne následkem  útoku</w:t>
      </w:r>
      <w:r>
        <w:rPr>
          <w:spacing w:val="-4"/>
          <w:sz w:val="15"/>
        </w:rPr>
        <w:t> </w:t>
      </w:r>
      <w:r>
        <w:rPr>
          <w:sz w:val="15"/>
        </w:rPr>
        <w:t>hackerů,</w:t>
      </w:r>
      <w:r>
        <w:rPr>
          <w:spacing w:val="-4"/>
          <w:sz w:val="15"/>
        </w:rPr>
        <w:t> </w:t>
      </w:r>
      <w:r>
        <w:rPr>
          <w:sz w:val="15"/>
        </w:rPr>
        <w:t>DDoS</w:t>
      </w:r>
      <w:r>
        <w:rPr>
          <w:spacing w:val="-4"/>
          <w:sz w:val="15"/>
        </w:rPr>
        <w:t> </w:t>
      </w:r>
      <w:r>
        <w:rPr>
          <w:sz w:val="15"/>
        </w:rPr>
        <w:t>útoků</w:t>
      </w:r>
      <w:r>
        <w:rPr>
          <w:spacing w:val="-4"/>
          <w:sz w:val="15"/>
        </w:rPr>
        <w:t> </w:t>
      </w:r>
      <w:r>
        <w:rPr>
          <w:sz w:val="15"/>
        </w:rPr>
        <w:t>nebo</w:t>
      </w:r>
      <w:r>
        <w:rPr>
          <w:spacing w:val="-4"/>
          <w:sz w:val="15"/>
        </w:rPr>
        <w:t> </w:t>
      </w:r>
      <w:r>
        <w:rPr>
          <w:sz w:val="15"/>
        </w:rPr>
        <w:t>je</w:t>
      </w:r>
      <w:r>
        <w:rPr>
          <w:spacing w:val="-4"/>
          <w:sz w:val="15"/>
        </w:rPr>
        <w:t> </w:t>
      </w:r>
      <w:r>
        <w:rPr>
          <w:sz w:val="15"/>
        </w:rPr>
        <w:t>způsobena</w:t>
      </w:r>
      <w:r>
        <w:rPr>
          <w:spacing w:val="-4"/>
          <w:sz w:val="15"/>
        </w:rPr>
        <w:t> </w:t>
      </w:r>
      <w:r>
        <w:rPr>
          <w:sz w:val="15"/>
        </w:rPr>
        <w:t>počítačovými</w:t>
      </w:r>
      <w:r>
        <w:rPr>
          <w:spacing w:val="-4"/>
          <w:sz w:val="15"/>
        </w:rPr>
        <w:t> </w:t>
      </w:r>
      <w:r>
        <w:rPr>
          <w:sz w:val="15"/>
        </w:rPr>
        <w:t>viry.</w:t>
      </w:r>
    </w:p>
    <w:p>
      <w:pPr>
        <w:pStyle w:val="ListParagraph"/>
        <w:numPr>
          <w:ilvl w:val="1"/>
          <w:numId w:val="1"/>
        </w:numPr>
        <w:tabs>
          <w:tab w:pos="689" w:val="left" w:leader="none"/>
        </w:tabs>
        <w:spacing w:line="249" w:lineRule="auto" w:before="3" w:after="0"/>
        <w:ind w:left="688" w:right="37" w:hanging="397"/>
        <w:jc w:val="both"/>
        <w:rPr>
          <w:sz w:val="15"/>
        </w:rPr>
      </w:pPr>
      <w:r>
        <w:rPr>
          <w:sz w:val="15"/>
        </w:rPr>
        <w:t>Jakmile účastník uzná nebo poskytovatel prokáže škodu zaviněnou poskytovateli uživatelem, účastník zaplatí částku v příslušné výši do 30 kalendářních dnů bankovním převodem na účet</w:t>
      </w:r>
      <w:r>
        <w:rPr>
          <w:spacing w:val="-30"/>
          <w:sz w:val="15"/>
        </w:rPr>
        <w:t> </w:t>
      </w:r>
      <w:r>
        <w:rPr>
          <w:sz w:val="15"/>
        </w:rPr>
        <w:t>poskytovatele.</w:t>
      </w:r>
    </w:p>
    <w:p>
      <w:pPr>
        <w:pStyle w:val="ListParagraph"/>
        <w:numPr>
          <w:ilvl w:val="1"/>
          <w:numId w:val="1"/>
        </w:numPr>
        <w:tabs>
          <w:tab w:pos="689" w:val="left" w:leader="none"/>
        </w:tabs>
        <w:spacing w:line="249" w:lineRule="auto" w:before="3" w:after="0"/>
        <w:ind w:left="688" w:right="0" w:hanging="397"/>
        <w:jc w:val="both"/>
        <w:rPr>
          <w:sz w:val="15"/>
        </w:rPr>
      </w:pPr>
      <w:r>
        <w:rPr>
          <w:sz w:val="15"/>
        </w:rPr>
        <w:t>Jakmile poskytovatel uzná nebo účastník prokáže škodu zaviněnou účastníkovi poskytovatelem, příslušná částka za škodu se použije k vyrovnání splatných pohledávek poskytovatele za účastníkem. Pokud takové</w:t>
      </w:r>
      <w:r>
        <w:rPr>
          <w:spacing w:val="-4"/>
          <w:sz w:val="15"/>
        </w:rPr>
        <w:t> </w:t>
      </w:r>
      <w:r>
        <w:rPr>
          <w:sz w:val="15"/>
        </w:rPr>
        <w:t>pohledávky</w:t>
      </w:r>
      <w:r>
        <w:rPr>
          <w:spacing w:val="-4"/>
          <w:sz w:val="15"/>
        </w:rPr>
        <w:t> </w:t>
      </w:r>
      <w:r>
        <w:rPr>
          <w:sz w:val="15"/>
        </w:rPr>
        <w:t>neexistují</w:t>
      </w:r>
      <w:r>
        <w:rPr>
          <w:spacing w:val="-4"/>
          <w:sz w:val="15"/>
        </w:rPr>
        <w:t> </w:t>
      </w:r>
      <w:r>
        <w:rPr>
          <w:sz w:val="15"/>
        </w:rPr>
        <w:t>nebo</w:t>
      </w:r>
      <w:r>
        <w:rPr>
          <w:spacing w:val="-4"/>
          <w:sz w:val="15"/>
        </w:rPr>
        <w:t> </w:t>
      </w:r>
      <w:r>
        <w:rPr>
          <w:sz w:val="15"/>
        </w:rPr>
        <w:t>k</w:t>
      </w:r>
      <w:r>
        <w:rPr>
          <w:spacing w:val="-4"/>
          <w:sz w:val="15"/>
        </w:rPr>
        <w:t> </w:t>
      </w:r>
      <w:r>
        <w:rPr>
          <w:sz w:val="15"/>
        </w:rPr>
        <w:t>vyrovnání</w:t>
      </w:r>
      <w:r>
        <w:rPr>
          <w:spacing w:val="-4"/>
          <w:sz w:val="15"/>
        </w:rPr>
        <w:t> </w:t>
      </w:r>
      <w:r>
        <w:rPr>
          <w:sz w:val="15"/>
        </w:rPr>
        <w:t>částky</w:t>
      </w:r>
      <w:r>
        <w:rPr>
          <w:spacing w:val="-4"/>
          <w:sz w:val="15"/>
        </w:rPr>
        <w:t> </w:t>
      </w:r>
      <w:r>
        <w:rPr>
          <w:sz w:val="15"/>
        </w:rPr>
        <w:t>za</w:t>
      </w:r>
      <w:r>
        <w:rPr>
          <w:spacing w:val="-4"/>
          <w:sz w:val="15"/>
        </w:rPr>
        <w:t> </w:t>
      </w:r>
      <w:r>
        <w:rPr>
          <w:sz w:val="15"/>
        </w:rPr>
        <w:t>škodu</w:t>
      </w:r>
      <w:r>
        <w:rPr>
          <w:spacing w:val="-4"/>
          <w:sz w:val="15"/>
        </w:rPr>
        <w:t> </w:t>
      </w:r>
      <w:r>
        <w:rPr>
          <w:sz w:val="15"/>
        </w:rPr>
        <w:t>nepostačí, poskytovatel odečte částku v příslušné výši nebo její zbytek od částky účtované účastníkovi za služby v nejbližším následujícím zúčtovacím období. Pokud to k vyrovnání částky za škodu nepostačí, zbylou část převede bankovním převodem do konce bezprostředně následujícího zúčtovacího období na účet</w:t>
      </w:r>
      <w:r>
        <w:rPr>
          <w:spacing w:val="-21"/>
          <w:sz w:val="15"/>
        </w:rPr>
        <w:t> </w:t>
      </w:r>
      <w:r>
        <w:rPr>
          <w:sz w:val="15"/>
        </w:rPr>
        <w:t>účastníka.</w:t>
      </w:r>
    </w:p>
    <w:p>
      <w:pPr>
        <w:pStyle w:val="ListParagraph"/>
        <w:numPr>
          <w:ilvl w:val="1"/>
          <w:numId w:val="1"/>
        </w:numPr>
        <w:tabs>
          <w:tab w:pos="689" w:val="left" w:leader="none"/>
        </w:tabs>
        <w:spacing w:line="249" w:lineRule="auto" w:before="0" w:after="0"/>
        <w:ind w:left="688" w:right="37" w:hanging="397"/>
        <w:jc w:val="both"/>
        <w:rPr>
          <w:sz w:val="15"/>
        </w:rPr>
      </w:pPr>
      <w:r>
        <w:rPr>
          <w:sz w:val="15"/>
        </w:rPr>
        <w:t>Pokud je smlouva ukončena před uhrazením částky za škodu, poskytovatel uhradí zbytek částky za škodu do 30 kalendářních dnů po ukončení smlouvy bankovním převodem na účet</w:t>
      </w:r>
      <w:r>
        <w:rPr>
          <w:spacing w:val="-27"/>
          <w:sz w:val="15"/>
        </w:rPr>
        <w:t> </w:t>
      </w:r>
      <w:r>
        <w:rPr>
          <w:sz w:val="15"/>
        </w:rPr>
        <w:t>účastníka.</w:t>
      </w:r>
    </w:p>
    <w:p>
      <w:pPr>
        <w:pStyle w:val="Heading3"/>
        <w:numPr>
          <w:ilvl w:val="0"/>
          <w:numId w:val="1"/>
        </w:numPr>
        <w:tabs>
          <w:tab w:pos="688" w:val="left" w:leader="none"/>
          <w:tab w:pos="689" w:val="left" w:leader="none"/>
        </w:tabs>
        <w:spacing w:line="240" w:lineRule="auto" w:before="62" w:after="0"/>
        <w:ind w:left="688" w:right="0" w:hanging="397"/>
        <w:jc w:val="left"/>
      </w:pPr>
      <w:r>
        <w:rPr/>
        <w:t>Ostatní</w:t>
      </w:r>
      <w:r>
        <w:rPr>
          <w:spacing w:val="-11"/>
        </w:rPr>
        <w:t> </w:t>
      </w:r>
      <w:r>
        <w:rPr/>
        <w:t>ustanovení</w:t>
      </w:r>
    </w:p>
    <w:p>
      <w:pPr>
        <w:pStyle w:val="ListParagraph"/>
        <w:numPr>
          <w:ilvl w:val="1"/>
          <w:numId w:val="1"/>
        </w:numPr>
        <w:tabs>
          <w:tab w:pos="689" w:val="left" w:leader="none"/>
        </w:tabs>
        <w:spacing w:line="249" w:lineRule="auto" w:before="9" w:after="0"/>
        <w:ind w:left="688" w:right="37" w:hanging="397"/>
        <w:jc w:val="both"/>
        <w:rPr>
          <w:sz w:val="15"/>
        </w:rPr>
      </w:pPr>
      <w:r>
        <w:rPr>
          <w:sz w:val="15"/>
        </w:rPr>
        <w:t>V případě prodeje technického zařízení/zboží poskytovatelem účastníkovi nabude vlastnické právo k danému technickému zařízení účastník úplným zaplacením kupní</w:t>
      </w:r>
      <w:r>
        <w:rPr>
          <w:spacing w:val="-11"/>
          <w:sz w:val="15"/>
        </w:rPr>
        <w:t> </w:t>
      </w:r>
      <w:r>
        <w:rPr>
          <w:sz w:val="15"/>
        </w:rPr>
        <w:t>ceny.</w:t>
      </w:r>
    </w:p>
    <w:p>
      <w:pPr>
        <w:pStyle w:val="ListParagraph"/>
        <w:numPr>
          <w:ilvl w:val="1"/>
          <w:numId w:val="1"/>
        </w:numPr>
        <w:tabs>
          <w:tab w:pos="689" w:val="left" w:leader="none"/>
        </w:tabs>
        <w:spacing w:line="249" w:lineRule="auto" w:before="0" w:after="0"/>
        <w:ind w:left="688" w:right="38" w:hanging="397"/>
        <w:jc w:val="both"/>
        <w:rPr>
          <w:sz w:val="15"/>
        </w:rPr>
      </w:pPr>
      <w:r>
        <w:rPr>
          <w:sz w:val="15"/>
        </w:rPr>
        <w:t>Smluvní vztah mezi účastníkem a poskytovatelem se řídí právním řádem České republiky, zejména pak Zákonem o elektronických komunikacích a Občanským</w:t>
      </w:r>
      <w:r>
        <w:rPr>
          <w:spacing w:val="-11"/>
          <w:sz w:val="15"/>
        </w:rPr>
        <w:t> </w:t>
      </w:r>
      <w:r>
        <w:rPr>
          <w:sz w:val="15"/>
        </w:rPr>
        <w:t>zákoníkem.</w:t>
      </w:r>
    </w:p>
    <w:p>
      <w:pPr>
        <w:pStyle w:val="ListParagraph"/>
        <w:numPr>
          <w:ilvl w:val="1"/>
          <w:numId w:val="1"/>
        </w:numPr>
        <w:tabs>
          <w:tab w:pos="689" w:val="left" w:leader="none"/>
        </w:tabs>
        <w:spacing w:line="249" w:lineRule="auto" w:before="5" w:after="0"/>
        <w:ind w:left="688" w:right="38" w:hanging="397"/>
        <w:jc w:val="both"/>
        <w:rPr>
          <w:sz w:val="15"/>
        </w:rPr>
      </w:pPr>
      <w:r>
        <w:rPr>
          <w:sz w:val="15"/>
        </w:rPr>
        <w:t>Smlouva může být uzavřena v českém i anglickém jazyce. V případě, že je podepisováno i vyhotovení v anglickém jazyce, je rozhodné české znění.</w:t>
      </w:r>
    </w:p>
    <w:p>
      <w:pPr>
        <w:pStyle w:val="ListParagraph"/>
        <w:numPr>
          <w:ilvl w:val="1"/>
          <w:numId w:val="1"/>
        </w:numPr>
        <w:tabs>
          <w:tab w:pos="689" w:val="left" w:leader="none"/>
        </w:tabs>
        <w:spacing w:line="247" w:lineRule="auto" w:before="3" w:after="0"/>
        <w:ind w:left="688" w:right="37" w:hanging="397"/>
        <w:jc w:val="both"/>
        <w:rPr>
          <w:sz w:val="15"/>
        </w:rPr>
      </w:pPr>
      <w:r>
        <w:rPr>
          <w:sz w:val="15"/>
        </w:rPr>
        <w:t>Všechna ustanovení smlouvy budou vykládána v souladu s účelem, pro který je smlouva</w:t>
      </w:r>
      <w:r>
        <w:rPr>
          <w:spacing w:val="-13"/>
          <w:sz w:val="15"/>
        </w:rPr>
        <w:t> </w:t>
      </w:r>
      <w:r>
        <w:rPr>
          <w:sz w:val="15"/>
        </w:rPr>
        <w:t>uzavírána.</w:t>
      </w:r>
    </w:p>
    <w:p>
      <w:pPr>
        <w:pStyle w:val="ListParagraph"/>
        <w:numPr>
          <w:ilvl w:val="1"/>
          <w:numId w:val="1"/>
        </w:numPr>
        <w:tabs>
          <w:tab w:pos="689" w:val="left" w:leader="none"/>
        </w:tabs>
        <w:spacing w:line="249" w:lineRule="auto" w:before="5" w:after="0"/>
        <w:ind w:left="688" w:right="36" w:hanging="397"/>
        <w:jc w:val="both"/>
        <w:rPr>
          <w:sz w:val="15"/>
        </w:rPr>
      </w:pPr>
      <w:r>
        <w:rPr>
          <w:sz w:val="15"/>
        </w:rPr>
        <w:t>Neplatnost některého z ustanovení smlouvy daná změnou zákona nebo rozhodnutím oprávněných státních orgánů nebo rozhodnutím smluvních stran nemá vliv na platnost ostatních ustanovení smlouvy. Smluvní strany se zavazují v případě potřeby neplatné ustanovení bez zbytečného odkladu</w:t>
      </w:r>
      <w:r>
        <w:rPr>
          <w:spacing w:val="-9"/>
          <w:sz w:val="15"/>
        </w:rPr>
        <w:t> </w:t>
      </w:r>
      <w:r>
        <w:rPr>
          <w:sz w:val="15"/>
        </w:rPr>
        <w:t>nahradit.</w:t>
      </w:r>
    </w:p>
    <w:p>
      <w:pPr>
        <w:pStyle w:val="ListParagraph"/>
        <w:numPr>
          <w:ilvl w:val="1"/>
          <w:numId w:val="1"/>
        </w:numPr>
        <w:tabs>
          <w:tab w:pos="689" w:val="left" w:leader="none"/>
        </w:tabs>
        <w:spacing w:line="254" w:lineRule="auto" w:before="0" w:after="0"/>
        <w:ind w:left="688" w:right="36" w:hanging="397"/>
        <w:jc w:val="both"/>
        <w:rPr>
          <w:sz w:val="15"/>
        </w:rPr>
      </w:pPr>
      <w:r>
        <w:rPr>
          <w:sz w:val="15"/>
        </w:rPr>
        <w:t>Všechny spory, vzniklé z těchto smluv nebo v souvislosti s nimi, budou smluvní strany řešit především vzájemnou</w:t>
      </w:r>
      <w:r>
        <w:rPr>
          <w:spacing w:val="-24"/>
          <w:sz w:val="15"/>
        </w:rPr>
        <w:t> </w:t>
      </w:r>
      <w:r>
        <w:rPr>
          <w:sz w:val="15"/>
        </w:rPr>
        <w:t>dohodou.</w:t>
      </w:r>
    </w:p>
    <w:p>
      <w:pPr>
        <w:pStyle w:val="Heading3"/>
        <w:numPr>
          <w:ilvl w:val="0"/>
          <w:numId w:val="1"/>
        </w:numPr>
        <w:tabs>
          <w:tab w:pos="688" w:val="left" w:leader="none"/>
          <w:tab w:pos="689" w:val="left" w:leader="none"/>
        </w:tabs>
        <w:spacing w:line="240" w:lineRule="auto" w:before="59" w:after="0"/>
        <w:ind w:left="688" w:right="0" w:hanging="397"/>
        <w:jc w:val="left"/>
      </w:pPr>
      <w:r>
        <w:rPr/>
        <w:t>Důvěrnost</w:t>
      </w:r>
      <w:r>
        <w:rPr>
          <w:spacing w:val="-11"/>
        </w:rPr>
        <w:t> </w:t>
      </w:r>
      <w:r>
        <w:rPr/>
        <w:t>informací</w:t>
      </w:r>
    </w:p>
    <w:p>
      <w:pPr>
        <w:pStyle w:val="ListParagraph"/>
        <w:numPr>
          <w:ilvl w:val="1"/>
          <w:numId w:val="1"/>
        </w:numPr>
        <w:tabs>
          <w:tab w:pos="689" w:val="left" w:leader="none"/>
        </w:tabs>
        <w:spacing w:line="249" w:lineRule="auto" w:before="5" w:after="0"/>
        <w:ind w:left="688" w:right="36" w:hanging="397"/>
        <w:jc w:val="both"/>
        <w:rPr>
          <w:sz w:val="15"/>
        </w:rPr>
      </w:pPr>
      <w:r>
        <w:rPr>
          <w:sz w:val="15"/>
        </w:rPr>
        <w:t>Smluvní strany považují za obchodní tajemství veškeré údaje o druhé straně, které vyplývají z uzavřené smlouvy, nebo které se v souvislosti s jejím plněním dozvědí. Tyto informace nesdělí třetí osobě bez písemného souhlasu druhé smluvní strany a účinným způsobem zajistí, aby nedošlo  k jejich zneužití. Závazek mlčenlivosti platí i po zániku</w:t>
      </w:r>
      <w:r>
        <w:rPr>
          <w:spacing w:val="-29"/>
          <w:sz w:val="15"/>
        </w:rPr>
        <w:t> </w:t>
      </w:r>
      <w:r>
        <w:rPr>
          <w:sz w:val="15"/>
        </w:rPr>
        <w:t>smlouvy.</w:t>
      </w:r>
    </w:p>
    <w:p>
      <w:pPr>
        <w:pStyle w:val="ListParagraph"/>
        <w:numPr>
          <w:ilvl w:val="1"/>
          <w:numId w:val="1"/>
        </w:numPr>
        <w:tabs>
          <w:tab w:pos="689" w:val="left" w:leader="none"/>
        </w:tabs>
        <w:spacing w:line="247" w:lineRule="auto" w:before="3" w:after="0"/>
        <w:ind w:left="688" w:right="37" w:hanging="397"/>
        <w:jc w:val="both"/>
        <w:rPr>
          <w:sz w:val="15"/>
        </w:rPr>
      </w:pPr>
      <w:r>
        <w:rPr>
          <w:sz w:val="15"/>
        </w:rPr>
        <w:t>Za obchodní tajemství ve smyslu odst. 16.1 VP se nepovažuje údaj, který má prokazatelně alespoň jednu z těchto</w:t>
      </w:r>
      <w:r>
        <w:rPr>
          <w:spacing w:val="-24"/>
          <w:sz w:val="15"/>
        </w:rPr>
        <w:t> </w:t>
      </w:r>
      <w:r>
        <w:rPr>
          <w:sz w:val="15"/>
        </w:rPr>
        <w:t>vlastností:</w:t>
      </w:r>
    </w:p>
    <w:p>
      <w:pPr>
        <w:pStyle w:val="ListParagraph"/>
        <w:numPr>
          <w:ilvl w:val="2"/>
          <w:numId w:val="1"/>
        </w:numPr>
        <w:tabs>
          <w:tab w:pos="859" w:val="left" w:leader="none"/>
        </w:tabs>
        <w:spacing w:line="240" w:lineRule="auto" w:before="5" w:after="0"/>
        <w:ind w:left="858" w:right="0" w:hanging="170"/>
        <w:jc w:val="left"/>
        <w:rPr>
          <w:sz w:val="15"/>
        </w:rPr>
      </w:pPr>
      <w:r>
        <w:rPr>
          <w:sz w:val="15"/>
        </w:rPr>
        <w:t>údaj</w:t>
      </w:r>
      <w:r>
        <w:rPr>
          <w:spacing w:val="-4"/>
          <w:sz w:val="15"/>
        </w:rPr>
        <w:t> </w:t>
      </w:r>
      <w:r>
        <w:rPr>
          <w:sz w:val="15"/>
        </w:rPr>
        <w:t>je</w:t>
      </w:r>
      <w:r>
        <w:rPr>
          <w:spacing w:val="-4"/>
          <w:sz w:val="15"/>
        </w:rPr>
        <w:t> </w:t>
      </w:r>
      <w:r>
        <w:rPr>
          <w:sz w:val="15"/>
        </w:rPr>
        <w:t>před</w:t>
      </w:r>
      <w:r>
        <w:rPr>
          <w:spacing w:val="-4"/>
          <w:sz w:val="15"/>
        </w:rPr>
        <w:t> </w:t>
      </w:r>
      <w:r>
        <w:rPr>
          <w:sz w:val="15"/>
        </w:rPr>
        <w:t>sdělením</w:t>
      </w:r>
      <w:r>
        <w:rPr>
          <w:spacing w:val="-3"/>
          <w:sz w:val="15"/>
        </w:rPr>
        <w:t> </w:t>
      </w:r>
      <w:r>
        <w:rPr>
          <w:sz w:val="15"/>
        </w:rPr>
        <w:t>již</w:t>
      </w:r>
      <w:r>
        <w:rPr>
          <w:spacing w:val="-4"/>
          <w:sz w:val="15"/>
        </w:rPr>
        <w:t> </w:t>
      </w:r>
      <w:r>
        <w:rPr>
          <w:sz w:val="15"/>
        </w:rPr>
        <w:t>veřejně</w:t>
      </w:r>
      <w:r>
        <w:rPr>
          <w:spacing w:val="-4"/>
          <w:sz w:val="15"/>
        </w:rPr>
        <w:t> </w:t>
      </w:r>
      <w:r>
        <w:rPr>
          <w:sz w:val="15"/>
        </w:rPr>
        <w:t>známý</w:t>
      </w:r>
      <w:r>
        <w:rPr>
          <w:spacing w:val="-4"/>
          <w:sz w:val="15"/>
        </w:rPr>
        <w:t> </w:t>
      </w:r>
      <w:r>
        <w:rPr>
          <w:sz w:val="15"/>
        </w:rPr>
        <w:t>nebo</w:t>
      </w:r>
      <w:r>
        <w:rPr>
          <w:spacing w:val="-4"/>
          <w:sz w:val="15"/>
        </w:rPr>
        <w:t> </w:t>
      </w:r>
      <w:r>
        <w:rPr>
          <w:sz w:val="15"/>
        </w:rPr>
        <w:t>veřejně</w:t>
      </w:r>
      <w:r>
        <w:rPr>
          <w:spacing w:val="-4"/>
          <w:sz w:val="15"/>
        </w:rPr>
        <w:t> </w:t>
      </w:r>
      <w:r>
        <w:rPr>
          <w:sz w:val="15"/>
        </w:rPr>
        <w:t>dostupný;</w:t>
      </w:r>
    </w:p>
    <w:p>
      <w:pPr>
        <w:pStyle w:val="ListParagraph"/>
        <w:numPr>
          <w:ilvl w:val="2"/>
          <w:numId w:val="1"/>
        </w:numPr>
        <w:tabs>
          <w:tab w:pos="859" w:val="left" w:leader="none"/>
        </w:tabs>
        <w:spacing w:line="254" w:lineRule="auto" w:before="5" w:after="0"/>
        <w:ind w:left="858" w:right="38" w:hanging="170"/>
        <w:jc w:val="left"/>
        <w:rPr>
          <w:sz w:val="15"/>
        </w:rPr>
      </w:pPr>
      <w:r>
        <w:rPr>
          <w:sz w:val="15"/>
        </w:rPr>
        <w:t>údaj je nutno sdělit třetí straně ze zákonných důvodů - v takovém případě</w:t>
      </w:r>
      <w:r>
        <w:rPr>
          <w:spacing w:val="-4"/>
          <w:sz w:val="15"/>
        </w:rPr>
        <w:t> </w:t>
      </w:r>
      <w:r>
        <w:rPr>
          <w:sz w:val="15"/>
        </w:rPr>
        <w:t>je</w:t>
      </w:r>
      <w:r>
        <w:rPr>
          <w:spacing w:val="-4"/>
          <w:sz w:val="15"/>
        </w:rPr>
        <w:t> </w:t>
      </w:r>
      <w:r>
        <w:rPr>
          <w:sz w:val="15"/>
        </w:rPr>
        <w:t>sdělující</w:t>
      </w:r>
      <w:r>
        <w:rPr>
          <w:spacing w:val="-4"/>
          <w:sz w:val="15"/>
        </w:rPr>
        <w:t> </w:t>
      </w:r>
      <w:r>
        <w:rPr>
          <w:sz w:val="15"/>
        </w:rPr>
        <w:t>smluvní</w:t>
      </w:r>
      <w:r>
        <w:rPr>
          <w:spacing w:val="-4"/>
          <w:sz w:val="15"/>
        </w:rPr>
        <w:t> </w:t>
      </w:r>
      <w:r>
        <w:rPr>
          <w:sz w:val="15"/>
        </w:rPr>
        <w:t>strana</w:t>
      </w:r>
      <w:r>
        <w:rPr>
          <w:spacing w:val="-4"/>
          <w:sz w:val="15"/>
        </w:rPr>
        <w:t> </w:t>
      </w:r>
      <w:r>
        <w:rPr>
          <w:sz w:val="15"/>
        </w:rPr>
        <w:t>povinna</w:t>
      </w:r>
      <w:r>
        <w:rPr>
          <w:spacing w:val="-4"/>
          <w:sz w:val="15"/>
        </w:rPr>
        <w:t> </w:t>
      </w:r>
      <w:r>
        <w:rPr>
          <w:sz w:val="15"/>
        </w:rPr>
        <w:t>druhou</w:t>
      </w:r>
      <w:r>
        <w:rPr>
          <w:spacing w:val="-4"/>
          <w:sz w:val="15"/>
        </w:rPr>
        <w:t> </w:t>
      </w:r>
      <w:r>
        <w:rPr>
          <w:sz w:val="15"/>
        </w:rPr>
        <w:t>stranu</w:t>
      </w:r>
      <w:r>
        <w:rPr>
          <w:spacing w:val="-4"/>
          <w:sz w:val="15"/>
        </w:rPr>
        <w:t> </w:t>
      </w:r>
      <w:r>
        <w:rPr>
          <w:sz w:val="15"/>
        </w:rPr>
        <w:t>informovat;</w:t>
      </w:r>
    </w:p>
    <w:p>
      <w:pPr>
        <w:pStyle w:val="ListParagraph"/>
        <w:numPr>
          <w:ilvl w:val="2"/>
          <w:numId w:val="1"/>
        </w:numPr>
        <w:tabs>
          <w:tab w:pos="859" w:val="left" w:leader="none"/>
        </w:tabs>
        <w:spacing w:line="254" w:lineRule="auto" w:before="0" w:after="0"/>
        <w:ind w:left="858" w:right="38" w:hanging="170"/>
        <w:jc w:val="left"/>
        <w:rPr>
          <w:sz w:val="15"/>
        </w:rPr>
      </w:pPr>
      <w:r>
        <w:rPr>
          <w:sz w:val="15"/>
        </w:rPr>
        <w:t>údaj byl  sdělujícímu  znám  ještě  před  uzavřením  smluvního  vztahu s druhou</w:t>
      </w:r>
      <w:r>
        <w:rPr>
          <w:spacing w:val="-9"/>
          <w:sz w:val="15"/>
        </w:rPr>
        <w:t> </w:t>
      </w:r>
      <w:r>
        <w:rPr>
          <w:sz w:val="15"/>
        </w:rPr>
        <w:t>stranou.</w:t>
      </w:r>
    </w:p>
    <w:p>
      <w:pPr>
        <w:pStyle w:val="ListParagraph"/>
        <w:numPr>
          <w:ilvl w:val="1"/>
          <w:numId w:val="1"/>
        </w:numPr>
        <w:tabs>
          <w:tab w:pos="689" w:val="left" w:leader="none"/>
        </w:tabs>
        <w:spacing w:line="254" w:lineRule="auto" w:before="0" w:after="0"/>
        <w:ind w:left="688" w:right="36" w:hanging="397"/>
        <w:jc w:val="both"/>
        <w:rPr>
          <w:sz w:val="15"/>
        </w:rPr>
      </w:pPr>
      <w:r>
        <w:rPr>
          <w:sz w:val="15"/>
        </w:rPr>
        <w:t>Není-li ve smlouvě uvedeno jinak, účastník souhlasí s uvedením názvu společnosti účastníka v referenčním listu</w:t>
      </w:r>
      <w:r>
        <w:rPr>
          <w:spacing w:val="-27"/>
          <w:sz w:val="15"/>
        </w:rPr>
        <w:t> </w:t>
      </w:r>
      <w:r>
        <w:rPr>
          <w:sz w:val="15"/>
        </w:rPr>
        <w:t>poskytovatele.</w:t>
      </w:r>
    </w:p>
    <w:p>
      <w:pPr>
        <w:pStyle w:val="Heading3"/>
        <w:numPr>
          <w:ilvl w:val="0"/>
          <w:numId w:val="1"/>
        </w:numPr>
        <w:tabs>
          <w:tab w:pos="688" w:val="left" w:leader="none"/>
          <w:tab w:pos="689" w:val="left" w:leader="none"/>
        </w:tabs>
        <w:spacing w:line="240" w:lineRule="auto" w:before="57" w:after="0"/>
        <w:ind w:left="688" w:right="0" w:hanging="397"/>
        <w:jc w:val="left"/>
      </w:pPr>
      <w:r>
        <w:rPr/>
        <w:t>Komunikace mezi smluvními</w:t>
      </w:r>
      <w:r>
        <w:rPr>
          <w:spacing w:val="-16"/>
        </w:rPr>
        <w:t> </w:t>
      </w:r>
      <w:r>
        <w:rPr/>
        <w:t>stranami</w:t>
      </w:r>
    </w:p>
    <w:p>
      <w:pPr>
        <w:pStyle w:val="ListParagraph"/>
        <w:numPr>
          <w:ilvl w:val="1"/>
          <w:numId w:val="1"/>
        </w:numPr>
        <w:tabs>
          <w:tab w:pos="689" w:val="left" w:leader="none"/>
        </w:tabs>
        <w:spacing w:line="247" w:lineRule="auto" w:before="9" w:after="0"/>
        <w:ind w:left="688" w:right="37" w:hanging="397"/>
        <w:jc w:val="both"/>
        <w:rPr>
          <w:sz w:val="15"/>
        </w:rPr>
      </w:pPr>
      <w:r>
        <w:rPr>
          <w:sz w:val="15"/>
        </w:rPr>
        <w:t>Smluvní strany se dohodly, že budou využívat tyto způsoby vzájemné komunikace:</w:t>
      </w:r>
    </w:p>
    <w:p>
      <w:pPr>
        <w:pStyle w:val="ListParagraph"/>
        <w:numPr>
          <w:ilvl w:val="2"/>
          <w:numId w:val="1"/>
        </w:numPr>
        <w:tabs>
          <w:tab w:pos="859" w:val="left" w:leader="none"/>
        </w:tabs>
        <w:spacing w:line="247" w:lineRule="auto" w:before="4" w:after="0"/>
        <w:ind w:left="858" w:right="37" w:hanging="170"/>
        <w:jc w:val="left"/>
        <w:rPr>
          <w:sz w:val="15"/>
        </w:rPr>
      </w:pPr>
      <w:r>
        <w:rPr>
          <w:sz w:val="15"/>
        </w:rPr>
        <w:t>písemně – doporučenou poštou, datovou schránkou, kurýrem nebo faxem s potvrzením</w:t>
      </w:r>
      <w:r>
        <w:rPr>
          <w:spacing w:val="-13"/>
          <w:sz w:val="15"/>
        </w:rPr>
        <w:t> </w:t>
      </w:r>
      <w:r>
        <w:rPr>
          <w:sz w:val="15"/>
        </w:rPr>
        <w:t>doručení;</w:t>
      </w:r>
    </w:p>
    <w:p>
      <w:pPr>
        <w:pStyle w:val="ListParagraph"/>
        <w:numPr>
          <w:ilvl w:val="2"/>
          <w:numId w:val="1"/>
        </w:numPr>
        <w:tabs>
          <w:tab w:pos="859" w:val="left" w:leader="none"/>
        </w:tabs>
        <w:spacing w:line="240" w:lineRule="auto" w:before="4" w:after="0"/>
        <w:ind w:left="858" w:right="0" w:hanging="170"/>
        <w:jc w:val="left"/>
        <w:rPr>
          <w:sz w:val="15"/>
        </w:rPr>
      </w:pPr>
      <w:r>
        <w:rPr>
          <w:sz w:val="15"/>
        </w:rPr>
        <w:t>elektronickou</w:t>
      </w:r>
      <w:r>
        <w:rPr>
          <w:spacing w:val="-11"/>
          <w:sz w:val="15"/>
        </w:rPr>
        <w:t> </w:t>
      </w:r>
      <w:r>
        <w:rPr>
          <w:sz w:val="15"/>
        </w:rPr>
        <w:t>poštou;</w:t>
      </w:r>
    </w:p>
    <w:p>
      <w:pPr>
        <w:pStyle w:val="ListParagraph"/>
        <w:numPr>
          <w:ilvl w:val="2"/>
          <w:numId w:val="1"/>
        </w:numPr>
        <w:tabs>
          <w:tab w:pos="859" w:val="left" w:leader="none"/>
        </w:tabs>
        <w:spacing w:line="240" w:lineRule="auto" w:before="4" w:after="0"/>
        <w:ind w:left="858" w:right="0" w:hanging="170"/>
        <w:jc w:val="left"/>
        <w:rPr>
          <w:sz w:val="15"/>
        </w:rPr>
      </w:pPr>
      <w:r>
        <w:rPr>
          <w:sz w:val="15"/>
        </w:rPr>
        <w:t>telefonicky nebo</w:t>
      </w:r>
      <w:r>
        <w:rPr>
          <w:spacing w:val="-12"/>
          <w:sz w:val="15"/>
        </w:rPr>
        <w:t> </w:t>
      </w:r>
      <w:r>
        <w:rPr>
          <w:sz w:val="15"/>
        </w:rPr>
        <w:t>ústně.</w:t>
      </w:r>
    </w:p>
    <w:p>
      <w:pPr>
        <w:pStyle w:val="ListParagraph"/>
        <w:numPr>
          <w:ilvl w:val="1"/>
          <w:numId w:val="1"/>
        </w:numPr>
        <w:tabs>
          <w:tab w:pos="689" w:val="left" w:leader="none"/>
        </w:tabs>
        <w:spacing w:line="247" w:lineRule="auto" w:before="9" w:after="0"/>
        <w:ind w:left="688" w:right="38" w:hanging="397"/>
        <w:jc w:val="both"/>
        <w:rPr>
          <w:sz w:val="15"/>
        </w:rPr>
      </w:pPr>
      <w:r>
        <w:rPr>
          <w:sz w:val="15"/>
        </w:rPr>
        <w:t>Běžná informativní sdělení lze druhé smluvní straně předávat ústně, telefonicky a elektronickou</w:t>
      </w:r>
      <w:r>
        <w:rPr>
          <w:spacing w:val="-18"/>
          <w:sz w:val="15"/>
        </w:rPr>
        <w:t> </w:t>
      </w:r>
      <w:r>
        <w:rPr>
          <w:sz w:val="15"/>
        </w:rPr>
        <w:t>poštou.</w:t>
      </w:r>
    </w:p>
    <w:p>
      <w:pPr>
        <w:pStyle w:val="ListParagraph"/>
        <w:numPr>
          <w:ilvl w:val="1"/>
          <w:numId w:val="1"/>
        </w:numPr>
        <w:tabs>
          <w:tab w:pos="689" w:val="left" w:leader="none"/>
        </w:tabs>
        <w:spacing w:line="249" w:lineRule="auto" w:before="4" w:after="0"/>
        <w:ind w:left="688" w:right="38" w:hanging="397"/>
        <w:jc w:val="both"/>
        <w:rPr>
          <w:sz w:val="15"/>
        </w:rPr>
      </w:pPr>
      <w:r>
        <w:rPr>
          <w:sz w:val="15"/>
        </w:rPr>
        <w:t>Hlášení technických problémů provede uživatel nebo účastník telefonicky na zákaznické lince poskytovatele číslo +420 225 372 055 nebo elektronickou poštou na emailové adrese</w:t>
      </w:r>
      <w:r>
        <w:rPr>
          <w:spacing w:val="-26"/>
          <w:sz w:val="15"/>
        </w:rPr>
        <w:t> </w:t>
      </w:r>
      <w:hyperlink r:id="rId7">
        <w:r>
          <w:rPr>
            <w:sz w:val="15"/>
          </w:rPr>
          <w:t>noc@wia.cz.</w:t>
        </w:r>
      </w:hyperlink>
    </w:p>
    <w:p>
      <w:pPr>
        <w:pStyle w:val="ListParagraph"/>
        <w:numPr>
          <w:ilvl w:val="1"/>
          <w:numId w:val="1"/>
        </w:numPr>
        <w:tabs>
          <w:tab w:pos="689" w:val="left" w:leader="none"/>
        </w:tabs>
        <w:spacing w:line="254" w:lineRule="auto" w:before="0" w:after="0"/>
        <w:ind w:left="688" w:right="37" w:hanging="397"/>
        <w:jc w:val="both"/>
        <w:rPr>
          <w:sz w:val="15"/>
        </w:rPr>
      </w:pPr>
      <w:r>
        <w:rPr>
          <w:sz w:val="15"/>
        </w:rPr>
        <w:t>Žádost o změnu kontaktních údajů účastníka zašle účastník poskytovateli elektronickou poštou na emailovou adresu</w:t>
      </w:r>
      <w:r>
        <w:rPr>
          <w:spacing w:val="-26"/>
          <w:sz w:val="15"/>
        </w:rPr>
        <w:t> </w:t>
      </w:r>
      <w:hyperlink r:id="rId7">
        <w:r>
          <w:rPr>
            <w:sz w:val="15"/>
          </w:rPr>
          <w:t>noc@wia.cz.</w:t>
        </w:r>
      </w:hyperlink>
    </w:p>
    <w:p>
      <w:pPr>
        <w:pStyle w:val="ListParagraph"/>
        <w:numPr>
          <w:ilvl w:val="1"/>
          <w:numId w:val="1"/>
        </w:numPr>
        <w:tabs>
          <w:tab w:pos="689" w:val="left" w:leader="none"/>
        </w:tabs>
        <w:spacing w:line="252" w:lineRule="auto" w:before="0" w:after="0"/>
        <w:ind w:left="688" w:right="38" w:hanging="397"/>
        <w:jc w:val="both"/>
        <w:rPr>
          <w:sz w:val="15"/>
        </w:rPr>
      </w:pPr>
      <w:r>
        <w:rPr>
          <w:sz w:val="15"/>
        </w:rPr>
        <w:t>Faktury za vyúčtování služeb a ostatní služby zasílá poskytovatel účastníkovi elektronickou poštou na emailovou adresu určenou účastníkem pro zasílání účetních dokladů. Pokud požaduje účastník zasílání faktur za vyúčtování služeb a ostatních služeb v listinné </w:t>
      </w:r>
      <w:r>
        <w:rPr>
          <w:spacing w:val="40"/>
          <w:sz w:val="15"/>
        </w:rPr>
        <w:t> </w:t>
      </w:r>
      <w:r>
        <w:rPr>
          <w:sz w:val="15"/>
        </w:rPr>
        <w:t>podobě</w:t>
      </w:r>
    </w:p>
    <w:p>
      <w:pPr>
        <w:pStyle w:val="BodyText"/>
        <w:spacing w:line="247" w:lineRule="auto" w:before="74"/>
        <w:ind w:left="595" w:right="122" w:firstLine="0"/>
        <w:jc w:val="left"/>
      </w:pPr>
      <w:r>
        <w:rPr/>
        <w:br w:type="column"/>
      </w:r>
      <w:r>
        <w:rPr/>
        <w:t>prostřednictvím pošty, může mu poskytovatel účtovat poplatek dle aktuálního Ceníku administrativních poplatků.</w:t>
      </w:r>
    </w:p>
    <w:p>
      <w:pPr>
        <w:pStyle w:val="ListParagraph"/>
        <w:numPr>
          <w:ilvl w:val="1"/>
          <w:numId w:val="1"/>
        </w:numPr>
        <w:tabs>
          <w:tab w:pos="596" w:val="left" w:leader="none"/>
        </w:tabs>
        <w:spacing w:line="249" w:lineRule="auto" w:before="4" w:after="0"/>
        <w:ind w:left="595" w:right="153" w:hanging="397"/>
        <w:jc w:val="both"/>
        <w:rPr>
          <w:sz w:val="15"/>
        </w:rPr>
      </w:pPr>
      <w:r>
        <w:rPr>
          <w:sz w:val="15"/>
        </w:rPr>
        <w:t>Dodatky ke smlouvě, reklamace služeb, upozornění na podstatné porušení smlouvy, výpověď smlouvy, změny parametrů smlouvy nebo změny  smluvních  stran  musí  být  vždy  provedeny  písemně  dle </w:t>
      </w:r>
      <w:r>
        <w:rPr>
          <w:spacing w:val="41"/>
          <w:sz w:val="15"/>
        </w:rPr>
        <w:t> </w:t>
      </w:r>
      <w:r>
        <w:rPr>
          <w:sz w:val="15"/>
        </w:rPr>
        <w:t>odst.</w:t>
      </w:r>
    </w:p>
    <w:p>
      <w:pPr>
        <w:pStyle w:val="BodyText"/>
        <w:spacing w:line="171" w:lineRule="exact"/>
        <w:ind w:left="595" w:firstLine="0"/>
        <w:jc w:val="left"/>
      </w:pPr>
      <w:r>
        <w:rPr/>
        <w:t>17.1 a) VP.</w:t>
      </w:r>
    </w:p>
    <w:p>
      <w:pPr>
        <w:pStyle w:val="ListParagraph"/>
        <w:numPr>
          <w:ilvl w:val="1"/>
          <w:numId w:val="1"/>
        </w:numPr>
        <w:tabs>
          <w:tab w:pos="596" w:val="left" w:leader="none"/>
        </w:tabs>
        <w:spacing w:line="249" w:lineRule="auto" w:before="10" w:after="0"/>
        <w:ind w:left="595" w:right="152" w:hanging="397"/>
        <w:jc w:val="both"/>
        <w:rPr>
          <w:sz w:val="15"/>
        </w:rPr>
      </w:pPr>
      <w:r>
        <w:rPr>
          <w:sz w:val="15"/>
        </w:rPr>
        <w:t>Sdělení týkající se skutečností, na základě kterých budou některou ze smluvních stran uplatňovány jakékoli právní nároky, musejí být předána druhé smluvní straně písemně k rukám zástupce druhé smluvní strany podle odst. 3.7</w:t>
      </w:r>
      <w:r>
        <w:rPr>
          <w:spacing w:val="-10"/>
          <w:sz w:val="15"/>
        </w:rPr>
        <w:t> </w:t>
      </w:r>
      <w:r>
        <w:rPr>
          <w:sz w:val="15"/>
        </w:rPr>
        <w:t>VP.</w:t>
      </w:r>
    </w:p>
    <w:p>
      <w:pPr>
        <w:pStyle w:val="ListParagraph"/>
        <w:numPr>
          <w:ilvl w:val="1"/>
          <w:numId w:val="1"/>
        </w:numPr>
        <w:tabs>
          <w:tab w:pos="596" w:val="left" w:leader="none"/>
        </w:tabs>
        <w:spacing w:line="249" w:lineRule="auto" w:before="3" w:after="0"/>
        <w:ind w:left="595" w:right="155" w:hanging="397"/>
        <w:jc w:val="both"/>
        <w:rPr>
          <w:sz w:val="15"/>
        </w:rPr>
      </w:pPr>
      <w:r>
        <w:rPr>
          <w:sz w:val="15"/>
        </w:rPr>
        <w:t>Všechna písemná sdělení a sdělení odeslaná prostřednictvím elektronické pošty musejí, kromě vlastní informace, obsahovat všechny tyto</w:t>
      </w:r>
      <w:r>
        <w:rPr>
          <w:spacing w:val="-8"/>
          <w:sz w:val="15"/>
        </w:rPr>
        <w:t> </w:t>
      </w:r>
      <w:r>
        <w:rPr>
          <w:sz w:val="15"/>
        </w:rPr>
        <w:t>náležitosti:</w:t>
      </w:r>
    </w:p>
    <w:p>
      <w:pPr>
        <w:pStyle w:val="ListParagraph"/>
        <w:numPr>
          <w:ilvl w:val="2"/>
          <w:numId w:val="1"/>
        </w:numPr>
        <w:tabs>
          <w:tab w:pos="766" w:val="left" w:leader="none"/>
        </w:tabs>
        <w:spacing w:line="171" w:lineRule="exact" w:before="0" w:after="0"/>
        <w:ind w:left="595" w:right="0" w:firstLine="0"/>
        <w:jc w:val="left"/>
        <w:rPr>
          <w:sz w:val="15"/>
        </w:rPr>
      </w:pPr>
      <w:r>
        <w:rPr>
          <w:sz w:val="15"/>
        </w:rPr>
        <w:t>identifikace smluvní strany a</w:t>
      </w:r>
      <w:r>
        <w:rPr>
          <w:spacing w:val="-17"/>
          <w:sz w:val="15"/>
        </w:rPr>
        <w:t> </w:t>
      </w:r>
      <w:r>
        <w:rPr>
          <w:sz w:val="15"/>
        </w:rPr>
        <w:t>smlouvy;</w:t>
      </w:r>
    </w:p>
    <w:p>
      <w:pPr>
        <w:pStyle w:val="ListParagraph"/>
        <w:numPr>
          <w:ilvl w:val="2"/>
          <w:numId w:val="1"/>
        </w:numPr>
        <w:tabs>
          <w:tab w:pos="766" w:val="left" w:leader="none"/>
        </w:tabs>
        <w:spacing w:line="240" w:lineRule="auto" w:before="10" w:after="0"/>
        <w:ind w:left="765" w:right="0" w:hanging="170"/>
        <w:jc w:val="left"/>
        <w:rPr>
          <w:sz w:val="15"/>
        </w:rPr>
      </w:pPr>
      <w:r>
        <w:rPr>
          <w:sz w:val="15"/>
        </w:rPr>
        <w:t>datum odeslání</w:t>
      </w:r>
      <w:r>
        <w:rPr>
          <w:spacing w:val="-12"/>
          <w:sz w:val="15"/>
        </w:rPr>
        <w:t> </w:t>
      </w:r>
      <w:r>
        <w:rPr>
          <w:sz w:val="15"/>
        </w:rPr>
        <w:t>sdělení;</w:t>
      </w:r>
    </w:p>
    <w:p>
      <w:pPr>
        <w:pStyle w:val="ListParagraph"/>
        <w:numPr>
          <w:ilvl w:val="2"/>
          <w:numId w:val="1"/>
        </w:numPr>
        <w:tabs>
          <w:tab w:pos="766" w:val="left" w:leader="none"/>
        </w:tabs>
        <w:spacing w:line="252" w:lineRule="auto" w:before="5" w:after="0"/>
        <w:ind w:left="595" w:right="155" w:firstLine="0"/>
        <w:jc w:val="left"/>
        <w:rPr>
          <w:sz w:val="15"/>
        </w:rPr>
      </w:pPr>
      <w:r>
        <w:rPr>
          <w:sz w:val="15"/>
        </w:rPr>
        <w:t>jméno, podpis a kontaktní telefonní číslo kontaktní osoby odesílatele. Obsah sdělení musí být dostatečně určitý, jasný a srozumitelný,  aby druhá strana mohla rychle a efektivně reagovat. Při jednání o nárocích se lze platně odvolávat pouze na sdělení učiněná stanovenou formou dle těchto</w:t>
      </w:r>
      <w:r>
        <w:rPr>
          <w:spacing w:val="-6"/>
          <w:sz w:val="15"/>
        </w:rPr>
        <w:t> </w:t>
      </w:r>
      <w:r>
        <w:rPr>
          <w:sz w:val="15"/>
        </w:rPr>
        <w:t>VP.</w:t>
      </w:r>
    </w:p>
    <w:p>
      <w:pPr>
        <w:pStyle w:val="ListParagraph"/>
        <w:numPr>
          <w:ilvl w:val="1"/>
          <w:numId w:val="1"/>
        </w:numPr>
        <w:tabs>
          <w:tab w:pos="596" w:val="left" w:leader="none"/>
        </w:tabs>
        <w:spacing w:line="252" w:lineRule="auto" w:before="0" w:after="0"/>
        <w:ind w:left="595" w:right="152" w:hanging="397"/>
        <w:jc w:val="both"/>
        <w:rPr>
          <w:sz w:val="15"/>
        </w:rPr>
      </w:pPr>
      <w:r>
        <w:rPr>
          <w:sz w:val="15"/>
        </w:rPr>
        <w:t>Pokud jde o skutečnosti, u nichž by forma sdělení uvedená v odst. 17.7 VP způsobila prodlení a s ním spojenou škodu, lze druhou smluvní stranu předběžně informovat jiným způsobem. Okamžik, kdy je druhou smluvní stranou převzata předběžná informace, je pro účely případných právních nároků pokládán za okamžik písemného sdělení, pokud jsou splněny zároveň všechny tyto</w:t>
      </w:r>
      <w:r>
        <w:rPr>
          <w:spacing w:val="-16"/>
          <w:sz w:val="15"/>
        </w:rPr>
        <w:t> </w:t>
      </w:r>
      <w:r>
        <w:rPr>
          <w:sz w:val="15"/>
        </w:rPr>
        <w:t>podmínky:</w:t>
      </w:r>
    </w:p>
    <w:p>
      <w:pPr>
        <w:pStyle w:val="ListParagraph"/>
        <w:numPr>
          <w:ilvl w:val="2"/>
          <w:numId w:val="1"/>
        </w:numPr>
        <w:tabs>
          <w:tab w:pos="766" w:val="left" w:leader="none"/>
        </w:tabs>
        <w:spacing w:line="249" w:lineRule="auto" w:before="0" w:after="0"/>
        <w:ind w:left="765" w:right="155" w:hanging="170"/>
        <w:jc w:val="both"/>
        <w:rPr>
          <w:sz w:val="15"/>
        </w:rPr>
      </w:pPr>
      <w:r>
        <w:rPr>
          <w:sz w:val="15"/>
        </w:rPr>
        <w:t>předběžná informace je předána kontaktní osobě příjemce nepochybným způsobem, např. telefonicky osobou známou nebo osobou, jejíž identita je zpětně telefonicky</w:t>
      </w:r>
      <w:r>
        <w:rPr>
          <w:spacing w:val="-26"/>
          <w:sz w:val="15"/>
        </w:rPr>
        <w:t> </w:t>
      </w:r>
      <w:r>
        <w:rPr>
          <w:sz w:val="15"/>
        </w:rPr>
        <w:t>ověřena;</w:t>
      </w:r>
    </w:p>
    <w:p>
      <w:pPr>
        <w:pStyle w:val="ListParagraph"/>
        <w:numPr>
          <w:ilvl w:val="2"/>
          <w:numId w:val="1"/>
        </w:numPr>
        <w:tabs>
          <w:tab w:pos="766" w:val="left" w:leader="none"/>
        </w:tabs>
        <w:spacing w:line="247" w:lineRule="auto" w:before="3" w:after="0"/>
        <w:ind w:left="765" w:right="155" w:hanging="170"/>
        <w:jc w:val="both"/>
        <w:rPr>
          <w:sz w:val="15"/>
        </w:rPr>
      </w:pPr>
      <w:r>
        <w:rPr>
          <w:sz w:val="15"/>
        </w:rPr>
        <w:t>obsah předběžné informace je dostatečně určitý, jasný a srozumitelný pro rychlou a efektivní reakci druhé</w:t>
      </w:r>
      <w:r>
        <w:rPr>
          <w:spacing w:val="-21"/>
          <w:sz w:val="15"/>
        </w:rPr>
        <w:t> </w:t>
      </w:r>
      <w:r>
        <w:rPr>
          <w:sz w:val="15"/>
        </w:rPr>
        <w:t>strany;</w:t>
      </w:r>
    </w:p>
    <w:p>
      <w:pPr>
        <w:pStyle w:val="ListParagraph"/>
        <w:numPr>
          <w:ilvl w:val="2"/>
          <w:numId w:val="1"/>
        </w:numPr>
        <w:tabs>
          <w:tab w:pos="766" w:val="left" w:leader="none"/>
        </w:tabs>
        <w:spacing w:line="249" w:lineRule="auto" w:before="5" w:after="0"/>
        <w:ind w:left="595" w:right="113" w:firstLine="0"/>
        <w:jc w:val="right"/>
        <w:rPr>
          <w:sz w:val="15"/>
        </w:rPr>
      </w:pPr>
      <w:r>
        <w:rPr>
          <w:sz w:val="15"/>
        </w:rPr>
        <w:t>do 2 hodin po předání předběžné informace je</w:t>
      </w:r>
      <w:r>
        <w:rPr>
          <w:spacing w:val="38"/>
          <w:sz w:val="15"/>
        </w:rPr>
        <w:t> </w:t>
      </w:r>
      <w:r>
        <w:rPr>
          <w:sz w:val="15"/>
        </w:rPr>
        <w:t>odesláno</w:t>
      </w:r>
      <w:r>
        <w:rPr>
          <w:spacing w:val="41"/>
          <w:sz w:val="15"/>
        </w:rPr>
        <w:t> </w:t>
      </w:r>
      <w:r>
        <w:rPr>
          <w:sz w:val="15"/>
        </w:rPr>
        <w:t>písemné</w:t>
      </w:r>
      <w:r>
        <w:rPr>
          <w:w w:val="99"/>
          <w:sz w:val="15"/>
        </w:rPr>
        <w:t> </w:t>
      </w:r>
      <w:r>
        <w:rPr>
          <w:sz w:val="15"/>
        </w:rPr>
        <w:t>sdělení s týmž obsahem a s odvoláním na čas a</w:t>
      </w:r>
      <w:r>
        <w:rPr>
          <w:spacing w:val="22"/>
          <w:sz w:val="15"/>
        </w:rPr>
        <w:t> </w:t>
      </w:r>
      <w:r>
        <w:rPr>
          <w:sz w:val="15"/>
        </w:rPr>
        <w:t>formu</w:t>
      </w:r>
      <w:r>
        <w:rPr>
          <w:spacing w:val="6"/>
          <w:sz w:val="15"/>
        </w:rPr>
        <w:t> </w:t>
      </w:r>
      <w:r>
        <w:rPr>
          <w:sz w:val="15"/>
        </w:rPr>
        <w:t>předání</w:t>
      </w:r>
      <w:r>
        <w:rPr>
          <w:w w:val="99"/>
          <w:sz w:val="15"/>
        </w:rPr>
        <w:t> </w:t>
      </w:r>
      <w:r>
        <w:rPr>
          <w:sz w:val="15"/>
        </w:rPr>
        <w:t>předběžné informace, které má všechny náležitosti podle odst. 17.8</w:t>
      </w:r>
      <w:r>
        <w:rPr>
          <w:spacing w:val="-26"/>
          <w:sz w:val="15"/>
        </w:rPr>
        <w:t> </w:t>
      </w:r>
      <w:r>
        <w:rPr>
          <w:sz w:val="15"/>
        </w:rPr>
        <w:t>VP.</w:t>
      </w:r>
    </w:p>
    <w:p>
      <w:pPr>
        <w:pStyle w:val="BodyText"/>
        <w:spacing w:line="254" w:lineRule="auto"/>
        <w:ind w:left="595" w:right="122" w:firstLine="0"/>
        <w:jc w:val="left"/>
      </w:pPr>
      <w:r>
        <w:rPr/>
        <w:t>Pokud kterákoli z uvedených podmínek není splněna, předběžná informace nemusí být příjemce akceptována.</w:t>
      </w:r>
    </w:p>
    <w:p>
      <w:pPr>
        <w:pStyle w:val="ListParagraph"/>
        <w:numPr>
          <w:ilvl w:val="1"/>
          <w:numId w:val="1"/>
        </w:numPr>
        <w:tabs>
          <w:tab w:pos="596" w:val="left" w:leader="none"/>
        </w:tabs>
        <w:spacing w:line="249" w:lineRule="auto" w:before="0" w:after="0"/>
        <w:ind w:left="595" w:right="153" w:hanging="397"/>
        <w:jc w:val="both"/>
        <w:rPr>
          <w:sz w:val="15"/>
        </w:rPr>
      </w:pPr>
      <w:r>
        <w:rPr>
          <w:sz w:val="15"/>
        </w:rPr>
        <w:t>V souladu s Nařízením Evropského parlamentu a Rady (EU) č. 910/2014, o elektronické identifikaci a službách vytvářejících důvěru pro elektronické transakce a na vnitřním trhu, (eIDAS) a zákonem č. 250/2017 Sb., o elektronické identifikaci, mohou být dokumenty, navazující na smlouvu a   s ní související (předávací protokoly, dodatky ad.) smluvními stranami podepsány elektronickým podpisem prostřednictvím služeb Adobe Sign nebo Circularo. V takovém případě bude za dostatečnou oběma smluvními stranami uznána identifikace podepisující osoby prostřednictvím emailové adresy. Závazným důkazem autenticity podpisu bude: 1) kombinace elektronicky podepsaného dokumentu a konečné zprávy auditu, oboje elektronicky podepsáno Adobe Sign &lt;</w:t>
      </w:r>
      <w:r>
        <w:rPr>
          <w:color w:val="0000FF"/>
          <w:sz w:val="15"/>
          <w:u w:val="single" w:color="0000FF"/>
        </w:rPr>
        <w:t>adobe-sign- </w:t>
      </w:r>
      <w:hyperlink r:id="rId8">
        <w:r>
          <w:rPr>
            <w:color w:val="0000FF"/>
            <w:sz w:val="15"/>
            <w:u w:val="single" w:color="0000FF"/>
          </w:rPr>
          <w:t>certified@adobe.com</w:t>
        </w:r>
      </w:hyperlink>
      <w:r>
        <w:rPr>
          <w:sz w:val="15"/>
        </w:rPr>
        <w:t>&gt; nebo 2) kombinace elektronicky podepsaného dokumentu a auditní zprávy o podpisu (Audit trail), oboje elektronicky podepsáno Circularo Europe</w:t>
      </w:r>
      <w:r>
        <w:rPr>
          <w:spacing w:val="-18"/>
          <w:sz w:val="15"/>
        </w:rPr>
        <w:t> </w:t>
      </w:r>
      <w:r>
        <w:rPr>
          <w:sz w:val="15"/>
        </w:rPr>
        <w:t>s.r.o.</w:t>
      </w:r>
    </w:p>
    <w:p>
      <w:pPr>
        <w:pStyle w:val="Heading3"/>
        <w:numPr>
          <w:ilvl w:val="0"/>
          <w:numId w:val="1"/>
        </w:numPr>
        <w:tabs>
          <w:tab w:pos="595" w:val="left" w:leader="none"/>
          <w:tab w:pos="596" w:val="left" w:leader="none"/>
        </w:tabs>
        <w:spacing w:line="240" w:lineRule="auto" w:before="64" w:after="0"/>
        <w:ind w:left="595" w:right="0" w:hanging="397"/>
        <w:jc w:val="left"/>
      </w:pPr>
      <w:r>
        <w:rPr/>
        <w:t>Zvláštní</w:t>
      </w:r>
      <w:r>
        <w:rPr>
          <w:spacing w:val="-5"/>
        </w:rPr>
        <w:t> </w:t>
      </w:r>
      <w:r>
        <w:rPr/>
        <w:t>ustanovení</w:t>
      </w:r>
      <w:r>
        <w:rPr>
          <w:spacing w:val="-5"/>
        </w:rPr>
        <w:t> </w:t>
      </w:r>
      <w:r>
        <w:rPr/>
        <w:t>týkající</w:t>
      </w:r>
      <w:r>
        <w:rPr>
          <w:spacing w:val="-5"/>
        </w:rPr>
        <w:t> </w:t>
      </w:r>
      <w:r>
        <w:rPr/>
        <w:t>se</w:t>
      </w:r>
      <w:r>
        <w:rPr>
          <w:spacing w:val="-5"/>
        </w:rPr>
        <w:t> </w:t>
      </w:r>
      <w:r>
        <w:rPr/>
        <w:t>smluv</w:t>
      </w:r>
      <w:r>
        <w:rPr>
          <w:spacing w:val="-5"/>
        </w:rPr>
        <w:t> </w:t>
      </w:r>
      <w:r>
        <w:rPr/>
        <w:t>uzavíraných</w:t>
      </w:r>
      <w:r>
        <w:rPr>
          <w:spacing w:val="-5"/>
        </w:rPr>
        <w:t> </w:t>
      </w:r>
      <w:r>
        <w:rPr/>
        <w:t>se</w:t>
      </w:r>
      <w:r>
        <w:rPr>
          <w:spacing w:val="-5"/>
        </w:rPr>
        <w:t> </w:t>
      </w:r>
      <w:r>
        <w:rPr/>
        <w:t>spotřebitelem</w:t>
      </w:r>
    </w:p>
    <w:p>
      <w:pPr>
        <w:pStyle w:val="ListParagraph"/>
        <w:numPr>
          <w:ilvl w:val="1"/>
          <w:numId w:val="1"/>
        </w:numPr>
        <w:tabs>
          <w:tab w:pos="596" w:val="left" w:leader="none"/>
        </w:tabs>
        <w:spacing w:line="249" w:lineRule="auto" w:before="9" w:after="0"/>
        <w:ind w:left="595" w:right="154" w:hanging="397"/>
        <w:jc w:val="both"/>
        <w:rPr>
          <w:sz w:val="15"/>
        </w:rPr>
      </w:pPr>
      <w:r>
        <w:rPr>
          <w:sz w:val="15"/>
        </w:rPr>
        <w:t>Spotřebitelem je každý člověk, který mimo rámec své podnikatelské činnosti nebo mimo rámec samostatného výkonu svého povolání uzavírá smlouvu s podnikatelem nebo s ním jinak</w:t>
      </w:r>
      <w:r>
        <w:rPr>
          <w:spacing w:val="-21"/>
          <w:sz w:val="15"/>
        </w:rPr>
        <w:t> </w:t>
      </w:r>
      <w:r>
        <w:rPr>
          <w:sz w:val="15"/>
        </w:rPr>
        <w:t>jedná.</w:t>
      </w:r>
    </w:p>
    <w:p>
      <w:pPr>
        <w:pStyle w:val="ListParagraph"/>
        <w:numPr>
          <w:ilvl w:val="1"/>
          <w:numId w:val="1"/>
        </w:numPr>
        <w:tabs>
          <w:tab w:pos="596" w:val="left" w:leader="none"/>
        </w:tabs>
        <w:spacing w:line="171" w:lineRule="exact" w:before="0" w:after="0"/>
        <w:ind w:left="595" w:right="0" w:hanging="397"/>
        <w:jc w:val="left"/>
        <w:rPr>
          <w:sz w:val="15"/>
        </w:rPr>
      </w:pPr>
      <w:r>
        <w:rPr>
          <w:sz w:val="15"/>
        </w:rPr>
        <w:t>Sdělení před uzavřením</w:t>
      </w:r>
      <w:r>
        <w:rPr>
          <w:spacing w:val="-16"/>
          <w:sz w:val="15"/>
        </w:rPr>
        <w:t> </w:t>
      </w:r>
      <w:r>
        <w:rPr>
          <w:sz w:val="15"/>
        </w:rPr>
        <w:t>smlouvy:</w:t>
      </w:r>
    </w:p>
    <w:p>
      <w:pPr>
        <w:pStyle w:val="ListParagraph"/>
        <w:numPr>
          <w:ilvl w:val="2"/>
          <w:numId w:val="1"/>
        </w:numPr>
        <w:tabs>
          <w:tab w:pos="766" w:val="left" w:leader="none"/>
        </w:tabs>
        <w:spacing w:line="247" w:lineRule="auto" w:before="10" w:after="0"/>
        <w:ind w:left="765" w:right="152" w:hanging="170"/>
        <w:jc w:val="both"/>
        <w:rPr>
          <w:sz w:val="15"/>
        </w:rPr>
      </w:pPr>
      <w:r>
        <w:rPr>
          <w:sz w:val="15"/>
        </w:rPr>
        <w:t>Náklady na prostředky komunikace na dálku se neliší od základní sazby.</w:t>
      </w:r>
    </w:p>
    <w:p>
      <w:pPr>
        <w:pStyle w:val="ListParagraph"/>
        <w:numPr>
          <w:ilvl w:val="2"/>
          <w:numId w:val="1"/>
        </w:numPr>
        <w:tabs>
          <w:tab w:pos="766" w:val="left" w:leader="none"/>
        </w:tabs>
        <w:spacing w:line="249" w:lineRule="auto" w:before="4" w:after="0"/>
        <w:ind w:left="765" w:right="155" w:hanging="170"/>
        <w:jc w:val="both"/>
        <w:rPr>
          <w:sz w:val="15"/>
        </w:rPr>
      </w:pPr>
      <w:r>
        <w:rPr>
          <w:sz w:val="15"/>
        </w:rPr>
        <w:t>Případná povinnost zaplatit zálohu nebo obdobnou platbu je požadována v případě individuálních a specifických požadavků ze strany účastníka nebo v případě dle odst. 9.8</w:t>
      </w:r>
      <w:r>
        <w:rPr>
          <w:spacing w:val="-24"/>
          <w:sz w:val="15"/>
        </w:rPr>
        <w:t> </w:t>
      </w:r>
      <w:r>
        <w:rPr>
          <w:sz w:val="15"/>
        </w:rPr>
        <w:t>VP.</w:t>
      </w:r>
    </w:p>
    <w:p>
      <w:pPr>
        <w:pStyle w:val="ListParagraph"/>
        <w:numPr>
          <w:ilvl w:val="2"/>
          <w:numId w:val="1"/>
        </w:numPr>
        <w:tabs>
          <w:tab w:pos="766" w:val="left" w:leader="none"/>
        </w:tabs>
        <w:spacing w:line="254" w:lineRule="auto" w:before="0" w:after="0"/>
        <w:ind w:left="765" w:right="153" w:hanging="170"/>
        <w:jc w:val="both"/>
        <w:rPr>
          <w:sz w:val="15"/>
        </w:rPr>
      </w:pPr>
      <w:r>
        <w:rPr>
          <w:sz w:val="15"/>
        </w:rPr>
        <w:t>Nejkratší doba, po kterou bude smlouva strany zavazovat, je upravena v rámci jednotlivých</w:t>
      </w:r>
      <w:r>
        <w:rPr>
          <w:spacing w:val="-12"/>
          <w:sz w:val="15"/>
        </w:rPr>
        <w:t> </w:t>
      </w:r>
      <w:r>
        <w:rPr>
          <w:sz w:val="15"/>
        </w:rPr>
        <w:t>smluv.</w:t>
      </w:r>
    </w:p>
    <w:p>
      <w:pPr>
        <w:pStyle w:val="ListParagraph"/>
        <w:numPr>
          <w:ilvl w:val="2"/>
          <w:numId w:val="1"/>
        </w:numPr>
        <w:tabs>
          <w:tab w:pos="766" w:val="left" w:leader="none"/>
        </w:tabs>
        <w:spacing w:line="254" w:lineRule="auto" w:before="0" w:after="0"/>
        <w:ind w:left="765" w:right="153" w:hanging="170"/>
        <w:jc w:val="both"/>
        <w:rPr>
          <w:sz w:val="15"/>
        </w:rPr>
      </w:pPr>
      <w:r>
        <w:rPr>
          <w:sz w:val="15"/>
        </w:rPr>
        <w:t>Údaj o ceně nebo způsobu jejího určení za jedno zúčtovací období, kterým je jeden měsíc, je upraven v rámci jednotlivých</w:t>
      </w:r>
      <w:r>
        <w:rPr>
          <w:spacing w:val="-27"/>
          <w:sz w:val="15"/>
        </w:rPr>
        <w:t> </w:t>
      </w:r>
      <w:r>
        <w:rPr>
          <w:sz w:val="15"/>
        </w:rPr>
        <w:t>smluv.</w:t>
      </w:r>
    </w:p>
    <w:p>
      <w:pPr>
        <w:pStyle w:val="ListParagraph"/>
        <w:numPr>
          <w:ilvl w:val="2"/>
          <w:numId w:val="1"/>
        </w:numPr>
        <w:tabs>
          <w:tab w:pos="766" w:val="left" w:leader="none"/>
        </w:tabs>
        <w:spacing w:line="249" w:lineRule="auto" w:before="3" w:after="0"/>
        <w:ind w:left="765" w:right="155" w:hanging="170"/>
        <w:jc w:val="both"/>
        <w:rPr>
          <w:sz w:val="15"/>
        </w:rPr>
      </w:pPr>
      <w:r>
        <w:rPr>
          <w:sz w:val="15"/>
        </w:rPr>
        <w:t>Je-li účastníkem spotřebitel, má právo odstoupit od smlouvy ve lhůtě 14ti dní. Podmínky, lhůty a postupy pro uplatnění tohoto práva jsou obsaženy v odst. 18.3</w:t>
      </w:r>
      <w:r>
        <w:rPr>
          <w:spacing w:val="-13"/>
          <w:sz w:val="15"/>
        </w:rPr>
        <w:t> </w:t>
      </w:r>
      <w:r>
        <w:rPr>
          <w:sz w:val="15"/>
        </w:rPr>
        <w:t>VP.</w:t>
      </w:r>
    </w:p>
    <w:p>
      <w:pPr>
        <w:pStyle w:val="ListParagraph"/>
        <w:numPr>
          <w:ilvl w:val="2"/>
          <w:numId w:val="1"/>
        </w:numPr>
        <w:tabs>
          <w:tab w:pos="766" w:val="left" w:leader="none"/>
        </w:tabs>
        <w:spacing w:line="249" w:lineRule="auto" w:before="0" w:after="0"/>
        <w:ind w:left="765" w:right="154" w:hanging="170"/>
        <w:jc w:val="both"/>
        <w:rPr>
          <w:sz w:val="15"/>
        </w:rPr>
      </w:pPr>
      <w:r>
        <w:rPr>
          <w:sz w:val="15"/>
        </w:rPr>
        <w:t>V případě odstoupení od smlouvy ponese účastník spotřebitel náklady spojené s případným navrácením zboží a v případě smlouvy uzavřené prostřednictvím prostředků komunikace na dálku náklady za případné navrácení zboží, jestliže toto zboží nemůže být vráceno pro svou povahu obvyklou poštovní</w:t>
      </w:r>
      <w:r>
        <w:rPr>
          <w:spacing w:val="-18"/>
          <w:sz w:val="15"/>
        </w:rPr>
        <w:t> </w:t>
      </w:r>
      <w:r>
        <w:rPr>
          <w:sz w:val="15"/>
        </w:rPr>
        <w:t>cestou.</w:t>
      </w:r>
    </w:p>
    <w:p>
      <w:pPr>
        <w:pStyle w:val="ListParagraph"/>
        <w:numPr>
          <w:ilvl w:val="2"/>
          <w:numId w:val="1"/>
        </w:numPr>
        <w:tabs>
          <w:tab w:pos="766" w:val="left" w:leader="none"/>
        </w:tabs>
        <w:spacing w:line="249" w:lineRule="auto" w:before="4" w:after="0"/>
        <w:ind w:left="765" w:right="154" w:hanging="170"/>
        <w:jc w:val="both"/>
        <w:rPr>
          <w:sz w:val="15"/>
        </w:rPr>
      </w:pPr>
      <w:r>
        <w:rPr>
          <w:sz w:val="15"/>
        </w:rPr>
        <w:t>V případě odstoupení od smlouvy je účastník spotřebitel povinen uhradit poměrnou část ceny za poskytování služby, jejíž plnění již začalo.</w:t>
      </w:r>
    </w:p>
    <w:p>
      <w:pPr>
        <w:pStyle w:val="ListParagraph"/>
        <w:numPr>
          <w:ilvl w:val="2"/>
          <w:numId w:val="1"/>
        </w:numPr>
        <w:tabs>
          <w:tab w:pos="766" w:val="left" w:leader="none"/>
        </w:tabs>
        <w:spacing w:line="252" w:lineRule="auto" w:before="0" w:after="0"/>
        <w:ind w:left="765" w:right="154" w:hanging="170"/>
        <w:jc w:val="both"/>
        <w:rPr>
          <w:sz w:val="15"/>
        </w:rPr>
      </w:pPr>
      <w:r>
        <w:rPr>
          <w:sz w:val="15"/>
        </w:rPr>
        <w:t>Informace o mimosoudním řešení spotřebitelských sporů: Účastník spotřebitel se může obrátit se svojí stížností na poskytovatele prostřednictvím emailu, faxu, doporučené pošty či telefonicky. Dále se účastník spotřebitel, v souladu se zákonem č. 634/1992 Sb., o ochraně spotřebitele, může se svojí stížností (se svým podnětem) obrátit na Český telekomunikační úřad (internetové stránky Českého telekomunikačního úřadu: </w:t>
      </w:r>
      <w:r>
        <w:rPr>
          <w:color w:val="0000FF"/>
          <w:sz w:val="15"/>
          <w:u w:val="single" w:color="0000FF"/>
        </w:rPr>
        <w:t>www.ctu.cz</w:t>
      </w:r>
      <w:r>
        <w:rPr>
          <w:sz w:val="15"/>
        </w:rPr>
        <w:t>) v případě sporu týkajícího se služeb  elektronických  komunikací  a  na  Českou  obchodní  </w:t>
      </w:r>
      <w:r>
        <w:rPr>
          <w:spacing w:val="15"/>
          <w:sz w:val="15"/>
        </w:rPr>
        <w:t> </w:t>
      </w:r>
      <w:r>
        <w:rPr>
          <w:sz w:val="15"/>
        </w:rPr>
        <w:t>inspekci</w:t>
      </w:r>
    </w:p>
    <w:p>
      <w:pPr>
        <w:spacing w:after="0" w:line="252" w:lineRule="auto"/>
        <w:jc w:val="both"/>
        <w:rPr>
          <w:sz w:val="15"/>
        </w:rPr>
        <w:sectPr>
          <w:type w:val="continuous"/>
          <w:pgSz w:w="11910" w:h="16840"/>
          <w:pgMar w:top="260" w:bottom="440" w:left="280" w:right="300"/>
          <w:cols w:num="2" w:equalWidth="0">
            <w:col w:w="5631" w:space="40"/>
            <w:col w:w="5659"/>
          </w:cols>
        </w:sectPr>
      </w:pPr>
    </w:p>
    <w:p>
      <w:pPr>
        <w:pStyle w:val="Heading1"/>
      </w:pPr>
      <w:r>
        <w:rPr/>
        <w:t>VŠEOBECNÉ PODMÍNKY</w:t>
      </w:r>
    </w:p>
    <w:p>
      <w:pPr>
        <w:pStyle w:val="Heading2"/>
      </w:pPr>
      <w:r>
        <w:rPr/>
        <w:t>poskytování slu</w:t>
      </w:r>
      <w:r>
        <w:rPr>
          <w:i/>
        </w:rPr>
        <w:t>ž</w:t>
      </w:r>
      <w:r>
        <w:rPr/>
        <w:t>eb elektronick</w:t>
      </w:r>
      <w:r>
        <w:rPr>
          <w:i/>
        </w:rPr>
        <w:t>ý</w:t>
      </w:r>
      <w:r>
        <w:rPr/>
        <w:t>ch komunikací platné od 1.1.2021</w:t>
      </w:r>
    </w:p>
    <w:p>
      <w:pPr>
        <w:pStyle w:val="BodyText"/>
        <w:spacing w:before="9"/>
        <w:ind w:left="0" w:firstLine="0"/>
        <w:jc w:val="left"/>
        <w:rPr>
          <w:sz w:val="9"/>
        </w:rPr>
      </w:pPr>
    </w:p>
    <w:p>
      <w:pPr>
        <w:spacing w:after="0"/>
        <w:jc w:val="left"/>
        <w:rPr>
          <w:sz w:val="9"/>
        </w:rPr>
        <w:sectPr>
          <w:pgSz w:w="11910" w:h="16840"/>
          <w:pgMar w:header="0" w:footer="256" w:top="260" w:bottom="440" w:left="280" w:right="300"/>
        </w:sectPr>
      </w:pPr>
    </w:p>
    <w:p>
      <w:pPr>
        <w:pStyle w:val="BodyText"/>
        <w:spacing w:line="249" w:lineRule="auto" w:before="74"/>
        <w:ind w:left="858" w:right="1" w:firstLine="0"/>
      </w:pPr>
      <w:r>
        <w:rPr/>
        <w:pict>
          <v:group style="position:absolute;margin-left:19.592615pt;margin-top:13.6223pt;width:119.25pt;height:809.15pt;mso-position-horizontal-relative:page;mso-position-vertical-relative:page;z-index:-8632" coordorigin="392,272" coordsize="2385,16183">
            <v:shape style="position:absolute;left:739;top:272;width:2037;height:702" type="#_x0000_t75" stroked="false">
              <v:imagedata r:id="rId6" o:title=""/>
            </v:shape>
            <v:shape style="position:absolute;left:398;top:644;width:292;height:15805" coordorigin="398,644" coordsize="292,15805" path="m689,644l543,644,521,647,471,669,421,726,398,839,398,16335,400,16353,413,16392,448,16431,517,16449,689,16449e" filled="false" stroked="true" strokeweight=".593919pt" strokecolor="#80bb27">
              <v:path arrowok="t"/>
              <v:stroke dashstyle="solid"/>
            </v:shape>
            <w10:wrap type="none"/>
          </v:group>
        </w:pict>
      </w:r>
      <w:r>
        <w:rPr/>
        <w:t>(internetové stránky České obchodní inspekce: </w:t>
      </w:r>
      <w:r>
        <w:rPr>
          <w:color w:val="0000FF"/>
          <w:u w:val="single" w:color="0000FF"/>
        </w:rPr>
        <w:t>www.coi.cz</w:t>
      </w:r>
      <w:r>
        <w:rPr/>
        <w:t>) v případě ostatních sporů jako na příslušné subjekty mimosoudního řešení spotřebitelských sporů.</w:t>
      </w:r>
    </w:p>
    <w:p>
      <w:pPr>
        <w:pStyle w:val="ListParagraph"/>
        <w:numPr>
          <w:ilvl w:val="0"/>
          <w:numId w:val="2"/>
        </w:numPr>
        <w:tabs>
          <w:tab w:pos="859" w:val="left" w:leader="none"/>
        </w:tabs>
        <w:spacing w:line="252" w:lineRule="auto" w:before="0" w:after="0"/>
        <w:ind w:left="858" w:right="1" w:hanging="170"/>
        <w:jc w:val="both"/>
        <w:rPr>
          <w:sz w:val="15"/>
        </w:rPr>
      </w:pPr>
      <w:r>
        <w:rPr>
          <w:sz w:val="15"/>
        </w:rPr>
        <w:t>Uzavírat smlouvu prostřednictvím prostředků komunikace na dálku mohou pouze osoby, které jsou k těmto právním úkonům způsobilé. Nezletilí mohou uzavírat smlouvu pouze v rozsahu jejich způsobilosti ve smyslu § 31 a § 32 Občanského zákoníku (dále jen „OZ“). Osoba vykonávající dohled nad nezletilým odpovídá za škody vzniklé poskytovateli jednáním nezletilého dle § 2920 a § 2921</w:t>
      </w:r>
      <w:r>
        <w:rPr>
          <w:spacing w:val="-28"/>
          <w:sz w:val="15"/>
        </w:rPr>
        <w:t> </w:t>
      </w:r>
      <w:r>
        <w:rPr>
          <w:sz w:val="15"/>
        </w:rPr>
        <w:t>OZ.</w:t>
      </w:r>
    </w:p>
    <w:p>
      <w:pPr>
        <w:pStyle w:val="ListParagraph"/>
        <w:numPr>
          <w:ilvl w:val="0"/>
          <w:numId w:val="2"/>
        </w:numPr>
        <w:tabs>
          <w:tab w:pos="859" w:val="left" w:leader="none"/>
        </w:tabs>
        <w:spacing w:line="252" w:lineRule="auto" w:before="0" w:after="0"/>
        <w:ind w:left="858" w:right="0" w:hanging="170"/>
        <w:jc w:val="both"/>
        <w:rPr>
          <w:sz w:val="15"/>
        </w:rPr>
      </w:pPr>
      <w:r>
        <w:rPr>
          <w:sz w:val="15"/>
        </w:rPr>
        <w:t>Uzavřená smlouva je poskytovatelem archivována elektronicky, prostřednictvím systému poskytovatele, po dobu nejméně 2 let  od jejího uzavření, nejdéle však na dobu dle příslušných  právních předpisů, za účelem jejího úspěšného splnění. Poskytovatel umožní účastníkovi  spotřebiteli  přístup  k uzavřené  smlouvě  formou  výpisu  z elektronického systému</w:t>
      </w:r>
      <w:r>
        <w:rPr>
          <w:spacing w:val="-19"/>
          <w:sz w:val="15"/>
        </w:rPr>
        <w:t> </w:t>
      </w:r>
      <w:r>
        <w:rPr>
          <w:sz w:val="15"/>
        </w:rPr>
        <w:t>poskytovatele.</w:t>
      </w:r>
    </w:p>
    <w:p>
      <w:pPr>
        <w:pStyle w:val="ListParagraph"/>
        <w:numPr>
          <w:ilvl w:val="0"/>
          <w:numId w:val="2"/>
        </w:numPr>
        <w:tabs>
          <w:tab w:pos="859" w:val="left" w:leader="none"/>
        </w:tabs>
        <w:spacing w:line="254" w:lineRule="auto" w:before="0" w:after="0"/>
        <w:ind w:left="858" w:right="1" w:hanging="170"/>
        <w:jc w:val="both"/>
        <w:rPr>
          <w:sz w:val="15"/>
        </w:rPr>
      </w:pPr>
      <w:r>
        <w:rPr>
          <w:sz w:val="15"/>
        </w:rPr>
        <w:t>Smlouvu může účastník spotřebitel uzavřít pouze v jazyce českém. Pokud vznikne pro potřebu účastníka spotřebitele překlad textu smlouvy, platí výklad smlouvy v českém</w:t>
      </w:r>
      <w:r>
        <w:rPr>
          <w:spacing w:val="-21"/>
          <w:sz w:val="15"/>
        </w:rPr>
        <w:t> </w:t>
      </w:r>
      <w:r>
        <w:rPr>
          <w:sz w:val="15"/>
        </w:rPr>
        <w:t>jazyce.</w:t>
      </w:r>
    </w:p>
    <w:p>
      <w:pPr>
        <w:pStyle w:val="ListParagraph"/>
        <w:numPr>
          <w:ilvl w:val="0"/>
          <w:numId w:val="2"/>
        </w:numPr>
        <w:tabs>
          <w:tab w:pos="859" w:val="left" w:leader="none"/>
        </w:tabs>
        <w:spacing w:line="249" w:lineRule="auto" w:before="0" w:after="0"/>
        <w:ind w:left="858" w:right="1" w:hanging="170"/>
        <w:jc w:val="both"/>
        <w:rPr>
          <w:sz w:val="15"/>
        </w:rPr>
      </w:pPr>
      <w:r>
        <w:rPr>
          <w:sz w:val="15"/>
        </w:rPr>
        <w:t>Postup vedoucí k uzavření smlouvy je patrný z těchto VP, z provozních podmínek jednotlivých služeb a z procesu objednávání na internetových stránkách poskytovatele. Účastník má možnost objednávku před jejím odesláním zkontrolovat a v případě potřeby změnit či</w:t>
      </w:r>
      <w:r>
        <w:rPr>
          <w:spacing w:val="-8"/>
          <w:sz w:val="15"/>
        </w:rPr>
        <w:t> </w:t>
      </w:r>
      <w:r>
        <w:rPr>
          <w:sz w:val="15"/>
        </w:rPr>
        <w:t>opravit.</w:t>
      </w:r>
    </w:p>
    <w:p>
      <w:pPr>
        <w:pStyle w:val="ListParagraph"/>
        <w:numPr>
          <w:ilvl w:val="1"/>
          <w:numId w:val="1"/>
        </w:numPr>
        <w:tabs>
          <w:tab w:pos="689" w:val="left" w:leader="none"/>
        </w:tabs>
        <w:spacing w:line="240" w:lineRule="auto" w:before="6" w:after="0"/>
        <w:ind w:left="688" w:right="0" w:hanging="397"/>
        <w:jc w:val="left"/>
        <w:rPr>
          <w:sz w:val="15"/>
        </w:rPr>
      </w:pPr>
      <w:r>
        <w:rPr>
          <w:sz w:val="15"/>
        </w:rPr>
        <w:t>Odstoupení od smlouvy ze strany účastníka</w:t>
      </w:r>
      <w:r>
        <w:rPr>
          <w:spacing w:val="-27"/>
          <w:sz w:val="15"/>
        </w:rPr>
        <w:t> </w:t>
      </w:r>
      <w:r>
        <w:rPr>
          <w:sz w:val="15"/>
        </w:rPr>
        <w:t>spotřebitele</w:t>
      </w:r>
    </w:p>
    <w:p>
      <w:pPr>
        <w:pStyle w:val="ListParagraph"/>
        <w:numPr>
          <w:ilvl w:val="2"/>
          <w:numId w:val="1"/>
        </w:numPr>
        <w:tabs>
          <w:tab w:pos="859" w:val="left" w:leader="none"/>
        </w:tabs>
        <w:spacing w:line="249" w:lineRule="auto" w:before="5" w:after="0"/>
        <w:ind w:left="858" w:right="1" w:hanging="170"/>
        <w:jc w:val="both"/>
        <w:rPr>
          <w:sz w:val="15"/>
        </w:rPr>
      </w:pPr>
      <w:r>
        <w:rPr>
          <w:sz w:val="15"/>
        </w:rPr>
        <w:t>V případě uzavření smlouvy prostřednictvím prostředků komunikace na dálku má účastník spotřebitel právo odstoupit od smlouvy ve lhůtě 14-ti dnů ode dne uzavření</w:t>
      </w:r>
      <w:r>
        <w:rPr>
          <w:spacing w:val="-15"/>
          <w:sz w:val="15"/>
        </w:rPr>
        <w:t> </w:t>
      </w:r>
      <w:r>
        <w:rPr>
          <w:sz w:val="15"/>
        </w:rPr>
        <w:t>smlouvy.</w:t>
      </w:r>
    </w:p>
    <w:p>
      <w:pPr>
        <w:pStyle w:val="ListParagraph"/>
        <w:numPr>
          <w:ilvl w:val="2"/>
          <w:numId w:val="1"/>
        </w:numPr>
        <w:tabs>
          <w:tab w:pos="859" w:val="left" w:leader="none"/>
        </w:tabs>
        <w:spacing w:line="249" w:lineRule="auto" w:before="3" w:after="0"/>
        <w:ind w:left="858" w:right="1" w:hanging="170"/>
        <w:jc w:val="both"/>
        <w:rPr>
          <w:sz w:val="15"/>
        </w:rPr>
      </w:pPr>
      <w:r>
        <w:rPr>
          <w:sz w:val="15"/>
        </w:rPr>
        <w:t>Účastník spotřebitel může od smlouvy odstoupit prostřednictvím elektronické pošty na adrese </w:t>
      </w:r>
      <w:hyperlink r:id="rId9">
        <w:r>
          <w:rPr>
            <w:sz w:val="15"/>
          </w:rPr>
          <w:t>sales@wia.cz,</w:t>
        </w:r>
      </w:hyperlink>
      <w:r>
        <w:rPr>
          <w:sz w:val="15"/>
        </w:rPr>
        <w:t> faxu uvedeného na internetových  stránkách  poskytovatele,  korespondenčně  na </w:t>
      </w:r>
      <w:r>
        <w:rPr>
          <w:spacing w:val="5"/>
          <w:sz w:val="15"/>
        </w:rPr>
        <w:t> </w:t>
      </w:r>
      <w:r>
        <w:rPr>
          <w:sz w:val="15"/>
        </w:rPr>
        <w:t>adrese:</w:t>
      </w:r>
    </w:p>
    <w:p>
      <w:pPr>
        <w:pStyle w:val="BodyText"/>
        <w:spacing w:line="171" w:lineRule="exact"/>
        <w:ind w:left="858" w:firstLine="0"/>
      </w:pPr>
      <w:r>
        <w:rPr/>
        <w:t>WIA spol. s r.o., A. Staška 511/40, 140 00 Praha 4 – Krč, nebo osobně</w:t>
      </w:r>
    </w:p>
    <w:p>
      <w:pPr>
        <w:pStyle w:val="ListParagraph"/>
        <w:numPr>
          <w:ilvl w:val="2"/>
          <w:numId w:val="1"/>
        </w:numPr>
        <w:tabs>
          <w:tab w:pos="859" w:val="left" w:leader="none"/>
        </w:tabs>
        <w:spacing w:line="249" w:lineRule="auto" w:before="10" w:after="0"/>
        <w:ind w:left="858" w:right="1" w:hanging="170"/>
        <w:jc w:val="both"/>
        <w:rPr>
          <w:sz w:val="15"/>
        </w:rPr>
      </w:pPr>
      <w:r>
        <w:rPr>
          <w:sz w:val="15"/>
        </w:rPr>
        <w:t>na adrese: WIA spol. s r.o., A. Staška 511/40, 140 00 Praha 4 – Krč.    V odstoupení od smlouvy uvede účastník spotřebitel číslo smlouvy, případně číslo objednávky, číslo bankovního účtu pro případné vrácení peněz, kontaktní údaje (email, telefon) a přiloží kopii</w:t>
      </w:r>
      <w:r>
        <w:rPr>
          <w:spacing w:val="-30"/>
          <w:sz w:val="15"/>
        </w:rPr>
        <w:t> </w:t>
      </w:r>
      <w:r>
        <w:rPr>
          <w:sz w:val="15"/>
        </w:rPr>
        <w:t>smlouvy.</w:t>
      </w:r>
    </w:p>
    <w:p>
      <w:pPr>
        <w:pStyle w:val="ListParagraph"/>
        <w:numPr>
          <w:ilvl w:val="2"/>
          <w:numId w:val="1"/>
        </w:numPr>
        <w:tabs>
          <w:tab w:pos="859" w:val="left" w:leader="none"/>
        </w:tabs>
        <w:spacing w:line="249" w:lineRule="auto" w:before="3" w:after="0"/>
        <w:ind w:left="858" w:right="0" w:hanging="170"/>
        <w:jc w:val="both"/>
        <w:rPr>
          <w:sz w:val="15"/>
        </w:rPr>
      </w:pPr>
      <w:r>
        <w:rPr>
          <w:sz w:val="15"/>
        </w:rPr>
        <w:t>Odstoupí-li účastník spotřebitel od smlouvy, zašle doporučenou poštou na adresu: WIA spol. s r.o., A. Staška 511/40, 140 00 Praha 4 – Krč, nebo předá poskytovateli na adrese WIA spol. s r.o., A. Staška 511/40, 140 00 Praha 4 – Krč bez zbytečného odkladu, nejpozději do 14ti dnů od odstoupení od smlouvy, zařízení zapůjčené od poskytovatele za účelem poskytování služby, případně zboží, které od poskytovatele obdržel (úplné, s kompletní dokumentací, nepoškozené, čisté, včetně originálního obalu, ve stavu a hodnotě, v jakém zboží převzal) a to na své</w:t>
      </w:r>
      <w:r>
        <w:rPr>
          <w:spacing w:val="-7"/>
          <w:sz w:val="15"/>
        </w:rPr>
        <w:t> </w:t>
      </w:r>
      <w:r>
        <w:rPr>
          <w:sz w:val="15"/>
        </w:rPr>
        <w:t>náklady.</w:t>
      </w:r>
    </w:p>
    <w:p>
      <w:pPr>
        <w:pStyle w:val="ListParagraph"/>
        <w:numPr>
          <w:ilvl w:val="2"/>
          <w:numId w:val="1"/>
        </w:numPr>
        <w:tabs>
          <w:tab w:pos="859" w:val="left" w:leader="none"/>
        </w:tabs>
        <w:spacing w:line="249" w:lineRule="auto" w:before="3" w:after="0"/>
        <w:ind w:left="858" w:right="1" w:hanging="170"/>
        <w:jc w:val="both"/>
        <w:rPr>
          <w:sz w:val="15"/>
        </w:rPr>
      </w:pPr>
      <w:r>
        <w:rPr>
          <w:sz w:val="15"/>
        </w:rPr>
        <w:t>Odstoupí-li účastník spotřebitel od smlouvy, dle které bylo účastníkovi spotřebiteli dodané rovněž zařízení (zboží), poskytovatel není povinen vrátit přijaté peněží prostředky za toto zboží účastníkovi spotřebiteli dříve, než mu účastník spotřebitel zboží předá nebo prokáže, že zboží poskytovateli</w:t>
      </w:r>
      <w:r>
        <w:rPr>
          <w:spacing w:val="-12"/>
          <w:sz w:val="15"/>
        </w:rPr>
        <w:t> </w:t>
      </w:r>
      <w:r>
        <w:rPr>
          <w:sz w:val="15"/>
        </w:rPr>
        <w:t>odeslal.</w:t>
      </w:r>
    </w:p>
    <w:p>
      <w:pPr>
        <w:pStyle w:val="ListParagraph"/>
        <w:numPr>
          <w:ilvl w:val="2"/>
          <w:numId w:val="1"/>
        </w:numPr>
        <w:tabs>
          <w:tab w:pos="859" w:val="left" w:leader="none"/>
        </w:tabs>
        <w:spacing w:line="252" w:lineRule="auto" w:before="0" w:after="0"/>
        <w:ind w:left="858" w:right="1" w:hanging="170"/>
        <w:jc w:val="both"/>
        <w:rPr>
          <w:sz w:val="15"/>
        </w:rPr>
      </w:pPr>
      <w:r>
        <w:rPr>
          <w:sz w:val="15"/>
        </w:rPr>
        <w:t>Účastník spotřebitel bere na vědomí, že odpovídá poskytovateli za snížení hodnoty zboží, které vzniklo v důsledku nakládání s tímto zbožím jinak, než je nutné s ním nakládat s ohledem na jeho povahu a vlastnosti.</w:t>
      </w:r>
    </w:p>
    <w:p>
      <w:pPr>
        <w:pStyle w:val="ListParagraph"/>
        <w:numPr>
          <w:ilvl w:val="1"/>
          <w:numId w:val="1"/>
        </w:numPr>
        <w:tabs>
          <w:tab w:pos="689" w:val="left" w:leader="none"/>
        </w:tabs>
        <w:spacing w:line="252" w:lineRule="auto" w:before="0" w:after="0"/>
        <w:ind w:left="688" w:right="0" w:hanging="397"/>
        <w:jc w:val="both"/>
        <w:rPr>
          <w:sz w:val="15"/>
        </w:rPr>
      </w:pPr>
      <w:r>
        <w:rPr>
          <w:sz w:val="15"/>
        </w:rPr>
        <w:t>Účastník spotřebitel uzavřením smlouvy s poskytovatelem výslovně žádá poskytovatele, aby poskytovatel, v souladu s ustanovením § 1823 OZ, započal s poskytováním služeb ve lhůtě pro odstoupení od smlouvy. Účastník spotřebitel bere na vědomí, že odstoupí-li od smlouvy, uhradí poskytovateli poměrnou část sjednané ceny za plnění poskytnuté do okamžiku odstoupení od</w:t>
      </w:r>
      <w:r>
        <w:rPr>
          <w:spacing w:val="-16"/>
          <w:sz w:val="15"/>
        </w:rPr>
        <w:t> </w:t>
      </w:r>
      <w:r>
        <w:rPr>
          <w:sz w:val="15"/>
        </w:rPr>
        <w:t>smlouvy.</w:t>
      </w:r>
    </w:p>
    <w:p>
      <w:pPr>
        <w:pStyle w:val="ListParagraph"/>
        <w:numPr>
          <w:ilvl w:val="1"/>
          <w:numId w:val="1"/>
        </w:numPr>
        <w:tabs>
          <w:tab w:pos="689" w:val="left" w:leader="none"/>
        </w:tabs>
        <w:spacing w:line="252" w:lineRule="auto" w:before="0" w:after="0"/>
        <w:ind w:left="688" w:right="0" w:hanging="397"/>
        <w:jc w:val="both"/>
        <w:rPr>
          <w:sz w:val="15"/>
        </w:rPr>
      </w:pPr>
      <w:r>
        <w:rPr>
          <w:sz w:val="15"/>
        </w:rPr>
        <w:t>V případě ukončení smlouvy nebo některé služby dříve, než uplyne minimální doba užívání některé služby, a zároveň do tří měsíců od uzavření smlouvy, ať již výpovědí nebo dohodou smluvních stran, má poskytovatel právo účtovat účastníkovi, který je spotřebitelem, jednorázový poplatek rovný jedné dvacetině součtu měsíčních poplatků (paušálů) zbývajících do konce sjednané minimální doby užívání služby nebo jedné dvacetině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nelze určit výši úhrady z ceníkové</w:t>
      </w:r>
      <w:r>
        <w:rPr>
          <w:spacing w:val="-8"/>
          <w:sz w:val="15"/>
        </w:rPr>
        <w:t> </w:t>
      </w:r>
      <w:r>
        <w:rPr>
          <w:sz w:val="15"/>
        </w:rPr>
        <w:t>ceny.</w:t>
      </w:r>
    </w:p>
    <w:p>
      <w:pPr>
        <w:pStyle w:val="ListParagraph"/>
        <w:numPr>
          <w:ilvl w:val="1"/>
          <w:numId w:val="1"/>
        </w:numPr>
        <w:tabs>
          <w:tab w:pos="689" w:val="left" w:leader="none"/>
        </w:tabs>
        <w:spacing w:line="249" w:lineRule="auto" w:before="0" w:after="0"/>
        <w:ind w:left="688" w:right="0" w:hanging="397"/>
        <w:jc w:val="both"/>
        <w:rPr>
          <w:sz w:val="15"/>
        </w:rPr>
      </w:pPr>
      <w:r>
        <w:rPr>
          <w:sz w:val="15"/>
        </w:rPr>
        <w:t>V případě ukončení smlouvy, uzavřené na dobu určitou, před uplynutím doby trvání, na kterou je smlouva uzavřena a zároveň do tří měsíců od uzavření smlouvy, ať již výpovědí nebo dohodou smluvních stran, má poskytovatel právo účtovat účastníkovi, který je spotřebitelem, jednorázový poplatek rovný jedné dvacetině součtu měsíčních poplatků (paušálů) zbývajících do konce sjednané doby trvání smlouvy nebo jedné dvacetině součtu minimálních sjednaných měsíčních plnění zbývajících do konce sjednané doby trvání smlouvy, a to ode dne následujícího po dni,</w:t>
      </w:r>
      <w:r>
        <w:rPr>
          <w:spacing w:val="24"/>
          <w:sz w:val="15"/>
        </w:rPr>
        <w:t> </w:t>
      </w:r>
      <w:r>
        <w:rPr>
          <w:sz w:val="15"/>
        </w:rPr>
        <w:t>v</w:t>
      </w:r>
      <w:r>
        <w:rPr>
          <w:spacing w:val="-2"/>
          <w:sz w:val="15"/>
        </w:rPr>
        <w:t> </w:t>
      </w:r>
      <w:r>
        <w:rPr>
          <w:sz w:val="15"/>
        </w:rPr>
        <w:t>němž</w:t>
      </w:r>
      <w:r>
        <w:rPr>
          <w:spacing w:val="24"/>
          <w:sz w:val="15"/>
        </w:rPr>
        <w:t> </w:t>
      </w:r>
      <w:r>
        <w:rPr>
          <w:sz w:val="15"/>
        </w:rPr>
        <w:t>došlo</w:t>
      </w:r>
      <w:r>
        <w:rPr>
          <w:spacing w:val="24"/>
          <w:sz w:val="15"/>
        </w:rPr>
        <w:t> </w:t>
      </w:r>
      <w:r>
        <w:rPr>
          <w:sz w:val="15"/>
        </w:rPr>
        <w:t>k</w:t>
      </w:r>
      <w:r>
        <w:rPr>
          <w:spacing w:val="-2"/>
          <w:sz w:val="15"/>
        </w:rPr>
        <w:t> </w:t>
      </w:r>
      <w:r>
        <w:rPr>
          <w:sz w:val="15"/>
        </w:rPr>
        <w:t>ukončení</w:t>
      </w:r>
      <w:r>
        <w:rPr>
          <w:spacing w:val="24"/>
          <w:sz w:val="15"/>
        </w:rPr>
        <w:t> </w:t>
      </w:r>
      <w:r>
        <w:rPr>
          <w:sz w:val="15"/>
        </w:rPr>
        <w:t>smlouvy,</w:t>
      </w:r>
      <w:r>
        <w:rPr>
          <w:spacing w:val="24"/>
          <w:sz w:val="15"/>
        </w:rPr>
        <w:t> </w:t>
      </w:r>
      <w:r>
        <w:rPr>
          <w:sz w:val="15"/>
        </w:rPr>
        <w:t>do</w:t>
      </w:r>
      <w:r>
        <w:rPr>
          <w:spacing w:val="24"/>
          <w:sz w:val="15"/>
        </w:rPr>
        <w:t> </w:t>
      </w:r>
      <w:r>
        <w:rPr>
          <w:sz w:val="15"/>
        </w:rPr>
        <w:t>konce</w:t>
      </w:r>
      <w:r>
        <w:rPr>
          <w:spacing w:val="24"/>
          <w:sz w:val="15"/>
        </w:rPr>
        <w:t> </w:t>
      </w:r>
      <w:r>
        <w:rPr>
          <w:sz w:val="15"/>
        </w:rPr>
        <w:t>sjednané</w:t>
      </w:r>
      <w:r>
        <w:rPr>
          <w:spacing w:val="24"/>
          <w:sz w:val="15"/>
        </w:rPr>
        <w:t> </w:t>
      </w:r>
      <w:r>
        <w:rPr>
          <w:sz w:val="15"/>
        </w:rPr>
        <w:t>doby</w:t>
      </w:r>
      <w:r>
        <w:rPr>
          <w:spacing w:val="24"/>
          <w:sz w:val="15"/>
        </w:rPr>
        <w:t> </w:t>
      </w:r>
      <w:r>
        <w:rPr>
          <w:sz w:val="15"/>
        </w:rPr>
        <w:t>trvání</w:t>
      </w:r>
    </w:p>
    <w:p>
      <w:pPr>
        <w:pStyle w:val="BodyText"/>
        <w:spacing w:line="249" w:lineRule="auto" w:before="74"/>
        <w:ind w:left="633" w:right="152" w:firstLine="0"/>
      </w:pPr>
      <w:r>
        <w:rPr/>
        <w:br w:type="column"/>
      </w:r>
      <w:r>
        <w:rPr/>
        <w:t>smlouvy, a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nelze určit výši úhrady z ceníkové</w:t>
      </w:r>
      <w:r>
        <w:rPr>
          <w:spacing w:val="-17"/>
        </w:rPr>
        <w:t> </w:t>
      </w:r>
      <w:r>
        <w:rPr/>
        <w:t>ceny.</w:t>
      </w:r>
    </w:p>
    <w:p>
      <w:pPr>
        <w:pStyle w:val="ListParagraph"/>
        <w:numPr>
          <w:ilvl w:val="1"/>
          <w:numId w:val="1"/>
        </w:numPr>
        <w:tabs>
          <w:tab w:pos="634" w:val="left" w:leader="none"/>
        </w:tabs>
        <w:spacing w:line="249" w:lineRule="auto" w:before="0" w:after="0"/>
        <w:ind w:left="633" w:right="154" w:hanging="397"/>
        <w:jc w:val="both"/>
        <w:rPr>
          <w:sz w:val="15"/>
        </w:rPr>
      </w:pPr>
      <w:r>
        <w:rPr>
          <w:sz w:val="15"/>
        </w:rPr>
        <w:t>Účastník spotřebitel je oprávněn vypovědět smlouvu uzavřenou na dobu určitou za stejných podmínek jako smlouvu na dobu neurčitou, tedy postupem</w:t>
      </w:r>
      <w:r>
        <w:rPr>
          <w:spacing w:val="-2"/>
          <w:sz w:val="15"/>
        </w:rPr>
        <w:t> </w:t>
      </w:r>
      <w:r>
        <w:rPr>
          <w:sz w:val="15"/>
        </w:rPr>
        <w:t>dle</w:t>
      </w:r>
      <w:r>
        <w:rPr>
          <w:spacing w:val="-3"/>
          <w:sz w:val="15"/>
        </w:rPr>
        <w:t> </w:t>
      </w:r>
      <w:r>
        <w:rPr>
          <w:sz w:val="15"/>
        </w:rPr>
        <w:t>odst.</w:t>
      </w:r>
      <w:r>
        <w:rPr>
          <w:spacing w:val="-3"/>
          <w:sz w:val="15"/>
        </w:rPr>
        <w:t> </w:t>
      </w:r>
      <w:r>
        <w:rPr>
          <w:sz w:val="15"/>
        </w:rPr>
        <w:t>12.4</w:t>
      </w:r>
      <w:r>
        <w:rPr>
          <w:spacing w:val="-3"/>
          <w:sz w:val="15"/>
        </w:rPr>
        <w:t> </w:t>
      </w:r>
      <w:r>
        <w:rPr>
          <w:sz w:val="15"/>
        </w:rPr>
        <w:t>VP</w:t>
      </w:r>
      <w:r>
        <w:rPr>
          <w:spacing w:val="-3"/>
          <w:sz w:val="15"/>
        </w:rPr>
        <w:t> </w:t>
      </w:r>
      <w:r>
        <w:rPr>
          <w:sz w:val="15"/>
        </w:rPr>
        <w:t>a</w:t>
      </w:r>
      <w:r>
        <w:rPr>
          <w:spacing w:val="-3"/>
          <w:sz w:val="15"/>
        </w:rPr>
        <w:t> </w:t>
      </w:r>
      <w:r>
        <w:rPr>
          <w:sz w:val="15"/>
        </w:rPr>
        <w:t>za</w:t>
      </w:r>
      <w:r>
        <w:rPr>
          <w:spacing w:val="-3"/>
          <w:sz w:val="15"/>
        </w:rPr>
        <w:t> </w:t>
      </w:r>
      <w:r>
        <w:rPr>
          <w:sz w:val="15"/>
        </w:rPr>
        <w:t>použití</w:t>
      </w:r>
      <w:r>
        <w:rPr>
          <w:spacing w:val="-3"/>
          <w:sz w:val="15"/>
        </w:rPr>
        <w:t> </w:t>
      </w:r>
      <w:r>
        <w:rPr>
          <w:sz w:val="15"/>
        </w:rPr>
        <w:t>podmínky</w:t>
      </w:r>
      <w:r>
        <w:rPr>
          <w:spacing w:val="-3"/>
          <w:sz w:val="15"/>
        </w:rPr>
        <w:t> </w:t>
      </w:r>
      <w:r>
        <w:rPr>
          <w:sz w:val="15"/>
        </w:rPr>
        <w:t>dle</w:t>
      </w:r>
      <w:r>
        <w:rPr>
          <w:spacing w:val="-3"/>
          <w:sz w:val="15"/>
        </w:rPr>
        <w:t> </w:t>
      </w:r>
      <w:r>
        <w:rPr>
          <w:sz w:val="15"/>
        </w:rPr>
        <w:t>odst.</w:t>
      </w:r>
      <w:r>
        <w:rPr>
          <w:spacing w:val="-3"/>
          <w:sz w:val="15"/>
        </w:rPr>
        <w:t> </w:t>
      </w:r>
      <w:r>
        <w:rPr>
          <w:sz w:val="15"/>
        </w:rPr>
        <w:t>18.5</w:t>
      </w:r>
      <w:r>
        <w:rPr>
          <w:spacing w:val="-3"/>
          <w:sz w:val="15"/>
        </w:rPr>
        <w:t> </w:t>
      </w:r>
      <w:r>
        <w:rPr>
          <w:sz w:val="15"/>
        </w:rPr>
        <w:t>VP.</w:t>
      </w:r>
    </w:p>
    <w:p>
      <w:pPr>
        <w:pStyle w:val="ListParagraph"/>
        <w:numPr>
          <w:ilvl w:val="1"/>
          <w:numId w:val="1"/>
        </w:numPr>
        <w:tabs>
          <w:tab w:pos="634" w:val="left" w:leader="none"/>
        </w:tabs>
        <w:spacing w:line="249" w:lineRule="auto" w:before="5" w:after="0"/>
        <w:ind w:left="633" w:right="154" w:hanging="397"/>
        <w:jc w:val="both"/>
        <w:rPr>
          <w:sz w:val="15"/>
        </w:rPr>
      </w:pPr>
      <w:r>
        <w:rPr>
          <w:sz w:val="15"/>
        </w:rPr>
        <w:t>Poskytovatel je povinen informovat účastníka spotřebitele způsobem, který si zvolil pro zasílání vyúčtování, a to nejdříve 3 měsíce a nejpozději 1 měsíc před uplynutím účinnosti smlouvy sjednané na dobu určitou, o blížícím se ukončení smlouvy a o možnostech jejího prodloužení. Pokud účastník spotřebitel neudělí svůj prokazatelný souhlas s prodloužením smlouvy na dobu určitou, přechází smlouva ve smlouvu na dobu neurčitou.</w:t>
      </w:r>
    </w:p>
    <w:p>
      <w:pPr>
        <w:pStyle w:val="Heading3"/>
        <w:numPr>
          <w:ilvl w:val="0"/>
          <w:numId w:val="1"/>
        </w:numPr>
        <w:tabs>
          <w:tab w:pos="633" w:val="left" w:leader="none"/>
          <w:tab w:pos="634" w:val="left" w:leader="none"/>
        </w:tabs>
        <w:spacing w:line="240" w:lineRule="auto" w:before="60" w:after="0"/>
        <w:ind w:left="633" w:right="0" w:hanging="397"/>
        <w:jc w:val="left"/>
      </w:pPr>
      <w:r>
        <w:rPr/>
        <w:t>Závěrečná</w:t>
      </w:r>
      <w:r>
        <w:rPr>
          <w:spacing w:val="-13"/>
        </w:rPr>
        <w:t> </w:t>
      </w:r>
      <w:r>
        <w:rPr/>
        <w:t>ustanovení</w:t>
      </w:r>
    </w:p>
    <w:p>
      <w:pPr>
        <w:pStyle w:val="ListParagraph"/>
        <w:numPr>
          <w:ilvl w:val="1"/>
          <w:numId w:val="1"/>
        </w:numPr>
        <w:tabs>
          <w:tab w:pos="634" w:val="left" w:leader="none"/>
        </w:tabs>
        <w:spacing w:line="249" w:lineRule="auto" w:before="4" w:after="0"/>
        <w:ind w:left="633" w:right="113" w:hanging="397"/>
        <w:jc w:val="both"/>
        <w:rPr>
          <w:sz w:val="15"/>
        </w:rPr>
      </w:pPr>
      <w:r>
        <w:rPr>
          <w:sz w:val="15"/>
        </w:rPr>
        <w:t>Poskytovatel je oprávněn z důvodu zavedení nových služeb, změny podmínek na trhu elektronických komunikací, zkvalitnění sítě, vývoje nových technologií, inflace, změny právních předpisů, změny technických, provozních, obchodních nebo organizačních podmínek poskytovatele měnit smluvní podmínky (měnit, doplňovat a rušit jednotlivé dokumenty, které tvoří obsah smlouvy) v částech týkajících se níže uvedených oblastí smluvních ujednání: cena služby; způsob a podmínky vyúčtování; způsob a podmínky plateb za služby; způsob, rozsah, parametry a podmínky poskytování služeb; změna služby; rozsah práv a  povinností poskytovatele a účastníka; doba trvání smlouvy a služby; způsob a podmínky ukončení smlouvy a služby; způsob doručování účastníkovi; způsob a podmínky uplatnění a vyřízení reklamace; smluvní pokuty; odpovědnost za škodu; výhrady ve vztahu k právním předpisům; ujednání upravená právními předpisy, rozhodnutím soudu či správního orgánu; zpracování a uchovávání osobních, identifikačních, provozních a lokalizačních údajů. Poskytovatel je povinen nejméně 1 měsíc před nabytím účinnosti změny smluvních podmínek uveřejnit informaci o této změně</w:t>
      </w:r>
      <w:r>
        <w:rPr>
          <w:spacing w:val="-4"/>
          <w:sz w:val="15"/>
        </w:rPr>
        <w:t> </w:t>
      </w:r>
      <w:r>
        <w:rPr>
          <w:sz w:val="15"/>
        </w:rPr>
        <w:t>v</w:t>
      </w:r>
      <w:r>
        <w:rPr>
          <w:spacing w:val="-4"/>
          <w:sz w:val="15"/>
        </w:rPr>
        <w:t> </w:t>
      </w:r>
      <w:r>
        <w:rPr>
          <w:sz w:val="15"/>
        </w:rPr>
        <w:t>každé</w:t>
      </w:r>
      <w:r>
        <w:rPr>
          <w:spacing w:val="-4"/>
          <w:sz w:val="15"/>
        </w:rPr>
        <w:t> </w:t>
      </w:r>
      <w:r>
        <w:rPr>
          <w:sz w:val="15"/>
        </w:rPr>
        <w:t>své</w:t>
      </w:r>
      <w:r>
        <w:rPr>
          <w:spacing w:val="-4"/>
          <w:sz w:val="15"/>
        </w:rPr>
        <w:t> </w:t>
      </w:r>
      <w:r>
        <w:rPr>
          <w:sz w:val="15"/>
        </w:rPr>
        <w:t>provozovně</w:t>
      </w:r>
      <w:r>
        <w:rPr>
          <w:spacing w:val="-4"/>
          <w:sz w:val="15"/>
        </w:rPr>
        <w:t> </w:t>
      </w:r>
      <w:r>
        <w:rPr>
          <w:sz w:val="15"/>
        </w:rPr>
        <w:t>a</w:t>
      </w:r>
      <w:r>
        <w:rPr>
          <w:spacing w:val="-4"/>
          <w:sz w:val="15"/>
        </w:rPr>
        <w:t> </w:t>
      </w:r>
      <w:r>
        <w:rPr>
          <w:sz w:val="15"/>
        </w:rPr>
        <w:t>způsobem</w:t>
      </w:r>
      <w:r>
        <w:rPr>
          <w:spacing w:val="-3"/>
          <w:sz w:val="15"/>
        </w:rPr>
        <w:t> </w:t>
      </w:r>
      <w:r>
        <w:rPr>
          <w:sz w:val="15"/>
        </w:rPr>
        <w:t>umožňujícím</w:t>
      </w:r>
      <w:r>
        <w:rPr>
          <w:spacing w:val="-3"/>
          <w:sz w:val="15"/>
        </w:rPr>
        <w:t> </w:t>
      </w:r>
      <w:r>
        <w:rPr>
          <w:sz w:val="15"/>
        </w:rPr>
        <w:t>dálkový</w:t>
      </w:r>
      <w:r>
        <w:rPr>
          <w:spacing w:val="-4"/>
          <w:sz w:val="15"/>
        </w:rPr>
        <w:t> </w:t>
      </w:r>
      <w:r>
        <w:rPr>
          <w:sz w:val="15"/>
        </w:rPr>
        <w:t>přístup</w:t>
      </w:r>
    </w:p>
    <w:p>
      <w:pPr>
        <w:pStyle w:val="BodyText"/>
        <w:spacing w:line="249" w:lineRule="auto" w:before="2"/>
        <w:ind w:left="633" w:right="153" w:firstLine="0"/>
      </w:pPr>
      <w:r>
        <w:rPr/>
        <w:t>- na internetových stránkách poskytovatele. Zároveň je poskytovatel povinen informovat účastníka o uveřejnění, a to společně s aktuální fakturou za vyúčtování služeb. Pokud se jedná o změnu náležitostí smlouvy uvedených v § 63 odst. 1 písm. c) až p) a r) ZoEK, je poskytovatel povinen informovat účastníka rovněž o jeho právu ukončit smlouvu ke dni nabytí účinnosti této změny, a to bez sankce, jestliže nové podmínky nebude účastník akceptovat, a to způsobem, který si účastník zvolil pro zasílání vyúčtování. Účastník má právo požádat o ukončení smlouvy z výše uvedených důvodů ve lhůtě nejpozději 15 kalendářních dnů před účinností změny. Změna smluvních podmínek se nevztahuje na smlouvy nebo jejich části, u nichž běží výpovědní doba.</w:t>
      </w:r>
    </w:p>
    <w:p>
      <w:pPr>
        <w:pStyle w:val="BodyText"/>
        <w:spacing w:before="7"/>
        <w:ind w:left="0" w:firstLine="0"/>
        <w:jc w:val="left"/>
      </w:pPr>
    </w:p>
    <w:p>
      <w:pPr>
        <w:pStyle w:val="BodyText"/>
        <w:spacing w:before="1"/>
        <w:ind w:left="236" w:firstLine="0"/>
        <w:jc w:val="left"/>
      </w:pPr>
      <w:r>
        <w:rPr/>
        <w:t>Tyto všeobecné podmínky nabývají účinnosti dnem 1.1.2021.</w:t>
      </w:r>
    </w:p>
    <w:sectPr>
      <w:type w:val="continuous"/>
      <w:pgSz w:w="11910" w:h="16840"/>
      <w:pgMar w:top="260" w:bottom="440" w:left="280" w:right="300"/>
      <w:cols w:num="2" w:equalWidth="0">
        <w:col w:w="5593" w:space="40"/>
        <w:col w:w="569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Lucida Sans">
    <w:altName w:val="Lucida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5.900730pt;margin-top:818.065552pt;width:226.45pt;height:8pt;mso-position-horizontal-relative:page;mso-position-vertical-relative:page;z-index:-8728" type="#_x0000_t202" filled="false" stroked="false">
          <v:textbox inset="0,0,0,0">
            <w:txbxContent>
              <w:p>
                <w:pPr>
                  <w:spacing w:before="0"/>
                  <w:ind w:left="20" w:right="0" w:firstLine="0"/>
                  <w:jc w:val="left"/>
                  <w:rPr>
                    <w:sz w:val="12"/>
                  </w:rPr>
                </w:pPr>
                <w:r>
                  <w:rPr>
                    <w:sz w:val="12"/>
                  </w:rPr>
                  <w:t>Všeobecné podmínky poskytování služeb elektronických komunikací WIA spol. s r.o.</w:t>
                </w:r>
              </w:p>
            </w:txbxContent>
          </v:textbox>
          <w10:wrap type="none"/>
        </v:shape>
      </w:pict>
    </w:r>
    <w:r>
      <w:rPr/>
      <w:pict>
        <v:shape style="position:absolute;margin-left:423.205475pt;margin-top:818.065552pt;width:38.4pt;height:8pt;mso-position-horizontal-relative:page;mso-position-vertical-relative:page;z-index:-8704" type="#_x0000_t202" filled="false" stroked="false">
          <v:textbox inset="0,0,0,0">
            <w:txbxContent>
              <w:p>
                <w:pPr>
                  <w:spacing w:before="0"/>
                  <w:ind w:left="20" w:right="0" w:firstLine="0"/>
                  <w:jc w:val="left"/>
                  <w:rPr>
                    <w:sz w:val="12"/>
                  </w:rPr>
                </w:pPr>
                <w:r>
                  <w:rPr>
                    <w:sz w:val="12"/>
                  </w:rPr>
                  <w:t>verze 201228</w:t>
                </w:r>
              </w:p>
            </w:txbxContent>
          </v:textbox>
          <w10:wrap type="none"/>
        </v:shape>
      </w:pict>
    </w:r>
    <w:r>
      <w:rPr/>
      <w:pict>
        <v:shape style="position:absolute;margin-left:531.565674pt;margin-top:818.065552pt;width:34.4pt;height:8pt;mso-position-horizontal-relative:page;mso-position-vertical-relative:page;z-index:-8680" type="#_x0000_t202" filled="false" stroked="false">
          <v:textbox inset="0,0,0,0">
            <w:txbxContent>
              <w:p>
                <w:pPr>
                  <w:spacing w:before="0"/>
                  <w:ind w:left="20" w:right="0" w:firstLine="0"/>
                  <w:jc w:val="left"/>
                  <w:rPr>
                    <w:sz w:val="12"/>
                  </w:rPr>
                </w:pPr>
                <w:r>
                  <w:rPr>
                    <w:sz w:val="12"/>
                  </w:rPr>
                  <w:t>Strana </w:t>
                </w:r>
                <w:r>
                  <w:rPr/>
                  <w:fldChar w:fldCharType="begin"/>
                </w:r>
                <w:r>
                  <w:rPr>
                    <w:sz w:val="12"/>
                  </w:rPr>
                  <w:instrText> PAGE </w:instrText>
                </w:r>
                <w:r>
                  <w:rPr/>
                  <w:fldChar w:fldCharType="separate"/>
                </w:r>
                <w:r>
                  <w:rPr/>
                  <w:t>1</w:t>
                </w:r>
                <w:r>
                  <w:rPr/>
                  <w:fldChar w:fldCharType="end"/>
                </w:r>
                <w:r>
                  <w:rPr>
                    <w:sz w:val="12"/>
                  </w:rPr>
                  <w:t> z 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
      <w:numFmt w:val="lowerLetter"/>
      <w:lvlText w:val="%1)"/>
      <w:lvlJc w:val="left"/>
      <w:pPr>
        <w:ind w:left="858" w:hanging="170"/>
        <w:jc w:val="left"/>
      </w:pPr>
      <w:rPr>
        <w:rFonts w:hint="default" w:ascii="Arial" w:hAnsi="Arial" w:eastAsia="Arial" w:cs="Arial"/>
        <w:w w:val="99"/>
        <w:sz w:val="15"/>
        <w:szCs w:val="15"/>
      </w:rPr>
    </w:lvl>
    <w:lvl w:ilvl="1">
      <w:start w:val="0"/>
      <w:numFmt w:val="bullet"/>
      <w:lvlText w:val="•"/>
      <w:lvlJc w:val="left"/>
      <w:pPr>
        <w:ind w:left="1333" w:hanging="170"/>
      </w:pPr>
      <w:rPr>
        <w:rFonts w:hint="default"/>
      </w:rPr>
    </w:lvl>
    <w:lvl w:ilvl="2">
      <w:start w:val="0"/>
      <w:numFmt w:val="bullet"/>
      <w:lvlText w:val="•"/>
      <w:lvlJc w:val="left"/>
      <w:pPr>
        <w:ind w:left="1806" w:hanging="170"/>
      </w:pPr>
      <w:rPr>
        <w:rFonts w:hint="default"/>
      </w:rPr>
    </w:lvl>
    <w:lvl w:ilvl="3">
      <w:start w:val="0"/>
      <w:numFmt w:val="bullet"/>
      <w:lvlText w:val="•"/>
      <w:lvlJc w:val="left"/>
      <w:pPr>
        <w:ind w:left="2279" w:hanging="170"/>
      </w:pPr>
      <w:rPr>
        <w:rFonts w:hint="default"/>
      </w:rPr>
    </w:lvl>
    <w:lvl w:ilvl="4">
      <w:start w:val="0"/>
      <w:numFmt w:val="bullet"/>
      <w:lvlText w:val="•"/>
      <w:lvlJc w:val="left"/>
      <w:pPr>
        <w:ind w:left="2753" w:hanging="170"/>
      </w:pPr>
      <w:rPr>
        <w:rFonts w:hint="default"/>
      </w:rPr>
    </w:lvl>
    <w:lvl w:ilvl="5">
      <w:start w:val="0"/>
      <w:numFmt w:val="bullet"/>
      <w:lvlText w:val="•"/>
      <w:lvlJc w:val="left"/>
      <w:pPr>
        <w:ind w:left="3226" w:hanging="170"/>
      </w:pPr>
      <w:rPr>
        <w:rFonts w:hint="default"/>
      </w:rPr>
    </w:lvl>
    <w:lvl w:ilvl="6">
      <w:start w:val="0"/>
      <w:numFmt w:val="bullet"/>
      <w:lvlText w:val="•"/>
      <w:lvlJc w:val="left"/>
      <w:pPr>
        <w:ind w:left="3699" w:hanging="170"/>
      </w:pPr>
      <w:rPr>
        <w:rFonts w:hint="default"/>
      </w:rPr>
    </w:lvl>
    <w:lvl w:ilvl="7">
      <w:start w:val="0"/>
      <w:numFmt w:val="bullet"/>
      <w:lvlText w:val="•"/>
      <w:lvlJc w:val="left"/>
      <w:pPr>
        <w:ind w:left="4172" w:hanging="170"/>
      </w:pPr>
      <w:rPr>
        <w:rFonts w:hint="default"/>
      </w:rPr>
    </w:lvl>
    <w:lvl w:ilvl="8">
      <w:start w:val="0"/>
      <w:numFmt w:val="bullet"/>
      <w:lvlText w:val="•"/>
      <w:lvlJc w:val="left"/>
      <w:pPr>
        <w:ind w:left="4646" w:hanging="170"/>
      </w:pPr>
      <w:rPr>
        <w:rFonts w:hint="default"/>
      </w:rPr>
    </w:lvl>
  </w:abstractNum>
  <w:abstractNum w:abstractNumId="0">
    <w:multiLevelType w:val="hybridMultilevel"/>
    <w:lvl w:ilvl="0">
      <w:start w:val="1"/>
      <w:numFmt w:val="decimal"/>
      <w:lvlText w:val="%1"/>
      <w:lvlJc w:val="left"/>
      <w:pPr>
        <w:ind w:left="688" w:hanging="397"/>
        <w:jc w:val="right"/>
      </w:pPr>
      <w:rPr>
        <w:rFonts w:hint="default" w:ascii="Arial" w:hAnsi="Arial" w:eastAsia="Arial" w:cs="Arial"/>
        <w:b/>
        <w:bCs/>
        <w:w w:val="99"/>
        <w:sz w:val="15"/>
        <w:szCs w:val="15"/>
      </w:rPr>
    </w:lvl>
    <w:lvl w:ilvl="1">
      <w:start w:val="1"/>
      <w:numFmt w:val="decimal"/>
      <w:lvlText w:val="%1.%2"/>
      <w:lvlJc w:val="left"/>
      <w:pPr>
        <w:ind w:left="688" w:hanging="397"/>
        <w:jc w:val="left"/>
      </w:pPr>
      <w:rPr>
        <w:rFonts w:hint="default" w:ascii="Arial" w:hAnsi="Arial" w:eastAsia="Arial" w:cs="Arial"/>
        <w:w w:val="99"/>
        <w:sz w:val="15"/>
        <w:szCs w:val="15"/>
      </w:rPr>
    </w:lvl>
    <w:lvl w:ilvl="2">
      <w:start w:val="1"/>
      <w:numFmt w:val="lowerLetter"/>
      <w:lvlText w:val="%3)"/>
      <w:lvlJc w:val="left"/>
      <w:pPr>
        <w:ind w:left="858" w:hanging="170"/>
        <w:jc w:val="left"/>
      </w:pPr>
      <w:rPr>
        <w:rFonts w:hint="default" w:ascii="Arial" w:hAnsi="Arial" w:eastAsia="Arial" w:cs="Arial"/>
        <w:w w:val="99"/>
        <w:sz w:val="15"/>
        <w:szCs w:val="15"/>
      </w:rPr>
    </w:lvl>
    <w:lvl w:ilvl="3">
      <w:start w:val="1"/>
      <w:numFmt w:val="lowerRoman"/>
      <w:lvlText w:val="(%4)"/>
      <w:lvlJc w:val="left"/>
      <w:pPr>
        <w:ind w:left="1142" w:hanging="284"/>
        <w:jc w:val="left"/>
      </w:pPr>
      <w:rPr>
        <w:rFonts w:hint="default" w:ascii="Lucida Sans" w:hAnsi="Lucida Sans" w:eastAsia="Lucida Sans" w:cs="Lucida Sans"/>
        <w:w w:val="99"/>
        <w:sz w:val="15"/>
        <w:szCs w:val="15"/>
      </w:rPr>
    </w:lvl>
    <w:lvl w:ilvl="4">
      <w:start w:val="0"/>
      <w:numFmt w:val="bullet"/>
      <w:lvlText w:val="•"/>
      <w:lvlJc w:val="left"/>
      <w:pPr>
        <w:ind w:left="800" w:hanging="284"/>
      </w:pPr>
      <w:rPr>
        <w:rFonts w:hint="default"/>
      </w:rPr>
    </w:lvl>
    <w:lvl w:ilvl="5">
      <w:start w:val="0"/>
      <w:numFmt w:val="bullet"/>
      <w:lvlText w:val="•"/>
      <w:lvlJc w:val="left"/>
      <w:pPr>
        <w:ind w:left="860" w:hanging="284"/>
      </w:pPr>
      <w:rPr>
        <w:rFonts w:hint="default"/>
      </w:rPr>
    </w:lvl>
    <w:lvl w:ilvl="6">
      <w:start w:val="0"/>
      <w:numFmt w:val="bullet"/>
      <w:lvlText w:val="•"/>
      <w:lvlJc w:val="left"/>
      <w:pPr>
        <w:ind w:left="1140" w:hanging="284"/>
      </w:pPr>
      <w:rPr>
        <w:rFonts w:hint="default"/>
      </w:rPr>
    </w:lvl>
    <w:lvl w:ilvl="7">
      <w:start w:val="0"/>
      <w:numFmt w:val="bullet"/>
      <w:lvlText w:val="•"/>
      <w:lvlJc w:val="left"/>
      <w:pPr>
        <w:ind w:left="835" w:hanging="284"/>
      </w:pPr>
      <w:rPr>
        <w:rFonts w:hint="default"/>
      </w:rPr>
    </w:lvl>
    <w:lvl w:ilvl="8">
      <w:start w:val="0"/>
      <w:numFmt w:val="bullet"/>
      <w:lvlText w:val="•"/>
      <w:lvlJc w:val="left"/>
      <w:pPr>
        <w:ind w:left="530"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688" w:hanging="397"/>
      <w:jc w:val="both"/>
    </w:pPr>
    <w:rPr>
      <w:rFonts w:ascii="Arial" w:hAnsi="Arial" w:eastAsia="Arial" w:cs="Arial"/>
      <w:sz w:val="15"/>
      <w:szCs w:val="15"/>
    </w:rPr>
  </w:style>
  <w:style w:styleId="Heading1" w:type="paragraph">
    <w:name w:val="Heading 1"/>
    <w:basedOn w:val="Normal"/>
    <w:uiPriority w:val="1"/>
    <w:qFormat/>
    <w:pPr>
      <w:spacing w:before="79"/>
      <w:ind w:left="7382"/>
      <w:outlineLvl w:val="1"/>
    </w:pPr>
    <w:rPr>
      <w:rFonts w:ascii="Arial" w:hAnsi="Arial" w:eastAsia="Arial" w:cs="Arial"/>
      <w:sz w:val="32"/>
      <w:szCs w:val="32"/>
    </w:rPr>
  </w:style>
  <w:style w:styleId="Heading2" w:type="paragraph">
    <w:name w:val="Heading 2"/>
    <w:basedOn w:val="Normal"/>
    <w:uiPriority w:val="1"/>
    <w:qFormat/>
    <w:pPr>
      <w:spacing w:before="13"/>
      <w:ind w:left="4206"/>
      <w:outlineLvl w:val="2"/>
    </w:pPr>
    <w:rPr>
      <w:rFonts w:ascii="Arial" w:hAnsi="Arial" w:eastAsia="Arial" w:cs="Arial"/>
      <w:sz w:val="24"/>
      <w:szCs w:val="24"/>
    </w:rPr>
  </w:style>
  <w:style w:styleId="Heading3" w:type="paragraph">
    <w:name w:val="Heading 3"/>
    <w:basedOn w:val="Normal"/>
    <w:uiPriority w:val="1"/>
    <w:qFormat/>
    <w:pPr>
      <w:spacing w:before="60"/>
      <w:ind w:left="688" w:hanging="397"/>
      <w:outlineLvl w:val="3"/>
    </w:pPr>
    <w:rPr>
      <w:rFonts w:ascii="Arial" w:hAnsi="Arial" w:eastAsia="Arial" w:cs="Arial"/>
      <w:b/>
      <w:bCs/>
      <w:sz w:val="15"/>
      <w:szCs w:val="15"/>
    </w:rPr>
  </w:style>
  <w:style w:styleId="ListParagraph" w:type="paragraph">
    <w:name w:val="List Paragraph"/>
    <w:basedOn w:val="Normal"/>
    <w:uiPriority w:val="1"/>
    <w:qFormat/>
    <w:pPr>
      <w:ind w:left="688" w:hanging="397"/>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noc@wia.cz" TargetMode="External"/><Relationship Id="rId8" Type="http://schemas.openxmlformats.org/officeDocument/2006/relationships/hyperlink" Target="mailto:certified@adobe.com" TargetMode="External"/><Relationship Id="rId9" Type="http://schemas.openxmlformats.org/officeDocument/2006/relationships/hyperlink" Target="mailto:sales@wia.cz"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WIA_VOP_210101_v201228.docx</dc:title>
  <dcterms:created xsi:type="dcterms:W3CDTF">2023-06-26T09:12:35Z</dcterms:created>
  <dcterms:modified xsi:type="dcterms:W3CDTF">2023-06-26T09:12:35Z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Word</vt:lpwstr>
  </property>
  <property fmtid="{D5CDD505-2E9C-101B-9397-08002B2CF9AE}" pid="4" name="LastSaved">
    <vt:filetime>2023-06-26T00:00:00Z</vt:filetime>
  </property>
</Properties>
</file>