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58" w:firstLine="0"/>
        <w:jc w:val="left"/>
        <w:rPr>
          <w:rFonts w:ascii="Times New Roman"/>
          <w:sz w:val="20"/>
        </w:rPr>
      </w:pPr>
      <w:r>
        <w:rPr/>
        <w:pict>
          <v:shape style="position:absolute;margin-left:19.831238pt;margin-top:32.218773pt;width:11.55pt;height:790.25pt;mso-position-horizontal-relative:page;mso-position-vertical-relative:page;z-index:-4696" coordorigin="397,644" coordsize="231,15805" path="m628,644l512,644,494,647,454,669,415,726,397,839,397,16335,398,16353,408,16392,436,16431,491,16449,628,16449e" filled="false" stroked="true" strokeweight=".471136pt" strokecolor="#80bb27">
            <v:path arrowok="t"/>
            <v:stroke dashstyle="solid"/>
            <w10:wrap type="none"/>
          </v:shape>
        </w:pict>
      </w:r>
      <w:r>
        <w:rPr>
          <w:rFonts w:ascii="Times New Roman"/>
          <w:sz w:val="20"/>
        </w:rPr>
        <w:drawing>
          <wp:inline distT="0" distB="0" distL="0" distR="0">
            <wp:extent cx="1320250" cy="45529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20250" cy="455295"/>
                    </a:xfrm>
                    <a:prstGeom prst="rect">
                      <a:avLst/>
                    </a:prstGeom>
                  </pic:spPr>
                </pic:pic>
              </a:graphicData>
            </a:graphic>
          </wp:inline>
        </w:drawing>
      </w:r>
      <w:r>
        <w:rPr>
          <w:rFonts w:ascii="Times New Roman"/>
          <w:sz w:val="20"/>
        </w:rPr>
      </w:r>
    </w:p>
    <w:p>
      <w:pPr>
        <w:pStyle w:val="Heading3"/>
        <w:numPr>
          <w:ilvl w:val="0"/>
          <w:numId w:val="1"/>
        </w:numPr>
        <w:tabs>
          <w:tab w:pos="575" w:val="left" w:leader="none"/>
          <w:tab w:pos="576" w:val="left" w:leader="none"/>
        </w:tabs>
        <w:spacing w:line="240" w:lineRule="auto" w:before="92" w:after="0"/>
        <w:ind w:left="575" w:right="0" w:hanging="284"/>
        <w:jc w:val="left"/>
      </w:pPr>
      <w:r>
        <w:rPr/>
        <w:t>Úvodní ustanovení</w:t>
      </w:r>
    </w:p>
    <w:p>
      <w:pPr>
        <w:pStyle w:val="ListParagraph"/>
        <w:numPr>
          <w:ilvl w:val="1"/>
          <w:numId w:val="1"/>
        </w:numPr>
        <w:tabs>
          <w:tab w:pos="576" w:val="left" w:leader="none"/>
        </w:tabs>
        <w:spacing w:line="249" w:lineRule="auto" w:before="5" w:after="0"/>
        <w:ind w:left="575" w:right="31" w:hanging="284"/>
        <w:jc w:val="both"/>
        <w:rPr>
          <w:sz w:val="12"/>
        </w:rPr>
      </w:pPr>
      <w:r>
        <w:rPr>
          <w:sz w:val="12"/>
        </w:rPr>
        <w:t>Provozní podmínky poskytování připojení k síti Internet doplňují Všeobecné podmínky poskytování služeb elektronických komunikací WIA spol. s r.o. v platném znění.</w:t>
      </w:r>
    </w:p>
    <w:p>
      <w:pPr>
        <w:pStyle w:val="ListParagraph"/>
        <w:numPr>
          <w:ilvl w:val="1"/>
          <w:numId w:val="1"/>
        </w:numPr>
        <w:tabs>
          <w:tab w:pos="576" w:val="left" w:leader="none"/>
        </w:tabs>
        <w:spacing w:line="249" w:lineRule="auto" w:before="0" w:after="0"/>
        <w:ind w:left="575" w:right="31" w:hanging="284"/>
        <w:jc w:val="both"/>
        <w:rPr>
          <w:sz w:val="12"/>
        </w:rPr>
      </w:pPr>
      <w:r>
        <w:rPr>
          <w:sz w:val="12"/>
        </w:rPr>
        <w:t>Provozní podmínky poskytování připojení k síti Internet stanovují podrobné podmínky pro poskytování služby připojení k síti Internet.</w:t>
      </w:r>
    </w:p>
    <w:p>
      <w:pPr>
        <w:pStyle w:val="Heading3"/>
        <w:numPr>
          <w:ilvl w:val="0"/>
          <w:numId w:val="1"/>
        </w:numPr>
        <w:tabs>
          <w:tab w:pos="575" w:val="left" w:leader="none"/>
          <w:tab w:pos="576" w:val="left" w:leader="none"/>
        </w:tabs>
        <w:spacing w:line="240" w:lineRule="auto" w:before="62" w:after="0"/>
        <w:ind w:left="575" w:right="0" w:hanging="284"/>
        <w:jc w:val="left"/>
      </w:pPr>
      <w:r>
        <w:rPr/>
        <w:t>Definice pojmů</w:t>
      </w:r>
    </w:p>
    <w:p>
      <w:pPr>
        <w:pStyle w:val="ListParagraph"/>
        <w:numPr>
          <w:ilvl w:val="1"/>
          <w:numId w:val="1"/>
        </w:numPr>
        <w:tabs>
          <w:tab w:pos="576" w:val="left" w:leader="none"/>
        </w:tabs>
        <w:spacing w:line="249" w:lineRule="auto" w:before="5" w:after="0"/>
        <w:ind w:left="575" w:right="31" w:hanging="284"/>
        <w:jc w:val="both"/>
        <w:rPr>
          <w:sz w:val="12"/>
        </w:rPr>
      </w:pPr>
      <w:r>
        <w:rPr>
          <w:sz w:val="12"/>
        </w:rPr>
        <w:t>Všeobecné podmínky: Všeobecné podmínky poskytování služeb elektronických komunikací WIA spol. s r.o. v platném znění. Aktuální verze je dostupná na internetových stránkách </w:t>
      </w:r>
      <w:hyperlink r:id="rId7">
        <w:r>
          <w:rPr>
            <w:sz w:val="12"/>
          </w:rPr>
          <w:t>www.wia.cz</w:t>
        </w:r>
      </w:hyperlink>
      <w:r>
        <w:rPr>
          <w:sz w:val="12"/>
        </w:rPr>
        <w:t> v sekci dokumenty.</w:t>
      </w:r>
    </w:p>
    <w:p>
      <w:pPr>
        <w:pStyle w:val="ListParagraph"/>
        <w:numPr>
          <w:ilvl w:val="1"/>
          <w:numId w:val="1"/>
        </w:numPr>
        <w:tabs>
          <w:tab w:pos="576" w:val="left" w:leader="none"/>
        </w:tabs>
        <w:spacing w:line="249" w:lineRule="auto" w:before="0" w:after="0"/>
        <w:ind w:left="575" w:right="31" w:hanging="284"/>
        <w:jc w:val="both"/>
        <w:rPr>
          <w:sz w:val="12"/>
        </w:rPr>
      </w:pPr>
      <w:r>
        <w:rPr>
          <w:sz w:val="12"/>
        </w:rPr>
        <w:t>Provozní podmínky: Provozní podmínky poskytování připojení k síti Internet společnosti WIA spol. s r.o. v platném znění. Aktuální verze je dostupná na internetových stránkách </w:t>
      </w:r>
      <w:hyperlink r:id="rId7">
        <w:r>
          <w:rPr>
            <w:sz w:val="12"/>
          </w:rPr>
          <w:t>www.wia.cz</w:t>
        </w:r>
      </w:hyperlink>
      <w:r>
        <w:rPr>
          <w:sz w:val="12"/>
        </w:rPr>
        <w:t> v sekci dokumenty.</w:t>
      </w:r>
    </w:p>
    <w:p>
      <w:pPr>
        <w:pStyle w:val="ListParagraph"/>
        <w:numPr>
          <w:ilvl w:val="1"/>
          <w:numId w:val="1"/>
        </w:numPr>
        <w:tabs>
          <w:tab w:pos="576" w:val="left" w:leader="none"/>
        </w:tabs>
        <w:spacing w:line="240" w:lineRule="auto" w:before="0" w:after="0"/>
        <w:ind w:left="575" w:right="0" w:hanging="284"/>
        <w:jc w:val="left"/>
        <w:rPr>
          <w:sz w:val="12"/>
        </w:rPr>
      </w:pPr>
      <w:r>
        <w:rPr>
          <w:sz w:val="12"/>
        </w:rPr>
        <w:t>Podmínky: Souhrnně Všeobecné podmínky a Provozní podmínky.</w:t>
      </w:r>
    </w:p>
    <w:p>
      <w:pPr>
        <w:pStyle w:val="ListParagraph"/>
        <w:numPr>
          <w:ilvl w:val="1"/>
          <w:numId w:val="1"/>
        </w:numPr>
        <w:tabs>
          <w:tab w:pos="576" w:val="left" w:leader="none"/>
        </w:tabs>
        <w:spacing w:line="249" w:lineRule="auto" w:before="5" w:after="0"/>
        <w:ind w:left="575" w:right="31" w:hanging="284"/>
        <w:jc w:val="both"/>
        <w:rPr>
          <w:sz w:val="12"/>
        </w:rPr>
      </w:pPr>
      <w:r>
        <w:rPr>
          <w:sz w:val="12"/>
        </w:rPr>
        <w:t>Koncové zařízení: Zařízení poskytovatele umístěné v lokalitě uživatele, na kterém dochází k poskytnutí přístupu ke službě. Účastník nesmí žádným způsobem zasahovat do fyzické instalace nebo konfigurace koncového zařízení ani umožnit třetím osobám přístup (fyzický ani vzdálený) k těmto zařízením, a dále účastník odpovídá za to, že takto nebude činit ani uživatel. Účastník je povinen zajistit na své náklady bezvýpadkové napájení koncového zařízení a  zdržet se bezdůvodného odpojování koncového zařízení od elektrické sítě.</w:t>
      </w:r>
    </w:p>
    <w:p>
      <w:pPr>
        <w:pStyle w:val="ListParagraph"/>
        <w:numPr>
          <w:ilvl w:val="1"/>
          <w:numId w:val="1"/>
        </w:numPr>
        <w:tabs>
          <w:tab w:pos="576" w:val="left" w:leader="none"/>
        </w:tabs>
        <w:spacing w:line="249" w:lineRule="auto" w:before="0" w:after="0"/>
        <w:ind w:left="575" w:right="31" w:hanging="284"/>
        <w:jc w:val="both"/>
        <w:rPr>
          <w:sz w:val="12"/>
        </w:rPr>
      </w:pPr>
      <w:r>
        <w:rPr>
          <w:sz w:val="12"/>
        </w:rPr>
        <w:t>Koncový bod služby: Fyzický spojovací bod, ve kterém je uživateli poskytován přístup ke službě. Není-li ve smlouvě nebo technickém projektu uvedeno jinak, rozumí se koncovým bodem port v koncovém zařízení nebo zabezpečená WiFi síť koncového</w:t>
      </w:r>
      <w:r>
        <w:rPr>
          <w:spacing w:val="-2"/>
          <w:sz w:val="12"/>
        </w:rPr>
        <w:t> </w:t>
      </w:r>
      <w:r>
        <w:rPr>
          <w:sz w:val="12"/>
        </w:rPr>
        <w:t>zařízení.</w:t>
      </w:r>
    </w:p>
    <w:p>
      <w:pPr>
        <w:pStyle w:val="ListParagraph"/>
        <w:numPr>
          <w:ilvl w:val="1"/>
          <w:numId w:val="1"/>
        </w:numPr>
        <w:tabs>
          <w:tab w:pos="576" w:val="left" w:leader="none"/>
        </w:tabs>
        <w:spacing w:line="249" w:lineRule="auto" w:before="0" w:after="0"/>
        <w:ind w:left="575" w:right="31" w:hanging="284"/>
        <w:jc w:val="both"/>
        <w:rPr>
          <w:sz w:val="12"/>
        </w:rPr>
      </w:pPr>
      <w:r>
        <w:rPr>
          <w:sz w:val="12"/>
        </w:rPr>
        <w:t>Síť uživatele: Zařízení, případně soubor zařízení, která jsou připojena za koncovým bodem služby nebo zařízení připojená do WiFi sítě koncového zařízení. Síť uživatele je ve správě uživatele a poskytovatel za jeho provoz a parametry neodpovídá.</w:t>
      </w:r>
    </w:p>
    <w:p>
      <w:pPr>
        <w:pStyle w:val="ListParagraph"/>
        <w:numPr>
          <w:ilvl w:val="1"/>
          <w:numId w:val="1"/>
        </w:numPr>
        <w:tabs>
          <w:tab w:pos="576" w:val="left" w:leader="none"/>
        </w:tabs>
        <w:spacing w:line="249" w:lineRule="auto" w:before="0" w:after="0"/>
        <w:ind w:left="575" w:right="31" w:hanging="284"/>
        <w:jc w:val="both"/>
        <w:rPr>
          <w:sz w:val="12"/>
        </w:rPr>
      </w:pPr>
      <w:r>
        <w:rPr>
          <w:sz w:val="12"/>
        </w:rPr>
        <w:t>Služba: Zprostředkování přístupu uživatelů k síti Internet (přeprava informací uživatele z/do sítě Internet) při využití datové sítě poskytovatele.</w:t>
      </w:r>
    </w:p>
    <w:p>
      <w:pPr>
        <w:pStyle w:val="ListParagraph"/>
        <w:numPr>
          <w:ilvl w:val="1"/>
          <w:numId w:val="1"/>
        </w:numPr>
        <w:tabs>
          <w:tab w:pos="576" w:val="left" w:leader="none"/>
        </w:tabs>
        <w:spacing w:line="249" w:lineRule="auto" w:before="0" w:after="0"/>
        <w:ind w:left="575" w:right="31" w:hanging="284"/>
        <w:jc w:val="both"/>
        <w:rPr>
          <w:sz w:val="12"/>
        </w:rPr>
      </w:pPr>
      <w:r>
        <w:rPr>
          <w:sz w:val="12"/>
        </w:rPr>
        <w:t>Závada: Přerušení služby nebo provoz služby, při němž jsou hodnoty parametrů provozu  služby mimo povolené meze.</w:t>
      </w:r>
    </w:p>
    <w:p>
      <w:pPr>
        <w:pStyle w:val="ListParagraph"/>
        <w:numPr>
          <w:ilvl w:val="1"/>
          <w:numId w:val="1"/>
        </w:numPr>
        <w:tabs>
          <w:tab w:pos="576" w:val="left" w:leader="none"/>
        </w:tabs>
        <w:spacing w:line="249" w:lineRule="auto" w:before="0" w:after="0"/>
        <w:ind w:left="575" w:right="31" w:hanging="284"/>
        <w:jc w:val="both"/>
        <w:rPr>
          <w:sz w:val="12"/>
        </w:rPr>
      </w:pPr>
      <w:r>
        <w:rPr>
          <w:sz w:val="12"/>
        </w:rPr>
        <w:t>Maximální rychlost služby: Maximální rychlost služby je rychlost odpovídající stahování (download) a vkládání (upload) dat, která odpovídá přenosovým možnostem technologie použité při poskytování služby v kombinaci s fyzikálními vlastnostmi přípojného vedení a koncového bodu služby. Maximální rychlost služby představuje teoretické maximum rychlosti pro výběr poskytované služby a může se v průběhu času měnit zejména v závislosti na změnách fyzikálních vlastnostech přípojného vedení. Maximální rychlost v okamžiku uzavření smlouvy je uvedena ve smlouvě/objednávce.</w:t>
      </w:r>
    </w:p>
    <w:p>
      <w:pPr>
        <w:pStyle w:val="ListParagraph"/>
        <w:numPr>
          <w:ilvl w:val="1"/>
          <w:numId w:val="1"/>
        </w:numPr>
        <w:tabs>
          <w:tab w:pos="576" w:val="left" w:leader="none"/>
        </w:tabs>
        <w:spacing w:line="249" w:lineRule="auto" w:before="0" w:after="0"/>
        <w:ind w:left="575" w:right="31" w:hanging="284"/>
        <w:jc w:val="both"/>
        <w:rPr>
          <w:sz w:val="12"/>
        </w:rPr>
      </w:pPr>
      <w:r>
        <w:rPr>
          <w:sz w:val="12"/>
        </w:rPr>
        <w:t>Inzerovaná rychlost služby: Inzerovaná rychlost služby je rychlost odpovídající maximální rychlosti stahování (download) a vkládání (upload) dat uvedené v parametrech varianty služby, kterou si účastník zvolil při uzavření smlouvy/objednávky. Inzerovaná rychlost služby je menší nebo rovna Maximální rychlosti služby a je uvedena ve</w:t>
      </w:r>
      <w:r>
        <w:rPr>
          <w:spacing w:val="-1"/>
          <w:sz w:val="12"/>
        </w:rPr>
        <w:t> </w:t>
      </w:r>
      <w:r>
        <w:rPr>
          <w:sz w:val="12"/>
        </w:rPr>
        <w:t>smlouvě/objednávce.</w:t>
      </w:r>
    </w:p>
    <w:p>
      <w:pPr>
        <w:pStyle w:val="ListParagraph"/>
        <w:numPr>
          <w:ilvl w:val="1"/>
          <w:numId w:val="1"/>
        </w:numPr>
        <w:tabs>
          <w:tab w:pos="576" w:val="left" w:leader="none"/>
        </w:tabs>
        <w:spacing w:line="249" w:lineRule="auto" w:before="0" w:after="0"/>
        <w:ind w:left="575" w:right="31" w:hanging="284"/>
        <w:jc w:val="both"/>
        <w:rPr>
          <w:sz w:val="12"/>
        </w:rPr>
      </w:pPr>
      <w:r>
        <w:rPr>
          <w:sz w:val="12"/>
        </w:rPr>
        <w:t>Běžně dostupná rychlost služby: Běžně dostupná rychlost služby je rychlost odpovídající stahování (download) a vkládání (upload) dat, jejiž hodnotu může uživatel předpokládat a  reálně dosahovat v době, kdy danou službu používá. Není-li ve smlouvě/objednávce uvedeno jinak, odpovídá hodnota běžně dostupné rychlosti služby alespoň 60% hodnoty Inzerované rychlosti služby a je dostupná v 95 % času během jednoho kalendářního dne.</w:t>
      </w:r>
    </w:p>
    <w:p>
      <w:pPr>
        <w:pStyle w:val="ListParagraph"/>
        <w:numPr>
          <w:ilvl w:val="1"/>
          <w:numId w:val="1"/>
        </w:numPr>
        <w:tabs>
          <w:tab w:pos="576" w:val="left" w:leader="none"/>
        </w:tabs>
        <w:spacing w:line="254" w:lineRule="auto" w:before="0" w:after="0"/>
        <w:ind w:left="575" w:right="31" w:hanging="284"/>
        <w:jc w:val="both"/>
        <w:rPr>
          <w:sz w:val="12"/>
        </w:rPr>
      </w:pPr>
      <w:r>
        <w:rPr>
          <w:sz w:val="12"/>
        </w:rPr>
        <w:t>Minimální rychlost služby: Minimální rychlostí služby se rozumí nejnižší rychlost stahování (download) nebo vkládání (upload) dat, kterou se poskytovatel zavazuje uživateli poskytnout. Není-li ve smlouvě/objednávce uvedeno jinak, odpovídá hodnota minimální rychlosti služby alespoň 30 % hodnoty Inzerované rychlosti služby.</w:t>
      </w:r>
    </w:p>
    <w:p>
      <w:pPr>
        <w:pStyle w:val="ListParagraph"/>
        <w:numPr>
          <w:ilvl w:val="1"/>
          <w:numId w:val="1"/>
        </w:numPr>
        <w:tabs>
          <w:tab w:pos="576" w:val="left" w:leader="none"/>
        </w:tabs>
        <w:spacing w:line="249" w:lineRule="auto" w:before="0" w:after="0"/>
        <w:ind w:left="575" w:right="31" w:hanging="284"/>
        <w:jc w:val="both"/>
        <w:rPr>
          <w:sz w:val="12"/>
        </w:rPr>
      </w:pPr>
      <w:r>
        <w:rPr>
          <w:sz w:val="12"/>
        </w:rPr>
        <w:t>Skutečně dosahovaná rychlost: Skutečně dosahovanou rychlostí se rozumí rychlost služby dosahovaná při používání služby uživatelem. Protože síť Internet je decentralizována byla jako referenční hodnota pro určení Skutečně dostupné rychlosti stanovena rychlost stahování (download) nebo vkládání (upload) dat mezi koncovým bodem služby a servery měřící aplikace Netmetr.cz. Měření skutečně dosahované rychlosti probíhá v jinak nezatíženém koncovém bodě služby aplikací netmetr.cz, běžící na zařízení s dostatečným výpočetním výkonem a kapacitou síťového rozhraní převyšující běžně dostupnou rychlost min. o 30 % na kterém bude spuštěna pouze měřící aplikace. Výsledná skutečně dosahovaná rychlost je pak průměr ze tří po sobě jdoucích měření s připočtením odchylky aplikace netmetr.cz (10 % - 30 %). U služeb s Inzerovanou rychlostí vyšší než 100 Mbps musí být zjištění Skutečně dosahované rychlosti provedeno měřícím zařízením s dedikovaným hardware. Podrobnější instrukce pro zjišťování skutečně dosahované rychlosti jsou uvedeny v doporučené metodice ČTÚ na adrese </w:t>
      </w:r>
      <w:hyperlink r:id="rId8">
        <w:r>
          <w:rPr>
            <w:sz w:val="12"/>
          </w:rPr>
          <w:t>https://www.ctu.cz/sites/default/files/obsah/stranky/937/soubory/merenidatovychparametrusitipo</w:t>
        </w:r>
      </w:hyperlink>
      <w:r>
        <w:rPr>
          <w:sz w:val="12"/>
        </w:rPr>
        <w:t> mocitcpprotokoluverze2.0.pdf.</w:t>
      </w:r>
    </w:p>
    <w:p>
      <w:pPr>
        <w:pStyle w:val="ListParagraph"/>
        <w:numPr>
          <w:ilvl w:val="1"/>
          <w:numId w:val="1"/>
        </w:numPr>
        <w:tabs>
          <w:tab w:pos="576" w:val="left" w:leader="none"/>
        </w:tabs>
        <w:spacing w:line="249" w:lineRule="auto" w:before="3" w:after="0"/>
        <w:ind w:left="575" w:right="31" w:hanging="284"/>
        <w:jc w:val="both"/>
        <w:rPr>
          <w:sz w:val="12"/>
        </w:rPr>
      </w:pPr>
      <w:r>
        <w:rPr>
          <w:sz w:val="12"/>
        </w:rPr>
        <w:t>Velká trvající odchylka: Za velkou trvající odchylku od Běžně dostupné rychlosti stahování (download) nebo vkládání (upload) dat se považuje taková odchylka, která vytváří souvislý pokles výkonu služby, tj. pokles Skutečně dosahované rychlosti pod hodnotu běžně dostupné rychlosti v intervalu delším než 70 minut.</w:t>
      </w:r>
    </w:p>
    <w:p>
      <w:pPr>
        <w:pStyle w:val="ListParagraph"/>
        <w:numPr>
          <w:ilvl w:val="1"/>
          <w:numId w:val="1"/>
        </w:numPr>
        <w:tabs>
          <w:tab w:pos="576" w:val="left" w:leader="none"/>
        </w:tabs>
        <w:spacing w:line="249" w:lineRule="auto" w:before="0" w:after="0"/>
        <w:ind w:left="575" w:right="31" w:hanging="284"/>
        <w:jc w:val="both"/>
        <w:rPr>
          <w:sz w:val="12"/>
        </w:rPr>
      </w:pPr>
      <w:r>
        <w:rPr>
          <w:sz w:val="12"/>
        </w:rPr>
        <w:t>Velká opakující se odchylka: Za velkou opakující se odchylku od běžně dostupné rychlosti stahování (download) nebo vkládání (upload) dat se považuje taková odchylka, při které dojde alespoň ke třem poklesům Skutečně dosahované rychlosti pod hodnotu Běžně dostupné rychlosti v intervalu delším nebo rovno 3,5 minutám v časovém úseku 90</w:t>
      </w:r>
      <w:r>
        <w:rPr>
          <w:spacing w:val="-1"/>
          <w:sz w:val="12"/>
        </w:rPr>
        <w:t> </w:t>
      </w:r>
      <w:r>
        <w:rPr>
          <w:sz w:val="12"/>
        </w:rPr>
        <w:t>minut.</w:t>
      </w:r>
    </w:p>
    <w:p>
      <w:pPr>
        <w:pStyle w:val="ListParagraph"/>
        <w:numPr>
          <w:ilvl w:val="1"/>
          <w:numId w:val="1"/>
        </w:numPr>
        <w:tabs>
          <w:tab w:pos="576" w:val="left" w:leader="none"/>
        </w:tabs>
        <w:spacing w:line="249" w:lineRule="auto" w:before="0" w:after="0"/>
        <w:ind w:left="575" w:right="0" w:hanging="284"/>
        <w:jc w:val="both"/>
        <w:rPr>
          <w:sz w:val="12"/>
        </w:rPr>
      </w:pPr>
      <w:r>
        <w:rPr>
          <w:sz w:val="12"/>
        </w:rPr>
        <w:t>Další definice pojmů zde neuvedené vycházejí z všeobecných podmínek, případně ze zákona č. 127/2005 Sb., zákon o elektronických komunikací, v platném</w:t>
      </w:r>
      <w:r>
        <w:rPr>
          <w:spacing w:val="-1"/>
          <w:sz w:val="12"/>
        </w:rPr>
        <w:t> </w:t>
      </w:r>
      <w:r>
        <w:rPr>
          <w:sz w:val="12"/>
        </w:rPr>
        <w:t>znění.</w:t>
      </w:r>
    </w:p>
    <w:p>
      <w:pPr>
        <w:pStyle w:val="Heading3"/>
        <w:numPr>
          <w:ilvl w:val="0"/>
          <w:numId w:val="1"/>
        </w:numPr>
        <w:tabs>
          <w:tab w:pos="575" w:val="left" w:leader="none"/>
          <w:tab w:pos="576" w:val="left" w:leader="none"/>
        </w:tabs>
        <w:spacing w:line="240" w:lineRule="auto" w:before="58" w:after="0"/>
        <w:ind w:left="575" w:right="0" w:hanging="284"/>
        <w:jc w:val="left"/>
      </w:pPr>
      <w:r>
        <w:rPr/>
        <w:t>Zřízení služby</w:t>
      </w:r>
    </w:p>
    <w:p>
      <w:pPr>
        <w:pStyle w:val="ListParagraph"/>
        <w:numPr>
          <w:ilvl w:val="1"/>
          <w:numId w:val="1"/>
        </w:numPr>
        <w:tabs>
          <w:tab w:pos="576" w:val="left" w:leader="none"/>
        </w:tabs>
        <w:spacing w:line="252" w:lineRule="auto" w:before="6" w:after="0"/>
        <w:ind w:left="575" w:right="31" w:hanging="284"/>
        <w:jc w:val="both"/>
        <w:rPr>
          <w:sz w:val="12"/>
        </w:rPr>
      </w:pPr>
      <w:r>
        <w:rPr>
          <w:sz w:val="12"/>
        </w:rPr>
        <w:t>Poskytovatel a účastník uzavřou Smlouvu o připojení k síti Internet nebo Smlouvu o  poskytování služby WIA MAX nebo Rámcovou smlouvu s jednotlivými technickými specifikacemi. V případě nestandardního technického řešení může být ke smlouvě přiložen technický projekt, který obsahuje popis technického řešení požadavků účastníka na provozní parametry služby.</w:t>
      </w:r>
    </w:p>
    <w:p>
      <w:pPr>
        <w:pStyle w:val="ListParagraph"/>
        <w:numPr>
          <w:ilvl w:val="1"/>
          <w:numId w:val="1"/>
        </w:numPr>
        <w:tabs>
          <w:tab w:pos="576" w:val="left" w:leader="none"/>
        </w:tabs>
        <w:spacing w:line="137" w:lineRule="exact" w:before="0" w:after="0"/>
        <w:ind w:left="575" w:right="0" w:hanging="284"/>
        <w:jc w:val="left"/>
        <w:rPr>
          <w:sz w:val="12"/>
        </w:rPr>
      </w:pPr>
      <w:r>
        <w:rPr>
          <w:sz w:val="12"/>
        </w:rPr>
        <w:t>Poskytovatel zřizuje koncový bod na základě údajů ve smlouvě, příp. technického projektu.</w:t>
      </w:r>
    </w:p>
    <w:p>
      <w:pPr>
        <w:pStyle w:val="ListParagraph"/>
        <w:numPr>
          <w:ilvl w:val="1"/>
          <w:numId w:val="1"/>
        </w:numPr>
        <w:tabs>
          <w:tab w:pos="576" w:val="left" w:leader="none"/>
        </w:tabs>
        <w:spacing w:line="240" w:lineRule="auto" w:before="6" w:after="0"/>
        <w:ind w:left="575" w:right="0" w:hanging="284"/>
        <w:jc w:val="left"/>
        <w:rPr>
          <w:sz w:val="12"/>
        </w:rPr>
      </w:pPr>
      <w:r>
        <w:rPr>
          <w:sz w:val="12"/>
        </w:rPr>
        <w:t>Zřízení koncového bodu v termínu je podmíněno tím, že účastník:</w:t>
      </w:r>
    </w:p>
    <w:p>
      <w:pPr>
        <w:pStyle w:val="ListParagraph"/>
        <w:numPr>
          <w:ilvl w:val="2"/>
          <w:numId w:val="1"/>
        </w:numPr>
        <w:tabs>
          <w:tab w:pos="746" w:val="left" w:leader="none"/>
        </w:tabs>
        <w:spacing w:line="240" w:lineRule="auto" w:before="6" w:after="0"/>
        <w:ind w:left="745" w:right="0" w:hanging="170"/>
        <w:jc w:val="left"/>
        <w:rPr>
          <w:sz w:val="12"/>
        </w:rPr>
      </w:pPr>
      <w:r>
        <w:rPr>
          <w:sz w:val="12"/>
        </w:rPr>
        <w:t>ve smlouvě nebo v technickém projektu přesně a definitivně určil jeho</w:t>
      </w:r>
      <w:r>
        <w:rPr>
          <w:spacing w:val="-1"/>
          <w:sz w:val="12"/>
        </w:rPr>
        <w:t> </w:t>
      </w:r>
      <w:r>
        <w:rPr>
          <w:sz w:val="12"/>
        </w:rPr>
        <w:t>umístění;</w:t>
      </w:r>
    </w:p>
    <w:p>
      <w:pPr>
        <w:pStyle w:val="ListParagraph"/>
        <w:numPr>
          <w:ilvl w:val="2"/>
          <w:numId w:val="1"/>
        </w:numPr>
        <w:tabs>
          <w:tab w:pos="746" w:val="left" w:leader="none"/>
        </w:tabs>
        <w:spacing w:line="240" w:lineRule="auto" w:before="6" w:after="0"/>
        <w:ind w:left="745" w:right="0" w:hanging="170"/>
        <w:jc w:val="left"/>
        <w:rPr>
          <w:sz w:val="12"/>
        </w:rPr>
      </w:pPr>
      <w:r>
        <w:rPr>
          <w:sz w:val="12"/>
        </w:rPr>
        <w:t>zajistil souhlas majitele objektu a majitele vnitřních rozvodů s instalací, pokud je nutný;</w:t>
      </w:r>
    </w:p>
    <w:p>
      <w:pPr>
        <w:pStyle w:val="ListParagraph"/>
        <w:numPr>
          <w:ilvl w:val="2"/>
          <w:numId w:val="1"/>
        </w:numPr>
        <w:tabs>
          <w:tab w:pos="746" w:val="left" w:leader="none"/>
        </w:tabs>
        <w:spacing w:line="240" w:lineRule="auto" w:before="6" w:after="0"/>
        <w:ind w:left="745" w:right="0" w:hanging="170"/>
        <w:jc w:val="left"/>
        <w:rPr>
          <w:sz w:val="12"/>
        </w:rPr>
      </w:pPr>
      <w:r>
        <w:rPr>
          <w:sz w:val="12"/>
        </w:rPr>
        <w:t>poskytl veškeré nezbytné podklady pro zpracování technického projektu, pokud je nutný;</w:t>
      </w:r>
    </w:p>
    <w:p>
      <w:pPr>
        <w:pStyle w:val="ListParagraph"/>
        <w:numPr>
          <w:ilvl w:val="2"/>
          <w:numId w:val="1"/>
        </w:numPr>
        <w:tabs>
          <w:tab w:pos="746" w:val="left" w:leader="none"/>
        </w:tabs>
        <w:spacing w:line="240" w:lineRule="auto" w:before="6" w:after="0"/>
        <w:ind w:left="745" w:right="0" w:hanging="170"/>
        <w:jc w:val="left"/>
        <w:rPr>
          <w:sz w:val="12"/>
        </w:rPr>
      </w:pPr>
      <w:r>
        <w:rPr>
          <w:sz w:val="12"/>
        </w:rPr>
        <w:t>poskytl veškeré nezbytné podklady pro zajištění příslušných povolení, pokud jsou</w:t>
      </w:r>
      <w:r>
        <w:rPr>
          <w:spacing w:val="-1"/>
          <w:sz w:val="12"/>
        </w:rPr>
        <w:t> </w:t>
      </w:r>
      <w:r>
        <w:rPr>
          <w:sz w:val="12"/>
        </w:rPr>
        <w:t>nutná;</w:t>
      </w:r>
    </w:p>
    <w:p>
      <w:pPr>
        <w:pStyle w:val="ListParagraph"/>
        <w:numPr>
          <w:ilvl w:val="2"/>
          <w:numId w:val="1"/>
        </w:numPr>
        <w:tabs>
          <w:tab w:pos="746" w:val="left" w:leader="none"/>
        </w:tabs>
        <w:spacing w:line="240" w:lineRule="auto" w:before="6" w:after="0"/>
        <w:ind w:left="745" w:right="0" w:hanging="170"/>
        <w:jc w:val="left"/>
        <w:rPr>
          <w:sz w:val="12"/>
        </w:rPr>
      </w:pPr>
      <w:r>
        <w:rPr>
          <w:sz w:val="12"/>
        </w:rPr>
        <w:t>odsouhlasil technický projekt, pokud byl zpracován;</w:t>
      </w:r>
    </w:p>
    <w:p>
      <w:pPr>
        <w:pStyle w:val="ListParagraph"/>
        <w:numPr>
          <w:ilvl w:val="2"/>
          <w:numId w:val="1"/>
        </w:numPr>
        <w:tabs>
          <w:tab w:pos="746" w:val="left" w:leader="none"/>
        </w:tabs>
        <w:spacing w:line="240" w:lineRule="auto" w:before="6" w:after="0"/>
        <w:ind w:left="745" w:right="0" w:hanging="170"/>
        <w:jc w:val="left"/>
        <w:rPr>
          <w:sz w:val="12"/>
        </w:rPr>
      </w:pPr>
      <w:r>
        <w:rPr>
          <w:sz w:val="12"/>
        </w:rPr>
        <w:t>zajistil prostředí pro jeho instalaci;</w:t>
      </w:r>
    </w:p>
    <w:p>
      <w:pPr>
        <w:pStyle w:val="ListParagraph"/>
        <w:numPr>
          <w:ilvl w:val="2"/>
          <w:numId w:val="1"/>
        </w:numPr>
        <w:tabs>
          <w:tab w:pos="746" w:val="left" w:leader="none"/>
        </w:tabs>
        <w:spacing w:line="240" w:lineRule="auto" w:before="6" w:after="0"/>
        <w:ind w:left="745" w:right="0" w:hanging="170"/>
        <w:jc w:val="left"/>
        <w:rPr>
          <w:sz w:val="12"/>
        </w:rPr>
      </w:pPr>
      <w:r>
        <w:rPr>
          <w:sz w:val="12"/>
        </w:rPr>
        <w:t>umožnil přístup do prostor, kde bude umístěn.</w:t>
      </w:r>
    </w:p>
    <w:p>
      <w:pPr>
        <w:pStyle w:val="ListParagraph"/>
        <w:numPr>
          <w:ilvl w:val="1"/>
          <w:numId w:val="1"/>
        </w:numPr>
        <w:tabs>
          <w:tab w:pos="576" w:val="left" w:leader="none"/>
        </w:tabs>
        <w:spacing w:line="240" w:lineRule="auto" w:before="6" w:after="0"/>
        <w:ind w:left="575" w:right="0" w:hanging="284"/>
        <w:jc w:val="left"/>
        <w:rPr>
          <w:sz w:val="12"/>
        </w:rPr>
      </w:pPr>
      <w:r>
        <w:rPr>
          <w:sz w:val="12"/>
        </w:rPr>
        <w:t>Po zřízení koncového bodu poskytovatel nakonfiguruje a zprovozní</w:t>
      </w:r>
      <w:r>
        <w:rPr>
          <w:spacing w:val="-1"/>
          <w:sz w:val="12"/>
        </w:rPr>
        <w:t> </w:t>
      </w:r>
      <w:r>
        <w:rPr>
          <w:sz w:val="12"/>
        </w:rPr>
        <w:t>službu.</w:t>
      </w:r>
    </w:p>
    <w:p>
      <w:pPr>
        <w:pStyle w:val="ListParagraph"/>
        <w:numPr>
          <w:ilvl w:val="1"/>
          <w:numId w:val="1"/>
        </w:numPr>
        <w:tabs>
          <w:tab w:pos="576" w:val="left" w:leader="none"/>
        </w:tabs>
        <w:spacing w:line="249" w:lineRule="auto" w:before="6" w:after="0"/>
        <w:ind w:left="575" w:right="31" w:hanging="284"/>
        <w:jc w:val="both"/>
        <w:rPr>
          <w:sz w:val="12"/>
        </w:rPr>
      </w:pPr>
      <w:r>
        <w:rPr>
          <w:sz w:val="12"/>
        </w:rPr>
        <w:t>Po zprovoznění služby pověřené osoby účastníka a poskytovatele prověří funkčnost služby a podepíší Předávací protokol. Služba je zřízena dnem uvedeným v podepsaném Předávacím protokolu, jejím prokazatelným uvedením do provozu nebo jejím prvním</w:t>
      </w:r>
      <w:r>
        <w:rPr>
          <w:spacing w:val="-1"/>
          <w:sz w:val="12"/>
        </w:rPr>
        <w:t> </w:t>
      </w:r>
      <w:r>
        <w:rPr>
          <w:sz w:val="12"/>
        </w:rPr>
        <w:t>využitím.</w:t>
      </w:r>
    </w:p>
    <w:p>
      <w:pPr>
        <w:pStyle w:val="ListParagraph"/>
        <w:numPr>
          <w:ilvl w:val="1"/>
          <w:numId w:val="1"/>
        </w:numPr>
        <w:tabs>
          <w:tab w:pos="576" w:val="left" w:leader="none"/>
        </w:tabs>
        <w:spacing w:line="249" w:lineRule="auto" w:before="0" w:after="0"/>
        <w:ind w:left="575" w:right="31" w:hanging="284"/>
        <w:jc w:val="both"/>
        <w:rPr>
          <w:sz w:val="12"/>
        </w:rPr>
      </w:pPr>
      <w:r>
        <w:rPr>
          <w:sz w:val="12"/>
        </w:rPr>
        <w:t>Termíny zřízení služby resp. zřízení změny služby platí pouze za předpokladu, že existuje souhlas majitele objektu a majitele vnitřních rozvodů, a že úřední povolení jsou vydána v základní správní lhůtě.</w:t>
      </w:r>
    </w:p>
    <w:p>
      <w:pPr>
        <w:pStyle w:val="Heading3"/>
        <w:numPr>
          <w:ilvl w:val="0"/>
          <w:numId w:val="1"/>
        </w:numPr>
        <w:tabs>
          <w:tab w:pos="575" w:val="left" w:leader="none"/>
          <w:tab w:pos="576" w:val="left" w:leader="none"/>
        </w:tabs>
        <w:spacing w:line="240" w:lineRule="auto" w:before="57" w:after="0"/>
        <w:ind w:left="575" w:right="0" w:hanging="284"/>
        <w:jc w:val="left"/>
      </w:pPr>
      <w:r>
        <w:rPr/>
        <w:t>Změna parametrů služby</w:t>
      </w:r>
    </w:p>
    <w:p>
      <w:pPr>
        <w:pStyle w:val="ListParagraph"/>
        <w:numPr>
          <w:ilvl w:val="1"/>
          <w:numId w:val="1"/>
        </w:numPr>
        <w:tabs>
          <w:tab w:pos="576" w:val="left" w:leader="none"/>
        </w:tabs>
        <w:spacing w:line="249" w:lineRule="auto" w:before="5" w:after="0"/>
        <w:ind w:left="575" w:right="31" w:hanging="284"/>
        <w:jc w:val="both"/>
        <w:rPr>
          <w:sz w:val="12"/>
        </w:rPr>
      </w:pPr>
      <w:r>
        <w:rPr>
          <w:sz w:val="12"/>
        </w:rPr>
        <w:t>Při změně parametrů služby obě smluvní strany podepíší, na základě požadavku účastníka zpracovaný, dodatek smlouvy nebo novou technickou specifikaci.</w:t>
      </w:r>
    </w:p>
    <w:p>
      <w:pPr>
        <w:pStyle w:val="ListParagraph"/>
        <w:numPr>
          <w:ilvl w:val="1"/>
          <w:numId w:val="1"/>
        </w:numPr>
        <w:tabs>
          <w:tab w:pos="576" w:val="left" w:leader="none"/>
        </w:tabs>
        <w:spacing w:line="249" w:lineRule="auto" w:before="0" w:after="0"/>
        <w:ind w:left="575" w:right="31" w:hanging="284"/>
        <w:jc w:val="both"/>
        <w:rPr>
          <w:sz w:val="12"/>
        </w:rPr>
      </w:pPr>
      <w:r>
        <w:rPr>
          <w:sz w:val="12"/>
        </w:rPr>
        <w:t>Na základě dodatku smlouvy nebo nové technické specifikace poskytovatel provede změnu.. V případě, že jde o změnu umístění koncového bodu, pro nové umístění platí podmínky jako při zřízení služby. Po zprovoznění změny služby kontaktní osoby účastníka a poskytovatele  prověří funkčnost služby a podepíší Předávací protokol. Změna služby je zřízena dnem uvedeným v podepsaném Předávacím protokolu, jejím prokazatelným uvedením do provozu nebo prvním využitím změněné služby.</w:t>
      </w:r>
    </w:p>
    <w:p>
      <w:pPr>
        <w:pStyle w:val="Heading1"/>
      </w:pPr>
      <w:r>
        <w:rPr/>
        <w:br w:type="column"/>
      </w:r>
      <w:r>
        <w:rPr/>
        <w:t>PROVOZNÍ PODMÍNKY</w:t>
      </w:r>
    </w:p>
    <w:p>
      <w:pPr>
        <w:pStyle w:val="Heading2"/>
      </w:pPr>
      <w:r>
        <w:rPr/>
        <w:t>poskytování připojení k síti Internet platné od 1.1.2021</w:t>
      </w:r>
    </w:p>
    <w:p>
      <w:pPr>
        <w:pStyle w:val="Heading3"/>
        <w:numPr>
          <w:ilvl w:val="0"/>
          <w:numId w:val="1"/>
        </w:numPr>
        <w:tabs>
          <w:tab w:pos="431" w:val="left" w:leader="none"/>
          <w:tab w:pos="432" w:val="left" w:leader="none"/>
        </w:tabs>
        <w:spacing w:line="240" w:lineRule="auto" w:before="90" w:after="0"/>
        <w:ind w:left="431" w:right="0" w:hanging="284"/>
        <w:jc w:val="left"/>
      </w:pPr>
      <w:r>
        <w:rPr/>
        <w:t>Zrušení služby</w:t>
      </w:r>
    </w:p>
    <w:p>
      <w:pPr>
        <w:pStyle w:val="ListParagraph"/>
        <w:numPr>
          <w:ilvl w:val="1"/>
          <w:numId w:val="1"/>
        </w:numPr>
        <w:tabs>
          <w:tab w:pos="432" w:val="left" w:leader="none"/>
        </w:tabs>
        <w:spacing w:line="249" w:lineRule="auto" w:before="5" w:after="0"/>
        <w:ind w:left="431" w:right="137" w:hanging="284"/>
        <w:jc w:val="both"/>
        <w:rPr>
          <w:sz w:val="12"/>
        </w:rPr>
      </w:pPr>
      <w:r>
        <w:rPr>
          <w:sz w:val="12"/>
        </w:rPr>
        <w:t>Po zrušení služby je každá ze smluvních stran povinna bez zbytečného prodlení vrátit druhé smluvní straně vše, co je vlastnictvím druhé smluvní strany. K tomu účelu účastník mimo jiné zajistí, aby poskytovateli byly zpřístupněny na dobu nezbytnou pro demontáž prostory, v nichž je umístěno zařízení poskytovatele.</w:t>
      </w:r>
    </w:p>
    <w:p>
      <w:pPr>
        <w:pStyle w:val="Heading3"/>
        <w:numPr>
          <w:ilvl w:val="0"/>
          <w:numId w:val="1"/>
        </w:numPr>
        <w:tabs>
          <w:tab w:pos="431" w:val="left" w:leader="none"/>
          <w:tab w:pos="432" w:val="left" w:leader="none"/>
        </w:tabs>
        <w:spacing w:line="240" w:lineRule="auto" w:before="57" w:after="0"/>
        <w:ind w:left="431" w:right="0" w:hanging="284"/>
        <w:jc w:val="left"/>
      </w:pPr>
      <w:r>
        <w:rPr/>
        <w:t>Provoz služby</w:t>
      </w:r>
    </w:p>
    <w:p>
      <w:pPr>
        <w:pStyle w:val="ListParagraph"/>
        <w:numPr>
          <w:ilvl w:val="1"/>
          <w:numId w:val="1"/>
        </w:numPr>
        <w:tabs>
          <w:tab w:pos="432" w:val="left" w:leader="none"/>
        </w:tabs>
        <w:spacing w:line="249" w:lineRule="auto" w:before="5" w:after="0"/>
        <w:ind w:left="431" w:right="137" w:hanging="284"/>
        <w:jc w:val="both"/>
        <w:rPr>
          <w:sz w:val="12"/>
        </w:rPr>
      </w:pPr>
      <w:r>
        <w:rPr>
          <w:sz w:val="12"/>
        </w:rPr>
        <w:t>Poskytovatel zajišťuje provoz služby na základě údajů ve smlouvě, v jejích přílohách, technických specifikacích a dalších ujednáních.</w:t>
      </w:r>
    </w:p>
    <w:p>
      <w:pPr>
        <w:pStyle w:val="ListParagraph"/>
        <w:numPr>
          <w:ilvl w:val="1"/>
          <w:numId w:val="1"/>
        </w:numPr>
        <w:tabs>
          <w:tab w:pos="432" w:val="left" w:leader="none"/>
        </w:tabs>
        <w:spacing w:line="240" w:lineRule="auto" w:before="0" w:after="0"/>
        <w:ind w:left="431" w:right="0" w:hanging="284"/>
        <w:jc w:val="left"/>
        <w:rPr>
          <w:sz w:val="12"/>
        </w:rPr>
      </w:pPr>
      <w:r>
        <w:rPr>
          <w:sz w:val="12"/>
        </w:rPr>
        <w:t>Služba je poskytována nepřetržitě - 24 hodin denně, s výjimkou doby pro plánovanou</w:t>
      </w:r>
      <w:r>
        <w:rPr>
          <w:spacing w:val="-1"/>
          <w:sz w:val="12"/>
        </w:rPr>
        <w:t> </w:t>
      </w:r>
      <w:r>
        <w:rPr>
          <w:sz w:val="12"/>
        </w:rPr>
        <w:t>údržbu.</w:t>
      </w:r>
    </w:p>
    <w:p>
      <w:pPr>
        <w:pStyle w:val="ListParagraph"/>
        <w:numPr>
          <w:ilvl w:val="1"/>
          <w:numId w:val="1"/>
        </w:numPr>
        <w:tabs>
          <w:tab w:pos="432" w:val="left" w:leader="none"/>
        </w:tabs>
        <w:spacing w:line="249" w:lineRule="auto" w:before="5" w:after="0"/>
        <w:ind w:left="431" w:right="137" w:hanging="284"/>
        <w:jc w:val="both"/>
        <w:rPr>
          <w:sz w:val="12"/>
        </w:rPr>
      </w:pPr>
      <w:r>
        <w:rPr>
          <w:sz w:val="12"/>
        </w:rPr>
        <w:t>Parametry provozu služby, povolené meze jejich hodnot při provozu služby a způsob jejich posuzování a měření vyplývají z technických standardů a doporučení ITU-T příslušných jednotlivým druhům služeb. Parametry mohou být ve smlouvě rozšířeny a meze jejich povolených hodnot upřesněny podle úrovně garantované kvality služby, na kterou odkazuje technická specifikace konkrétní</w:t>
      </w:r>
      <w:r>
        <w:rPr>
          <w:spacing w:val="-1"/>
          <w:sz w:val="12"/>
        </w:rPr>
        <w:t> </w:t>
      </w:r>
      <w:r>
        <w:rPr>
          <w:sz w:val="12"/>
        </w:rPr>
        <w:t>služby.</w:t>
      </w:r>
    </w:p>
    <w:p>
      <w:pPr>
        <w:pStyle w:val="ListParagraph"/>
        <w:numPr>
          <w:ilvl w:val="1"/>
          <w:numId w:val="1"/>
        </w:numPr>
        <w:tabs>
          <w:tab w:pos="432" w:val="left" w:leader="none"/>
        </w:tabs>
        <w:spacing w:line="249" w:lineRule="auto" w:before="0" w:after="0"/>
        <w:ind w:left="431" w:right="137" w:hanging="284"/>
        <w:jc w:val="both"/>
        <w:rPr>
          <w:sz w:val="12"/>
        </w:rPr>
      </w:pPr>
      <w:r>
        <w:rPr>
          <w:sz w:val="12"/>
        </w:rPr>
        <w:t>Z kumulovaných provozních dob, kdy parametry provozu služby v průběhu kalendářního měsíce nebyly v povolených mezích hodnot parametrů provozu služby, se vypočte měsíční dostupnost jako podíl:</w:t>
      </w:r>
    </w:p>
    <w:p>
      <w:pPr>
        <w:pStyle w:val="BodyText"/>
        <w:spacing w:before="11"/>
        <w:ind w:left="0" w:firstLine="0"/>
        <w:jc w:val="left"/>
      </w:pPr>
    </w:p>
    <w:p>
      <w:pPr>
        <w:spacing w:before="0"/>
        <w:ind w:left="2295" w:right="2878" w:firstLine="0"/>
        <w:jc w:val="center"/>
        <w:rPr>
          <w:sz w:val="12"/>
        </w:rPr>
      </w:pPr>
      <w:r>
        <w:rPr>
          <w:position w:val="1"/>
          <w:sz w:val="12"/>
        </w:rPr>
        <w:t>(T</w:t>
      </w:r>
      <w:r>
        <w:rPr>
          <w:sz w:val="8"/>
        </w:rPr>
        <w:t>S </w:t>
      </w:r>
      <w:r>
        <w:rPr>
          <w:position w:val="1"/>
          <w:sz w:val="12"/>
        </w:rPr>
        <w:t>- T</w:t>
      </w:r>
      <w:r>
        <w:rPr>
          <w:sz w:val="8"/>
        </w:rPr>
        <w:t>N</w:t>
      </w:r>
      <w:r>
        <w:rPr>
          <w:position w:val="1"/>
          <w:sz w:val="12"/>
        </w:rPr>
        <w:t>)</w:t>
      </w:r>
    </w:p>
    <w:p>
      <w:pPr>
        <w:pStyle w:val="BodyText"/>
        <w:spacing w:before="4"/>
        <w:ind w:left="900" w:firstLine="0"/>
        <w:jc w:val="left"/>
      </w:pPr>
      <w:r>
        <w:rPr/>
        <w:t>Dostupnost služby  =   ---------------------   x  100%</w:t>
      </w:r>
    </w:p>
    <w:p>
      <w:pPr>
        <w:spacing w:before="5"/>
        <w:ind w:left="2245" w:right="2878" w:firstLine="0"/>
        <w:jc w:val="center"/>
        <w:rPr>
          <w:sz w:val="8"/>
        </w:rPr>
      </w:pPr>
      <w:r>
        <w:rPr>
          <w:position w:val="1"/>
          <w:sz w:val="12"/>
        </w:rPr>
        <w:t>T</w:t>
      </w:r>
      <w:r>
        <w:rPr>
          <w:sz w:val="8"/>
        </w:rPr>
        <w:t>S</w:t>
      </w:r>
    </w:p>
    <w:p>
      <w:pPr>
        <w:pStyle w:val="BodyText"/>
        <w:spacing w:before="10"/>
        <w:ind w:left="0" w:firstLine="0"/>
        <w:jc w:val="left"/>
      </w:pPr>
    </w:p>
    <w:p>
      <w:pPr>
        <w:pStyle w:val="BodyText"/>
        <w:tabs>
          <w:tab w:pos="1587" w:val="left" w:leader="none"/>
        </w:tabs>
        <w:spacing w:line="247" w:lineRule="auto"/>
        <w:ind w:left="1587" w:right="2343" w:hanging="720"/>
        <w:jc w:val="left"/>
      </w:pPr>
      <w:r>
        <w:rPr>
          <w:position w:val="1"/>
        </w:rPr>
        <w:t>kde:</w:t>
        <w:tab/>
        <w:t>T</w:t>
      </w:r>
      <w:r>
        <w:rPr>
          <w:sz w:val="8"/>
        </w:rPr>
        <w:t>S </w:t>
      </w:r>
      <w:r>
        <w:rPr>
          <w:position w:val="1"/>
        </w:rPr>
        <w:t>= doba trvání služby</w:t>
      </w:r>
      <w:r>
        <w:rPr>
          <w:spacing w:val="-1"/>
          <w:position w:val="1"/>
        </w:rPr>
        <w:t> </w:t>
      </w:r>
      <w:r>
        <w:rPr>
          <w:position w:val="1"/>
        </w:rPr>
        <w:t>v měsíci T</w:t>
      </w:r>
      <w:r>
        <w:rPr>
          <w:sz w:val="8"/>
        </w:rPr>
        <w:t>N </w:t>
      </w:r>
      <w:r>
        <w:rPr>
          <w:position w:val="1"/>
        </w:rPr>
        <w:t>= doba nedostupnosti služby</w:t>
      </w:r>
    </w:p>
    <w:p>
      <w:pPr>
        <w:pStyle w:val="BodyText"/>
        <w:spacing w:before="6"/>
        <w:ind w:left="0" w:firstLine="0"/>
        <w:jc w:val="left"/>
      </w:pPr>
    </w:p>
    <w:p>
      <w:pPr>
        <w:pStyle w:val="BodyText"/>
        <w:spacing w:line="249" w:lineRule="auto"/>
        <w:ind w:left="431" w:right="74" w:firstLine="0"/>
        <w:jc w:val="left"/>
      </w:pPr>
      <w:r>
        <w:rPr/>
        <w:t>Doby se počítají na celé minuty, dostupnost se vyjádří v procentech zaokrouhleně na tři desetinná místa.</w:t>
      </w:r>
    </w:p>
    <w:p>
      <w:pPr>
        <w:pStyle w:val="ListParagraph"/>
        <w:numPr>
          <w:ilvl w:val="1"/>
          <w:numId w:val="1"/>
        </w:numPr>
        <w:tabs>
          <w:tab w:pos="432" w:val="left" w:leader="none"/>
        </w:tabs>
        <w:spacing w:line="249" w:lineRule="auto" w:before="0" w:after="0"/>
        <w:ind w:left="431" w:right="137" w:hanging="284"/>
        <w:jc w:val="both"/>
        <w:rPr>
          <w:sz w:val="12"/>
        </w:rPr>
      </w:pPr>
      <w:r>
        <w:rPr>
          <w:position w:val="1"/>
          <w:sz w:val="12"/>
        </w:rPr>
        <w:t>Doba trvání služby v měsíci T</w:t>
      </w:r>
      <w:r>
        <w:rPr>
          <w:sz w:val="8"/>
        </w:rPr>
        <w:t>S </w:t>
      </w:r>
      <w:r>
        <w:rPr>
          <w:position w:val="1"/>
          <w:sz w:val="12"/>
        </w:rPr>
        <w:t>je období, po které má být služba podle smlouvy v daném  </w:t>
      </w:r>
      <w:r>
        <w:rPr>
          <w:sz w:val="12"/>
        </w:rPr>
        <w:t>měsíci poskytována.</w:t>
      </w:r>
    </w:p>
    <w:p>
      <w:pPr>
        <w:pStyle w:val="ListParagraph"/>
        <w:numPr>
          <w:ilvl w:val="1"/>
          <w:numId w:val="1"/>
        </w:numPr>
        <w:tabs>
          <w:tab w:pos="432" w:val="left" w:leader="none"/>
        </w:tabs>
        <w:spacing w:line="249" w:lineRule="auto" w:before="0" w:after="0"/>
        <w:ind w:left="431" w:right="137" w:hanging="284"/>
        <w:jc w:val="both"/>
        <w:rPr>
          <w:sz w:val="12"/>
        </w:rPr>
      </w:pPr>
      <w:r>
        <w:rPr>
          <w:position w:val="1"/>
          <w:sz w:val="12"/>
        </w:rPr>
        <w:t>Doba nedostupnosti služby T</w:t>
      </w:r>
      <w:r>
        <w:rPr>
          <w:sz w:val="8"/>
        </w:rPr>
        <w:t>N </w:t>
      </w:r>
      <w:r>
        <w:rPr>
          <w:position w:val="1"/>
          <w:sz w:val="12"/>
        </w:rPr>
        <w:t>je období v rámci doby trvání služby v měsíci, ve kterém uživatel </w:t>
      </w:r>
      <w:r>
        <w:rPr>
          <w:sz w:val="12"/>
        </w:rPr>
        <w:t>nemohl službu řádně užívat z příčin, které byly na straně poskytovatele.</w:t>
      </w:r>
    </w:p>
    <w:p>
      <w:pPr>
        <w:pStyle w:val="ListParagraph"/>
        <w:numPr>
          <w:ilvl w:val="1"/>
          <w:numId w:val="1"/>
        </w:numPr>
        <w:tabs>
          <w:tab w:pos="432" w:val="left" w:leader="none"/>
        </w:tabs>
        <w:spacing w:line="249" w:lineRule="auto" w:before="0" w:after="0"/>
        <w:ind w:left="431" w:right="137" w:hanging="284"/>
        <w:jc w:val="both"/>
        <w:rPr>
          <w:sz w:val="12"/>
        </w:rPr>
      </w:pPr>
      <w:r>
        <w:rPr>
          <w:sz w:val="12"/>
        </w:rPr>
        <w:t>Do doby nedostupnosti služby se nezapočítává doba od vzniku dané údajné nedostupnosti do zahájení servisního zásahu v případě, že účastník na požádání bezodkladně neumožnil poskytovateli provést servisní zásah na zařízení poskytovatele umístěném v lokalitě koncového bodu uživatele.</w:t>
      </w:r>
    </w:p>
    <w:p>
      <w:pPr>
        <w:pStyle w:val="ListParagraph"/>
        <w:numPr>
          <w:ilvl w:val="1"/>
          <w:numId w:val="1"/>
        </w:numPr>
        <w:tabs>
          <w:tab w:pos="432" w:val="left" w:leader="none"/>
        </w:tabs>
        <w:spacing w:line="249" w:lineRule="auto" w:before="0" w:after="0"/>
        <w:ind w:left="431" w:right="137" w:hanging="284"/>
        <w:jc w:val="both"/>
        <w:rPr>
          <w:sz w:val="12"/>
        </w:rPr>
      </w:pPr>
      <w:r>
        <w:rPr>
          <w:sz w:val="12"/>
        </w:rPr>
        <w:t>Doba pro plánovanou údržbu je období ne delší než 120 minut za kalendářní měsíc, po které může být poskytování služeb přerušeno. Každou plánovanou údržbu je poskytovatel povinen účastníkovi oznámit alespoň 3 pracovní dny předem zasláním emailu na adresu uvedenou v technickém projektu nebo ve smlouvě. V době pro plánovanou údržbu služba nemusí být </w:t>
      </w:r>
      <w:r>
        <w:rPr>
          <w:position w:val="1"/>
          <w:sz w:val="12"/>
        </w:rPr>
        <w:t>poskytována a tato doba není součástí doby trvání služby v měsíci</w:t>
      </w:r>
      <w:r>
        <w:rPr>
          <w:spacing w:val="-1"/>
          <w:position w:val="1"/>
          <w:sz w:val="12"/>
        </w:rPr>
        <w:t> </w:t>
      </w:r>
      <w:r>
        <w:rPr>
          <w:position w:val="1"/>
          <w:sz w:val="12"/>
        </w:rPr>
        <w:t>T</w:t>
      </w:r>
      <w:r>
        <w:rPr>
          <w:sz w:val="8"/>
        </w:rPr>
        <w:t>S</w:t>
      </w:r>
      <w:r>
        <w:rPr>
          <w:position w:val="1"/>
          <w:sz w:val="12"/>
        </w:rPr>
        <w:t>.</w:t>
      </w:r>
    </w:p>
    <w:p>
      <w:pPr>
        <w:pStyle w:val="ListParagraph"/>
        <w:numPr>
          <w:ilvl w:val="1"/>
          <w:numId w:val="1"/>
        </w:numPr>
        <w:tabs>
          <w:tab w:pos="432" w:val="left" w:leader="none"/>
        </w:tabs>
        <w:spacing w:line="249" w:lineRule="auto" w:before="0" w:after="0"/>
        <w:ind w:left="431" w:right="137" w:hanging="284"/>
        <w:jc w:val="both"/>
        <w:rPr>
          <w:sz w:val="12"/>
        </w:rPr>
      </w:pPr>
      <w:r>
        <w:rPr>
          <w:sz w:val="12"/>
        </w:rPr>
        <w:t>Poskytovatel je oprávněn v mezích právního řádu ČR monitorovat data účastníka a uživatele přenášená distribuční sítí poskytovatele a vést jejich evidenci vyžadovanou zákonem.</w:t>
      </w:r>
    </w:p>
    <w:p>
      <w:pPr>
        <w:pStyle w:val="ListParagraph"/>
        <w:numPr>
          <w:ilvl w:val="1"/>
          <w:numId w:val="1"/>
        </w:numPr>
        <w:tabs>
          <w:tab w:pos="432" w:val="left" w:leader="none"/>
        </w:tabs>
        <w:spacing w:line="249" w:lineRule="auto" w:before="1" w:after="0"/>
        <w:ind w:left="431" w:right="137" w:hanging="284"/>
        <w:jc w:val="both"/>
        <w:rPr>
          <w:sz w:val="12"/>
        </w:rPr>
      </w:pPr>
      <w:r>
        <w:rPr>
          <w:sz w:val="12"/>
        </w:rPr>
        <w:t>Účastník je povinen učinit dostatečná opatření pro zabránění zneužití služby k obtěžování, omezování, případně ohrožování ostatních uživatelů sítě Internet a to zejména rozesíláním nevyžádané elektronické pošty a útoky na hmotné i duševní vlastnictví ostatních uživatelů. Pokud bude takové zneužití objektivně zjištěno, je poskytovatel oprávněn učinit kroky nutné k zamezení pokračování takové činnosti. Účastník je povinen aktivně spolupracovat při realizaci opatření, která zneužití služby zabrání. Účastník nese veškerou odpovědnost za škody způsobené zneužitím poskytované služby.</w:t>
      </w:r>
    </w:p>
    <w:p>
      <w:pPr>
        <w:pStyle w:val="Heading3"/>
        <w:numPr>
          <w:ilvl w:val="0"/>
          <w:numId w:val="1"/>
        </w:numPr>
        <w:tabs>
          <w:tab w:pos="431" w:val="left" w:leader="none"/>
          <w:tab w:pos="432" w:val="left" w:leader="none"/>
        </w:tabs>
        <w:spacing w:line="240" w:lineRule="auto" w:before="62" w:after="0"/>
        <w:ind w:left="431" w:right="0" w:hanging="284"/>
        <w:jc w:val="left"/>
      </w:pPr>
      <w:r>
        <w:rPr/>
        <w:t>Provozní dohled a servis</w:t>
      </w:r>
    </w:p>
    <w:p>
      <w:pPr>
        <w:pStyle w:val="ListParagraph"/>
        <w:numPr>
          <w:ilvl w:val="1"/>
          <w:numId w:val="1"/>
        </w:numPr>
        <w:tabs>
          <w:tab w:pos="432" w:val="left" w:leader="none"/>
        </w:tabs>
        <w:spacing w:line="249" w:lineRule="auto" w:before="5" w:after="0"/>
        <w:ind w:left="431" w:right="137" w:hanging="284"/>
        <w:jc w:val="both"/>
        <w:rPr>
          <w:sz w:val="12"/>
        </w:rPr>
      </w:pPr>
      <w:r>
        <w:rPr>
          <w:sz w:val="12"/>
        </w:rPr>
        <w:t>Poskytovatel zajišťuje prostřednictvím dohledového centra (NOC) nepřetržitý dohled nad provozem služby, technickou podporu a přijímá jeho prostřednictvím hlášení závad.</w:t>
      </w:r>
    </w:p>
    <w:p>
      <w:pPr>
        <w:pStyle w:val="ListParagraph"/>
        <w:numPr>
          <w:ilvl w:val="1"/>
          <w:numId w:val="1"/>
        </w:numPr>
        <w:tabs>
          <w:tab w:pos="432" w:val="left" w:leader="none"/>
        </w:tabs>
        <w:spacing w:line="249" w:lineRule="auto" w:before="0" w:after="0"/>
        <w:ind w:left="431" w:right="137" w:hanging="284"/>
        <w:jc w:val="both"/>
        <w:rPr>
          <w:sz w:val="12"/>
        </w:rPr>
      </w:pPr>
      <w:r>
        <w:rPr>
          <w:sz w:val="12"/>
        </w:rPr>
        <w:t>Poskytovatel zajišťuje znovuzprovoznění služby v případě, že závada je zjištěna na straně poskytovatele. Závada, o níž poskytovatel objektivně zjistil, že nemá příčinu na straně poskytovatele nebo že ji zavinil účastník, či uživatel, se nezapočítává do doby nedostupnosti služby ani do celkového počtu závad.</w:t>
      </w:r>
    </w:p>
    <w:p>
      <w:pPr>
        <w:pStyle w:val="ListParagraph"/>
        <w:numPr>
          <w:ilvl w:val="1"/>
          <w:numId w:val="1"/>
        </w:numPr>
        <w:tabs>
          <w:tab w:pos="432" w:val="left" w:leader="none"/>
        </w:tabs>
        <w:spacing w:line="249" w:lineRule="auto" w:before="0" w:after="0"/>
        <w:ind w:left="431" w:right="137" w:hanging="284"/>
        <w:jc w:val="both"/>
        <w:rPr>
          <w:sz w:val="12"/>
        </w:rPr>
      </w:pPr>
      <w:r>
        <w:rPr>
          <w:sz w:val="12"/>
        </w:rPr>
        <w:t>Oznámení vzniku závady probíhá mezi kontaktní osobou účastníka a operátorem zákaznické linky poskytovatele. Smluvní strana, která zjistila vznik závady, oznámí to bez zbytečného prodlení druhé smluvní straně. Účastník oznamuje závadu teprve až prověří, že závada není  na jeho straně.</w:t>
      </w:r>
    </w:p>
    <w:p>
      <w:pPr>
        <w:pStyle w:val="ListParagraph"/>
        <w:numPr>
          <w:ilvl w:val="1"/>
          <w:numId w:val="1"/>
        </w:numPr>
        <w:tabs>
          <w:tab w:pos="432" w:val="left" w:leader="none"/>
        </w:tabs>
        <w:spacing w:line="249" w:lineRule="auto" w:before="0" w:after="0"/>
        <w:ind w:left="431" w:right="137" w:hanging="284"/>
        <w:jc w:val="both"/>
        <w:rPr>
          <w:sz w:val="12"/>
        </w:rPr>
      </w:pPr>
      <w:r>
        <w:rPr>
          <w:sz w:val="12"/>
        </w:rPr>
        <w:t>U sdělení spojených se vznikem nebo opravou závady se zásadně předpokládá, že na jejich základě budou vzneseny právní nároky. Proto se oznamují postupem uvedeným ve všeobecných podmínkách, s tím, že obsah sdělení musí mít tyto náležitosti:</w:t>
      </w:r>
    </w:p>
    <w:p>
      <w:pPr>
        <w:pStyle w:val="ListParagraph"/>
        <w:numPr>
          <w:ilvl w:val="2"/>
          <w:numId w:val="1"/>
        </w:numPr>
        <w:tabs>
          <w:tab w:pos="602" w:val="left" w:leader="none"/>
        </w:tabs>
        <w:spacing w:line="240" w:lineRule="auto" w:before="0" w:after="0"/>
        <w:ind w:left="601" w:right="0" w:hanging="170"/>
        <w:jc w:val="left"/>
        <w:rPr>
          <w:sz w:val="12"/>
        </w:rPr>
      </w:pPr>
      <w:r>
        <w:rPr>
          <w:sz w:val="12"/>
        </w:rPr>
        <w:t>identifikace účastníka a smlouvy;</w:t>
      </w:r>
    </w:p>
    <w:p>
      <w:pPr>
        <w:pStyle w:val="ListParagraph"/>
        <w:numPr>
          <w:ilvl w:val="2"/>
          <w:numId w:val="1"/>
        </w:numPr>
        <w:tabs>
          <w:tab w:pos="602" w:val="left" w:leader="none"/>
        </w:tabs>
        <w:spacing w:line="240" w:lineRule="auto" w:before="5" w:after="0"/>
        <w:ind w:left="601" w:right="0" w:hanging="170"/>
        <w:jc w:val="left"/>
        <w:rPr>
          <w:sz w:val="12"/>
        </w:rPr>
      </w:pPr>
      <w:r>
        <w:rPr>
          <w:sz w:val="12"/>
        </w:rPr>
        <w:t>identifikace služby (tj. adresa umístění koncového</w:t>
      </w:r>
      <w:r>
        <w:rPr>
          <w:spacing w:val="-1"/>
          <w:sz w:val="12"/>
        </w:rPr>
        <w:t> </w:t>
      </w:r>
      <w:r>
        <w:rPr>
          <w:sz w:val="12"/>
        </w:rPr>
        <w:t>bodu);</w:t>
      </w:r>
    </w:p>
    <w:p>
      <w:pPr>
        <w:pStyle w:val="ListParagraph"/>
        <w:numPr>
          <w:ilvl w:val="2"/>
          <w:numId w:val="1"/>
        </w:numPr>
        <w:tabs>
          <w:tab w:pos="602" w:val="left" w:leader="none"/>
        </w:tabs>
        <w:spacing w:line="240" w:lineRule="auto" w:before="5" w:after="0"/>
        <w:ind w:left="601" w:right="0" w:hanging="170"/>
        <w:jc w:val="left"/>
        <w:rPr>
          <w:sz w:val="12"/>
        </w:rPr>
      </w:pPr>
      <w:r>
        <w:rPr>
          <w:sz w:val="12"/>
        </w:rPr>
        <w:t>identifikace zařízení nebo koncového bodu, na němž se projevuje závada;</w:t>
      </w:r>
    </w:p>
    <w:p>
      <w:pPr>
        <w:pStyle w:val="ListParagraph"/>
        <w:numPr>
          <w:ilvl w:val="2"/>
          <w:numId w:val="1"/>
        </w:numPr>
        <w:tabs>
          <w:tab w:pos="602" w:val="left" w:leader="none"/>
        </w:tabs>
        <w:spacing w:line="240" w:lineRule="auto" w:before="5" w:after="0"/>
        <w:ind w:left="601" w:right="0" w:hanging="170"/>
        <w:jc w:val="left"/>
        <w:rPr>
          <w:sz w:val="12"/>
        </w:rPr>
      </w:pPr>
      <w:r>
        <w:rPr>
          <w:sz w:val="12"/>
        </w:rPr>
        <w:t>popis závady;</w:t>
      </w:r>
    </w:p>
    <w:p>
      <w:pPr>
        <w:pStyle w:val="ListParagraph"/>
        <w:numPr>
          <w:ilvl w:val="2"/>
          <w:numId w:val="1"/>
        </w:numPr>
        <w:tabs>
          <w:tab w:pos="602" w:val="left" w:leader="none"/>
        </w:tabs>
        <w:spacing w:line="240" w:lineRule="auto" w:before="5" w:after="0"/>
        <w:ind w:left="601" w:right="0" w:hanging="170"/>
        <w:jc w:val="left"/>
        <w:rPr>
          <w:sz w:val="12"/>
        </w:rPr>
      </w:pPr>
      <w:r>
        <w:rPr>
          <w:sz w:val="12"/>
        </w:rPr>
        <w:t>čas, kdy se závada projevila;</w:t>
      </w:r>
    </w:p>
    <w:p>
      <w:pPr>
        <w:pStyle w:val="ListParagraph"/>
        <w:numPr>
          <w:ilvl w:val="2"/>
          <w:numId w:val="1"/>
        </w:numPr>
        <w:tabs>
          <w:tab w:pos="602" w:val="left" w:leader="none"/>
        </w:tabs>
        <w:spacing w:line="240" w:lineRule="auto" w:before="5" w:after="0"/>
        <w:ind w:left="601" w:right="0" w:hanging="170"/>
        <w:jc w:val="left"/>
        <w:rPr>
          <w:sz w:val="12"/>
        </w:rPr>
      </w:pPr>
      <w:r>
        <w:rPr>
          <w:sz w:val="12"/>
        </w:rPr>
        <w:t>čas odeslání sdělení;</w:t>
      </w:r>
    </w:p>
    <w:p>
      <w:pPr>
        <w:pStyle w:val="ListParagraph"/>
        <w:numPr>
          <w:ilvl w:val="2"/>
          <w:numId w:val="1"/>
        </w:numPr>
        <w:tabs>
          <w:tab w:pos="602" w:val="left" w:leader="none"/>
        </w:tabs>
        <w:spacing w:line="240" w:lineRule="auto" w:before="5" w:after="0"/>
        <w:ind w:left="601" w:right="0" w:hanging="170"/>
        <w:jc w:val="left"/>
        <w:rPr>
          <w:sz w:val="12"/>
        </w:rPr>
      </w:pPr>
      <w:r>
        <w:rPr>
          <w:sz w:val="12"/>
        </w:rPr>
        <w:t>jméno a podpis kontaktní osoby a spojení na ni.</w:t>
      </w:r>
    </w:p>
    <w:p>
      <w:pPr>
        <w:pStyle w:val="ListParagraph"/>
        <w:numPr>
          <w:ilvl w:val="1"/>
          <w:numId w:val="1"/>
        </w:numPr>
        <w:tabs>
          <w:tab w:pos="432" w:val="left" w:leader="none"/>
        </w:tabs>
        <w:spacing w:line="249" w:lineRule="auto" w:before="5" w:after="0"/>
        <w:ind w:left="431" w:right="137" w:hanging="284"/>
        <w:jc w:val="both"/>
        <w:rPr>
          <w:sz w:val="12"/>
        </w:rPr>
      </w:pPr>
      <w:r>
        <w:rPr>
          <w:sz w:val="12"/>
        </w:rPr>
        <w:t>Pokud by forma sdělení podle předchozího odstavce způsobila prodlení a s ním spojenou škodu, lze sdělit předběžnou informaci definovanou ve všeobecných podmínkách jinou efektivnější cestou.</w:t>
      </w:r>
    </w:p>
    <w:p>
      <w:pPr>
        <w:pStyle w:val="ListParagraph"/>
        <w:numPr>
          <w:ilvl w:val="1"/>
          <w:numId w:val="1"/>
        </w:numPr>
        <w:tabs>
          <w:tab w:pos="432" w:val="left" w:leader="none"/>
        </w:tabs>
        <w:spacing w:line="249" w:lineRule="auto" w:before="0" w:after="0"/>
        <w:ind w:left="431" w:right="137" w:hanging="284"/>
        <w:jc w:val="both"/>
        <w:rPr>
          <w:sz w:val="12"/>
        </w:rPr>
      </w:pPr>
      <w:r>
        <w:rPr>
          <w:position w:val="1"/>
          <w:sz w:val="12"/>
        </w:rPr>
        <w:t>Vznik závady je určen okamžikem označeným T</w:t>
      </w:r>
      <w:r>
        <w:rPr>
          <w:sz w:val="8"/>
        </w:rPr>
        <w:t>0</w:t>
      </w:r>
      <w:r>
        <w:rPr>
          <w:position w:val="1"/>
          <w:sz w:val="12"/>
        </w:rPr>
        <w:t>, kdy jedna smluvní strana sdělí  druhé  </w:t>
      </w:r>
      <w:r>
        <w:rPr>
          <w:sz w:val="12"/>
        </w:rPr>
        <w:t>smluvní straně, že byly zjištěny hodnoty parametrů služby mimo povolené meze, nepravidelnosti nebo přerušení provozu služby.</w:t>
      </w:r>
    </w:p>
    <w:p>
      <w:pPr>
        <w:pStyle w:val="ListParagraph"/>
        <w:numPr>
          <w:ilvl w:val="1"/>
          <w:numId w:val="1"/>
        </w:numPr>
        <w:tabs>
          <w:tab w:pos="432" w:val="left" w:leader="none"/>
        </w:tabs>
        <w:spacing w:line="249" w:lineRule="auto" w:before="1" w:after="0"/>
        <w:ind w:left="431" w:right="137" w:hanging="284"/>
        <w:jc w:val="both"/>
        <w:rPr>
          <w:sz w:val="12"/>
        </w:rPr>
      </w:pPr>
      <w:r>
        <w:rPr>
          <w:sz w:val="12"/>
        </w:rPr>
        <w:t>V případě, že účastník neumožní poskytovateli bezodkladně provést servisní zásah na zařízení </w:t>
      </w:r>
      <w:r>
        <w:rPr>
          <w:position w:val="1"/>
          <w:sz w:val="12"/>
        </w:rPr>
        <w:t>umístěném v prostorách koncového bodu uživatele, čas T</w:t>
      </w:r>
      <w:r>
        <w:rPr>
          <w:sz w:val="8"/>
        </w:rPr>
        <w:t>0 </w:t>
      </w:r>
      <w:r>
        <w:rPr>
          <w:position w:val="1"/>
          <w:sz w:val="12"/>
        </w:rPr>
        <w:t>nastane až v okamžiku, kdy je </w:t>
      </w:r>
      <w:r>
        <w:rPr>
          <w:sz w:val="12"/>
        </w:rPr>
        <w:t>servisní zásah účastníkem umožněn.</w:t>
      </w:r>
    </w:p>
    <w:p>
      <w:pPr>
        <w:pStyle w:val="ListParagraph"/>
        <w:numPr>
          <w:ilvl w:val="1"/>
          <w:numId w:val="1"/>
        </w:numPr>
        <w:tabs>
          <w:tab w:pos="432" w:val="left" w:leader="none"/>
        </w:tabs>
        <w:spacing w:line="249" w:lineRule="auto" w:before="0" w:after="0"/>
        <w:ind w:left="431" w:right="137" w:hanging="284"/>
        <w:jc w:val="both"/>
        <w:rPr>
          <w:sz w:val="12"/>
        </w:rPr>
      </w:pPr>
      <w:r>
        <w:rPr>
          <w:position w:val="1"/>
          <w:sz w:val="12"/>
        </w:rPr>
        <w:t>Okamžik znovuzprovoznění je určen okamžikem označeným T</w:t>
      </w:r>
      <w:r>
        <w:rPr>
          <w:sz w:val="8"/>
        </w:rPr>
        <w:t>OPRAVY</w:t>
      </w:r>
      <w:r>
        <w:rPr>
          <w:position w:val="1"/>
          <w:sz w:val="12"/>
        </w:rPr>
        <w:t>, kdy poskytovatel sdělí </w:t>
      </w:r>
      <w:r>
        <w:rPr>
          <w:sz w:val="12"/>
        </w:rPr>
        <w:t>účastníkovi, že závada byla odstraněna.</w:t>
      </w:r>
    </w:p>
    <w:p>
      <w:pPr>
        <w:pStyle w:val="ListParagraph"/>
        <w:numPr>
          <w:ilvl w:val="1"/>
          <w:numId w:val="1"/>
        </w:numPr>
        <w:tabs>
          <w:tab w:pos="432" w:val="left" w:leader="none"/>
        </w:tabs>
        <w:spacing w:line="247" w:lineRule="auto" w:before="0" w:after="0"/>
        <w:ind w:left="431" w:right="137" w:hanging="284"/>
        <w:jc w:val="both"/>
        <w:rPr>
          <w:sz w:val="12"/>
        </w:rPr>
      </w:pPr>
      <w:r>
        <w:rPr>
          <w:position w:val="1"/>
          <w:sz w:val="12"/>
        </w:rPr>
        <w:t>Pokud účastník během 15 minut po T</w:t>
      </w:r>
      <w:r>
        <w:rPr>
          <w:sz w:val="8"/>
        </w:rPr>
        <w:t>OPRAVY </w:t>
      </w:r>
      <w:r>
        <w:rPr>
          <w:position w:val="1"/>
          <w:sz w:val="12"/>
        </w:rPr>
        <w:t>oznámí poskytovateli a poskytovatel poté objektivně zjistí, že se závada stále projevuje, má se za to, že T</w:t>
      </w:r>
      <w:r>
        <w:rPr>
          <w:sz w:val="8"/>
        </w:rPr>
        <w:t>OPRAVY </w:t>
      </w:r>
      <w:r>
        <w:rPr>
          <w:position w:val="1"/>
          <w:sz w:val="12"/>
        </w:rPr>
        <w:t>dosud nenastal. Pokud </w:t>
      </w:r>
      <w:r>
        <w:rPr>
          <w:sz w:val="12"/>
        </w:rPr>
        <w:t>se závada projeví později, považuje se za závadu novou.</w:t>
      </w:r>
    </w:p>
    <w:p>
      <w:pPr>
        <w:pStyle w:val="ListParagraph"/>
        <w:numPr>
          <w:ilvl w:val="1"/>
          <w:numId w:val="1"/>
        </w:numPr>
        <w:tabs>
          <w:tab w:pos="432" w:val="left" w:leader="none"/>
        </w:tabs>
        <w:spacing w:line="247" w:lineRule="auto" w:before="1" w:after="0"/>
        <w:ind w:left="431" w:right="137" w:hanging="284"/>
        <w:jc w:val="both"/>
        <w:rPr>
          <w:sz w:val="12"/>
        </w:rPr>
      </w:pPr>
      <w:r>
        <w:rPr>
          <w:position w:val="1"/>
          <w:sz w:val="12"/>
        </w:rPr>
        <w:t>Období mezi okamžikem T</w:t>
      </w:r>
      <w:r>
        <w:rPr>
          <w:sz w:val="8"/>
        </w:rPr>
        <w:t>0 </w:t>
      </w:r>
      <w:r>
        <w:rPr>
          <w:position w:val="1"/>
          <w:sz w:val="12"/>
        </w:rPr>
        <w:t>a T</w:t>
      </w:r>
      <w:r>
        <w:rPr>
          <w:sz w:val="8"/>
        </w:rPr>
        <w:t>OPRAVY </w:t>
      </w:r>
      <w:r>
        <w:rPr>
          <w:position w:val="1"/>
          <w:sz w:val="12"/>
        </w:rPr>
        <w:t>se ve vzorci pro výpočet měsíční dostupnosti služby započítává do doby nedostupnosti služby T</w:t>
      </w:r>
      <w:r>
        <w:rPr>
          <w:sz w:val="8"/>
        </w:rPr>
        <w:t>N </w:t>
      </w:r>
      <w:r>
        <w:rPr>
          <w:position w:val="1"/>
          <w:sz w:val="12"/>
        </w:rPr>
        <w:t>v případě, že závada má příčinu na straně </w:t>
      </w:r>
      <w:r>
        <w:rPr>
          <w:sz w:val="12"/>
        </w:rPr>
        <w:t>poskytovatele.</w:t>
      </w:r>
    </w:p>
    <w:p>
      <w:pPr>
        <w:pStyle w:val="ListParagraph"/>
        <w:numPr>
          <w:ilvl w:val="1"/>
          <w:numId w:val="1"/>
        </w:numPr>
        <w:tabs>
          <w:tab w:pos="432" w:val="left" w:leader="none"/>
        </w:tabs>
        <w:spacing w:line="249" w:lineRule="auto" w:before="1" w:after="0"/>
        <w:ind w:left="431" w:right="137" w:hanging="284"/>
        <w:jc w:val="both"/>
        <w:rPr>
          <w:sz w:val="12"/>
        </w:rPr>
      </w:pPr>
      <w:r>
        <w:rPr>
          <w:sz w:val="12"/>
        </w:rPr>
        <w:t>Poskytovatel má právo účtovat účastníkovi náklady spojené se zjišťováním a odstraňováním závady v případě, že po oznámení závady účastníkem objektivně zjistí, že závada není na straně poskytovatele nebo že závadu zavinil účastník, uživatel, případně, že závada vůbec nenastala.</w:t>
      </w:r>
    </w:p>
    <w:p>
      <w:pPr>
        <w:pStyle w:val="ListParagraph"/>
        <w:numPr>
          <w:ilvl w:val="1"/>
          <w:numId w:val="1"/>
        </w:numPr>
        <w:tabs>
          <w:tab w:pos="432" w:val="left" w:leader="none"/>
        </w:tabs>
        <w:spacing w:line="249" w:lineRule="auto" w:before="0" w:after="0"/>
        <w:ind w:left="431" w:right="137" w:hanging="284"/>
        <w:jc w:val="both"/>
        <w:rPr>
          <w:sz w:val="12"/>
        </w:rPr>
      </w:pPr>
      <w:r>
        <w:rPr>
          <w:sz w:val="12"/>
        </w:rPr>
        <w:t>Závada způsobená třetí osobou, v jejímž důsledku nebyly dodrženy podmínky, např. výpadek napájení v koncovém bodě služby, je považována za závadu na straně</w:t>
      </w:r>
      <w:r>
        <w:rPr>
          <w:spacing w:val="-1"/>
          <w:sz w:val="12"/>
        </w:rPr>
        <w:t> </w:t>
      </w:r>
      <w:r>
        <w:rPr>
          <w:sz w:val="12"/>
        </w:rPr>
        <w:t>účastníka.</w:t>
      </w:r>
    </w:p>
    <w:p>
      <w:pPr>
        <w:pStyle w:val="ListParagraph"/>
        <w:numPr>
          <w:ilvl w:val="1"/>
          <w:numId w:val="1"/>
        </w:numPr>
        <w:tabs>
          <w:tab w:pos="432" w:val="left" w:leader="none"/>
        </w:tabs>
        <w:spacing w:line="249" w:lineRule="auto" w:before="0" w:after="0"/>
        <w:ind w:left="431" w:right="137" w:hanging="284"/>
        <w:jc w:val="both"/>
        <w:rPr>
          <w:sz w:val="12"/>
        </w:rPr>
      </w:pPr>
      <w:r>
        <w:rPr>
          <w:sz w:val="12"/>
        </w:rPr>
        <w:t>V případě sporu o existenci nebo lokalizaci závady je poskytovatel povinen na žádost účastníka vyslat servisního technika.</w:t>
      </w:r>
    </w:p>
    <w:p>
      <w:pPr>
        <w:pStyle w:val="ListParagraph"/>
        <w:numPr>
          <w:ilvl w:val="1"/>
          <w:numId w:val="1"/>
        </w:numPr>
        <w:tabs>
          <w:tab w:pos="432" w:val="left" w:leader="none"/>
        </w:tabs>
        <w:spacing w:line="249" w:lineRule="auto" w:before="0" w:after="0"/>
        <w:ind w:left="431" w:right="104" w:hanging="284"/>
        <w:jc w:val="both"/>
        <w:rPr>
          <w:sz w:val="12"/>
        </w:rPr>
      </w:pPr>
      <w:r>
        <w:rPr>
          <w:sz w:val="12"/>
        </w:rPr>
        <w:t>Pokud účastník nebo uživatel opakovaně záměrně narušuje funkci zařízení poskytovatele (např. vypínáním, restarty, apod.) ztrácí nárok na podání informace o vzniku závady. O této  skutečnosti je poskytovatel povinen informovat technický kontakt účastníka. Čas vzniku závady je v těchto případech dán nahlášením závady účastníkem.</w:t>
      </w:r>
    </w:p>
    <w:p>
      <w:pPr>
        <w:pStyle w:val="Heading3"/>
        <w:numPr>
          <w:ilvl w:val="0"/>
          <w:numId w:val="1"/>
        </w:numPr>
        <w:tabs>
          <w:tab w:pos="431" w:val="left" w:leader="none"/>
          <w:tab w:pos="432" w:val="left" w:leader="none"/>
        </w:tabs>
        <w:spacing w:line="240" w:lineRule="auto" w:before="63" w:after="0"/>
        <w:ind w:left="431" w:right="0" w:hanging="284"/>
        <w:jc w:val="left"/>
      </w:pPr>
      <w:r>
        <w:rPr/>
        <w:t>Podmínky pro instalaci a provoz zařízení poskytovatele</w:t>
      </w:r>
    </w:p>
    <w:p>
      <w:pPr>
        <w:pStyle w:val="ListParagraph"/>
        <w:numPr>
          <w:ilvl w:val="1"/>
          <w:numId w:val="1"/>
        </w:numPr>
        <w:tabs>
          <w:tab w:pos="432" w:val="left" w:leader="none"/>
        </w:tabs>
        <w:spacing w:line="249" w:lineRule="auto" w:before="6" w:after="0"/>
        <w:ind w:left="431" w:right="137" w:hanging="284"/>
        <w:jc w:val="both"/>
        <w:rPr>
          <w:sz w:val="12"/>
        </w:rPr>
      </w:pPr>
      <w:r>
        <w:rPr>
          <w:sz w:val="12"/>
        </w:rPr>
        <w:t>Účastník zajistí dostatečný prostor pro umístění zařízení poskytovatele. Velikost prostoru musí být dostatečná pro ventilaci a musí splňovat následující kritéria:</w:t>
      </w:r>
    </w:p>
    <w:p>
      <w:pPr>
        <w:pStyle w:val="ListParagraph"/>
        <w:numPr>
          <w:ilvl w:val="2"/>
          <w:numId w:val="1"/>
        </w:numPr>
        <w:tabs>
          <w:tab w:pos="602" w:val="left" w:leader="none"/>
        </w:tabs>
        <w:spacing w:line="240" w:lineRule="auto" w:before="0" w:after="0"/>
        <w:ind w:left="745" w:right="0" w:hanging="314"/>
        <w:jc w:val="left"/>
        <w:rPr>
          <w:sz w:val="12"/>
        </w:rPr>
      </w:pPr>
      <w:r>
        <w:rPr>
          <w:sz w:val="12"/>
        </w:rPr>
        <w:t>teplota v rozmezí 0 °C - 30 °C, při instalované tepelné zátěži 2000 W nepřekročí 35</w:t>
      </w:r>
      <w:r>
        <w:rPr>
          <w:spacing w:val="-1"/>
          <w:sz w:val="12"/>
        </w:rPr>
        <w:t> </w:t>
      </w:r>
      <w:r>
        <w:rPr>
          <w:sz w:val="12"/>
        </w:rPr>
        <w:t>°C;</w:t>
      </w:r>
    </w:p>
    <w:p>
      <w:pPr>
        <w:pStyle w:val="ListParagraph"/>
        <w:numPr>
          <w:ilvl w:val="2"/>
          <w:numId w:val="1"/>
        </w:numPr>
        <w:tabs>
          <w:tab w:pos="602" w:val="left" w:leader="none"/>
        </w:tabs>
        <w:spacing w:line="240" w:lineRule="auto" w:before="5" w:after="0"/>
        <w:ind w:left="601" w:right="0" w:hanging="170"/>
        <w:jc w:val="left"/>
        <w:rPr>
          <w:sz w:val="12"/>
        </w:rPr>
      </w:pPr>
      <w:r>
        <w:rPr>
          <w:sz w:val="12"/>
        </w:rPr>
        <w:t>relativní vlhkost vzduchu v rozsahu 10% až 80% nekondenzující;</w:t>
      </w:r>
    </w:p>
    <w:p>
      <w:pPr>
        <w:spacing w:after="0" w:line="240" w:lineRule="auto"/>
        <w:jc w:val="left"/>
        <w:rPr>
          <w:sz w:val="12"/>
        </w:rPr>
        <w:sectPr>
          <w:footerReference w:type="default" r:id="rId5"/>
          <w:type w:val="continuous"/>
          <w:pgSz w:w="11910" w:h="16840"/>
          <w:pgMar w:footer="256" w:top="260" w:bottom="440" w:left="280" w:right="260"/>
          <w:pgNumType w:start="1"/>
          <w:cols w:num="2" w:equalWidth="0">
            <w:col w:w="5682" w:space="40"/>
            <w:col w:w="5648"/>
          </w:cols>
        </w:sectPr>
      </w:pPr>
    </w:p>
    <w:p>
      <w:pPr>
        <w:pStyle w:val="BodyText"/>
        <w:ind w:left="458" w:firstLine="0"/>
        <w:jc w:val="left"/>
        <w:rPr>
          <w:sz w:val="20"/>
        </w:rPr>
      </w:pPr>
      <w:r>
        <w:rPr/>
        <w:pict>
          <v:shape style="position:absolute;margin-left:19.831238pt;margin-top:32.218773pt;width:11.55pt;height:790.25pt;mso-position-horizontal-relative:page;mso-position-vertical-relative:page;z-index:-4672" coordorigin="397,644" coordsize="231,15805" path="m628,644l512,644,494,647,454,669,415,726,397,839,397,16335,398,16353,408,16392,436,16431,491,16449,628,16449e" filled="false" stroked="true" strokeweight=".471136pt" strokecolor="#80bb27">
            <v:path arrowok="t"/>
            <v:stroke dashstyle="solid"/>
            <w10:wrap type="none"/>
          </v:shape>
        </w:pict>
      </w:r>
      <w:r>
        <w:rPr>
          <w:sz w:val="20"/>
        </w:rPr>
        <w:drawing>
          <wp:inline distT="0" distB="0" distL="0" distR="0">
            <wp:extent cx="1320250" cy="455295"/>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320250" cy="455295"/>
                    </a:xfrm>
                    <a:prstGeom prst="rect">
                      <a:avLst/>
                    </a:prstGeom>
                  </pic:spPr>
                </pic:pic>
              </a:graphicData>
            </a:graphic>
          </wp:inline>
        </w:drawing>
      </w:r>
      <w:r>
        <w:rPr>
          <w:sz w:val="20"/>
        </w:rPr>
      </w:r>
    </w:p>
    <w:p>
      <w:pPr>
        <w:pStyle w:val="ListParagraph"/>
        <w:numPr>
          <w:ilvl w:val="2"/>
          <w:numId w:val="1"/>
        </w:numPr>
        <w:tabs>
          <w:tab w:pos="746" w:val="left" w:leader="none"/>
        </w:tabs>
        <w:spacing w:line="249" w:lineRule="auto" w:before="35" w:after="0"/>
        <w:ind w:left="745" w:right="0" w:hanging="170"/>
        <w:jc w:val="left"/>
        <w:rPr>
          <w:sz w:val="12"/>
        </w:rPr>
      </w:pPr>
      <w:r>
        <w:rPr>
          <w:sz w:val="12"/>
        </w:rPr>
        <w:t>zařízení nebude vystaveno působení tekoucí, zatékající ani stříkající vody ani plynných a kapalných chemikálií;</w:t>
      </w:r>
    </w:p>
    <w:p>
      <w:pPr>
        <w:pStyle w:val="ListParagraph"/>
        <w:numPr>
          <w:ilvl w:val="2"/>
          <w:numId w:val="1"/>
        </w:numPr>
        <w:tabs>
          <w:tab w:pos="746" w:val="left" w:leader="none"/>
        </w:tabs>
        <w:spacing w:line="240" w:lineRule="auto" w:before="0" w:after="0"/>
        <w:ind w:left="745" w:right="0" w:hanging="170"/>
        <w:jc w:val="left"/>
        <w:rPr>
          <w:sz w:val="12"/>
        </w:rPr>
      </w:pPr>
      <w:r>
        <w:rPr>
          <w:sz w:val="12"/>
        </w:rPr>
        <w:t>prašnost v prostředí bude odpovídat prostředí AB5 a AE1 dle ČSN;</w:t>
      </w:r>
    </w:p>
    <w:p>
      <w:pPr>
        <w:pStyle w:val="ListParagraph"/>
        <w:numPr>
          <w:ilvl w:val="1"/>
          <w:numId w:val="1"/>
        </w:numPr>
        <w:tabs>
          <w:tab w:pos="576" w:val="left" w:leader="none"/>
        </w:tabs>
        <w:spacing w:line="249" w:lineRule="auto" w:before="5" w:after="0"/>
        <w:ind w:left="575" w:right="0" w:hanging="284"/>
        <w:jc w:val="both"/>
        <w:rPr>
          <w:sz w:val="12"/>
        </w:rPr>
      </w:pPr>
      <w:r>
        <w:rPr>
          <w:sz w:val="12"/>
        </w:rPr>
        <w:t>Účastník zajistí pro provoz zařízení poskytovatele na své náklady přípojku napájení ss 48V/ 40A</w:t>
      </w:r>
      <w:r>
        <w:rPr>
          <w:spacing w:val="22"/>
          <w:sz w:val="12"/>
        </w:rPr>
        <w:t> </w:t>
      </w:r>
      <w:r>
        <w:rPr>
          <w:sz w:val="12"/>
        </w:rPr>
        <w:t>nebo</w:t>
      </w:r>
      <w:r>
        <w:rPr>
          <w:spacing w:val="22"/>
          <w:sz w:val="12"/>
        </w:rPr>
        <w:t> </w:t>
      </w:r>
      <w:r>
        <w:rPr>
          <w:sz w:val="12"/>
        </w:rPr>
        <w:t>st</w:t>
      </w:r>
      <w:r>
        <w:rPr>
          <w:spacing w:val="22"/>
          <w:sz w:val="12"/>
        </w:rPr>
        <w:t> </w:t>
      </w:r>
      <w:r>
        <w:rPr>
          <w:sz w:val="12"/>
        </w:rPr>
        <w:t>230V/10A.</w:t>
      </w:r>
      <w:r>
        <w:rPr>
          <w:spacing w:val="22"/>
          <w:sz w:val="12"/>
        </w:rPr>
        <w:t> </w:t>
      </w:r>
      <w:r>
        <w:rPr>
          <w:sz w:val="12"/>
        </w:rPr>
        <w:t>Pro</w:t>
      </w:r>
      <w:r>
        <w:rPr>
          <w:spacing w:val="22"/>
          <w:sz w:val="12"/>
        </w:rPr>
        <w:t> </w:t>
      </w:r>
      <w:r>
        <w:rPr>
          <w:sz w:val="12"/>
        </w:rPr>
        <w:t>připojení</w:t>
      </w:r>
      <w:r>
        <w:rPr>
          <w:spacing w:val="22"/>
          <w:sz w:val="12"/>
        </w:rPr>
        <w:t> </w:t>
      </w:r>
      <w:r>
        <w:rPr>
          <w:sz w:val="12"/>
        </w:rPr>
        <w:t>měřících</w:t>
      </w:r>
      <w:r>
        <w:rPr>
          <w:spacing w:val="22"/>
          <w:sz w:val="12"/>
        </w:rPr>
        <w:t> </w:t>
      </w:r>
      <w:r>
        <w:rPr>
          <w:sz w:val="12"/>
        </w:rPr>
        <w:t>a</w:t>
      </w:r>
      <w:r>
        <w:rPr>
          <w:spacing w:val="22"/>
          <w:sz w:val="12"/>
        </w:rPr>
        <w:t> </w:t>
      </w:r>
      <w:r>
        <w:rPr>
          <w:sz w:val="12"/>
        </w:rPr>
        <w:t>testovacích</w:t>
      </w:r>
      <w:r>
        <w:rPr>
          <w:spacing w:val="22"/>
          <w:sz w:val="12"/>
        </w:rPr>
        <w:t> </w:t>
      </w:r>
      <w:r>
        <w:rPr>
          <w:sz w:val="12"/>
        </w:rPr>
        <w:t>přístrojů</w:t>
      </w:r>
      <w:r>
        <w:rPr>
          <w:spacing w:val="22"/>
          <w:sz w:val="12"/>
        </w:rPr>
        <w:t> </w:t>
      </w:r>
      <w:r>
        <w:rPr>
          <w:sz w:val="12"/>
        </w:rPr>
        <w:t>při</w:t>
      </w:r>
      <w:r>
        <w:rPr>
          <w:spacing w:val="22"/>
          <w:sz w:val="12"/>
        </w:rPr>
        <w:t> </w:t>
      </w:r>
      <w:r>
        <w:rPr>
          <w:sz w:val="12"/>
        </w:rPr>
        <w:t>instalaci</w:t>
      </w:r>
      <w:r>
        <w:rPr>
          <w:spacing w:val="22"/>
          <w:sz w:val="12"/>
        </w:rPr>
        <w:t> </w:t>
      </w:r>
      <w:r>
        <w:rPr>
          <w:sz w:val="12"/>
        </w:rPr>
        <w:t>a</w:t>
      </w:r>
      <w:r>
        <w:rPr>
          <w:spacing w:val="22"/>
          <w:sz w:val="12"/>
        </w:rPr>
        <w:t> </w:t>
      </w:r>
      <w:r>
        <w:rPr>
          <w:sz w:val="12"/>
        </w:rPr>
        <w:t>údržbě zajistí účastník alespoň jednu síťovou zásuvku 230V/10A v blízkosti zařízení, napájenou ze stejné fáze jako zařízení koncového bodu.</w:t>
      </w:r>
    </w:p>
    <w:p>
      <w:pPr>
        <w:pStyle w:val="ListParagraph"/>
        <w:numPr>
          <w:ilvl w:val="1"/>
          <w:numId w:val="1"/>
        </w:numPr>
        <w:tabs>
          <w:tab w:pos="576" w:val="left" w:leader="none"/>
        </w:tabs>
        <w:spacing w:line="249" w:lineRule="auto" w:before="0" w:after="0"/>
        <w:ind w:left="575" w:right="0" w:hanging="284"/>
        <w:jc w:val="both"/>
        <w:rPr>
          <w:sz w:val="12"/>
        </w:rPr>
      </w:pPr>
      <w:r>
        <w:rPr>
          <w:sz w:val="12"/>
        </w:rPr>
        <w:t>Účastník definuje v místnosti instalace uzemňovací bod společný pro zařízení poskytovatele a bezprostředně zapojená zařízení uživatele.</w:t>
      </w:r>
    </w:p>
    <w:p>
      <w:pPr>
        <w:pStyle w:val="Heading3"/>
        <w:numPr>
          <w:ilvl w:val="0"/>
          <w:numId w:val="1"/>
        </w:numPr>
        <w:tabs>
          <w:tab w:pos="575" w:val="left" w:leader="none"/>
          <w:tab w:pos="576" w:val="left" w:leader="none"/>
        </w:tabs>
        <w:spacing w:line="240" w:lineRule="auto" w:before="58" w:after="0"/>
        <w:ind w:left="575" w:right="0" w:hanging="284"/>
        <w:jc w:val="left"/>
      </w:pPr>
      <w:r>
        <w:rPr/>
        <w:t>Provoz zařízení poskytovatele</w:t>
      </w:r>
    </w:p>
    <w:p>
      <w:pPr>
        <w:pStyle w:val="ListParagraph"/>
        <w:numPr>
          <w:ilvl w:val="1"/>
          <w:numId w:val="1"/>
        </w:numPr>
        <w:tabs>
          <w:tab w:pos="576" w:val="left" w:leader="none"/>
        </w:tabs>
        <w:spacing w:line="249" w:lineRule="auto" w:before="6" w:after="0"/>
        <w:ind w:left="575" w:right="0" w:hanging="284"/>
        <w:jc w:val="both"/>
        <w:rPr>
          <w:sz w:val="12"/>
        </w:rPr>
      </w:pPr>
      <w:r>
        <w:rPr>
          <w:sz w:val="12"/>
        </w:rPr>
        <w:t>Účastník ani uživatel nesmí jakýmkoli způsobem zasahovat do zařízení umístěných od koncového bodu služby směrem do sítě poskytovatele. Bude-li takový zásah objektivně zjištěn, ztrácí účastník nárok na započtení všech období trvání závad, od objektivně stanoveného okamžiku neoprávněného zásahu do uvedení ovlivněných zařízení do stavu považovaného </w:t>
      </w:r>
      <w:r>
        <w:rPr>
          <w:position w:val="1"/>
          <w:sz w:val="12"/>
        </w:rPr>
        <w:t>poskytovatelem za řádný, do doby nedostupnosti služby T</w:t>
      </w:r>
      <w:r>
        <w:rPr>
          <w:sz w:val="8"/>
        </w:rPr>
        <w:t>N</w:t>
      </w:r>
      <w:r>
        <w:rPr>
          <w:position w:val="1"/>
          <w:sz w:val="12"/>
        </w:rPr>
        <w:t>. Poskytovatel se zavazuje zajistit </w:t>
      </w:r>
      <w:r>
        <w:rPr>
          <w:sz w:val="12"/>
        </w:rPr>
        <w:t>uvedení zařízení do řádného stavu v nejbližším možném termínu..</w:t>
      </w:r>
    </w:p>
    <w:p>
      <w:pPr>
        <w:pStyle w:val="ListParagraph"/>
        <w:numPr>
          <w:ilvl w:val="1"/>
          <w:numId w:val="1"/>
        </w:numPr>
        <w:tabs>
          <w:tab w:pos="576" w:val="left" w:leader="none"/>
        </w:tabs>
        <w:spacing w:line="254" w:lineRule="auto" w:before="0" w:after="0"/>
        <w:ind w:left="575" w:right="0" w:hanging="284"/>
        <w:jc w:val="both"/>
        <w:rPr>
          <w:sz w:val="12"/>
        </w:rPr>
      </w:pPr>
      <w:r>
        <w:rPr>
          <w:sz w:val="12"/>
        </w:rPr>
        <w:t>Účastník ani uživatel nemá oprávnění jakýmkoli způsobem monitorovat provoz v síti poskytovatele za koncovým bodem služby. Bude-li takové jednání objektivně zjištěno, je poskytovatel oprávněn provést veškerá opatření k jeho zamezení.</w:t>
      </w:r>
    </w:p>
    <w:p>
      <w:pPr>
        <w:pStyle w:val="BodyText"/>
        <w:spacing w:before="3"/>
        <w:ind w:left="0" w:firstLine="0"/>
        <w:jc w:val="left"/>
      </w:pPr>
    </w:p>
    <w:p>
      <w:pPr>
        <w:pStyle w:val="BodyText"/>
        <w:ind w:left="291" w:firstLine="0"/>
        <w:jc w:val="left"/>
      </w:pPr>
      <w:r>
        <w:rPr/>
        <w:t>Tyto provozní podmínky nabývají platnosti dnem 1.1.2021.</w:t>
      </w:r>
    </w:p>
    <w:p>
      <w:pPr>
        <w:pStyle w:val="Heading1"/>
        <w:ind w:left="2505"/>
      </w:pPr>
      <w:r>
        <w:rPr/>
        <w:br w:type="column"/>
      </w:r>
      <w:r>
        <w:rPr/>
        <w:t>PROVOZNÍ PODMÍNKY</w:t>
      </w:r>
    </w:p>
    <w:p>
      <w:pPr>
        <w:pStyle w:val="Heading2"/>
        <w:ind w:left="255"/>
      </w:pPr>
      <w:r>
        <w:rPr/>
        <w:t>poskytování připojení k síti Internet platné od 1.1.2021</w:t>
      </w:r>
    </w:p>
    <w:sectPr>
      <w:pgSz w:w="11910" w:h="16840"/>
      <w:pgMar w:header="0" w:footer="256" w:top="260" w:bottom="440" w:left="280" w:right="280"/>
      <w:cols w:num="2" w:equalWidth="0">
        <w:col w:w="5649" w:space="40"/>
        <w:col w:w="566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566742pt;margin-top:818.065552pt;width:147.75pt;height:8pt;mso-position-horizontal-relative:page;mso-position-vertical-relative:page;z-index:-4696" type="#_x0000_t202" filled="false" stroked="false">
          <v:textbox inset="0,0,0,0">
            <w:txbxContent>
              <w:p>
                <w:pPr>
                  <w:pStyle w:val="BodyText"/>
                  <w:ind w:left="20" w:firstLine="0"/>
                  <w:jc w:val="left"/>
                </w:pPr>
                <w:r>
                  <w:rPr/>
                  <w:t>Provozní podmínky poskytování připojení k síti Internet</w:t>
                </w:r>
              </w:p>
            </w:txbxContent>
          </v:textbox>
          <w10:wrap type="none"/>
        </v:shape>
      </w:pict>
    </w:r>
    <w:r>
      <w:rPr/>
      <w:pict>
        <v:shape style="position:absolute;margin-left:423.205475pt;margin-top:818.065552pt;width:38.4pt;height:8pt;mso-position-horizontal-relative:page;mso-position-vertical-relative:page;z-index:-4672" type="#_x0000_t202" filled="false" stroked="false">
          <v:textbox inset="0,0,0,0">
            <w:txbxContent>
              <w:p>
                <w:pPr>
                  <w:pStyle w:val="BodyText"/>
                  <w:ind w:left="20" w:firstLine="0"/>
                  <w:jc w:val="left"/>
                </w:pPr>
                <w:r>
                  <w:rPr/>
                  <w:t>verze 210101</w:t>
                </w:r>
              </w:p>
            </w:txbxContent>
          </v:textbox>
          <w10:wrap type="none"/>
        </v:shape>
      </w:pict>
    </w:r>
    <w:r>
      <w:rPr/>
      <w:pict>
        <v:shape style="position:absolute;margin-left:531.565674pt;margin-top:818.065552pt;width:34.4pt;height:8pt;mso-position-horizontal-relative:page;mso-position-vertical-relative:page;z-index:-4648" type="#_x0000_t202" filled="false" stroked="false">
          <v:textbox inset="0,0,0,0">
            <w:txbxContent>
              <w:p>
                <w:pPr>
                  <w:pStyle w:val="BodyText"/>
                  <w:ind w:left="20" w:firstLine="0"/>
                  <w:jc w:val="left"/>
                </w:pPr>
                <w:r>
                  <w:rPr/>
                  <w:t>Strana </w:t>
                </w:r>
                <w:r>
                  <w:rPr/>
                  <w:fldChar w:fldCharType="begin"/>
                </w:r>
                <w:r>
                  <w:rPr/>
                  <w:instrText> PAGE </w:instrText>
                </w:r>
                <w:r>
                  <w:rPr/>
                  <w:fldChar w:fldCharType="separate"/>
                </w:r>
                <w:r>
                  <w:rPr/>
                  <w:t>1</w:t>
                </w:r>
                <w:r>
                  <w:rPr/>
                  <w:fldChar w:fldCharType="end"/>
                </w:r>
                <w:r>
                  <w:rPr/>
                  <w:t> z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75" w:hanging="284"/>
        <w:jc w:val="right"/>
      </w:pPr>
      <w:rPr>
        <w:rFonts w:hint="default" w:ascii="Arial" w:hAnsi="Arial" w:eastAsia="Arial" w:cs="Arial"/>
        <w:b/>
        <w:bCs/>
        <w:w w:val="100"/>
        <w:sz w:val="12"/>
        <w:szCs w:val="12"/>
      </w:rPr>
    </w:lvl>
    <w:lvl w:ilvl="1">
      <w:start w:val="1"/>
      <w:numFmt w:val="decimal"/>
      <w:lvlText w:val="%1.%2"/>
      <w:lvlJc w:val="left"/>
      <w:pPr>
        <w:ind w:left="575" w:hanging="284"/>
        <w:jc w:val="left"/>
      </w:pPr>
      <w:rPr>
        <w:rFonts w:hint="default" w:ascii="Arial" w:hAnsi="Arial" w:eastAsia="Arial" w:cs="Arial"/>
        <w:spacing w:val="-17"/>
        <w:w w:val="100"/>
        <w:sz w:val="12"/>
        <w:szCs w:val="12"/>
      </w:rPr>
    </w:lvl>
    <w:lvl w:ilvl="2">
      <w:start w:val="1"/>
      <w:numFmt w:val="lowerLetter"/>
      <w:lvlText w:val="%3)"/>
      <w:lvlJc w:val="left"/>
      <w:pPr>
        <w:ind w:left="745" w:hanging="170"/>
        <w:jc w:val="left"/>
      </w:pPr>
      <w:rPr>
        <w:rFonts w:hint="default" w:ascii="Arial" w:hAnsi="Arial" w:eastAsia="Arial" w:cs="Arial"/>
        <w:spacing w:val="-4"/>
        <w:w w:val="100"/>
        <w:sz w:val="12"/>
        <w:szCs w:val="12"/>
      </w:rPr>
    </w:lvl>
    <w:lvl w:ilvl="3">
      <w:start w:val="0"/>
      <w:numFmt w:val="bullet"/>
      <w:lvlText w:val="•"/>
      <w:lvlJc w:val="left"/>
      <w:pPr>
        <w:ind w:left="740" w:hanging="170"/>
      </w:pPr>
      <w:rPr>
        <w:rFonts w:hint="default"/>
      </w:rPr>
    </w:lvl>
    <w:lvl w:ilvl="4">
      <w:start w:val="0"/>
      <w:numFmt w:val="bullet"/>
      <w:lvlText w:val="•"/>
      <w:lvlJc w:val="left"/>
      <w:pPr>
        <w:ind w:left="623" w:hanging="170"/>
      </w:pPr>
      <w:rPr>
        <w:rFonts w:hint="default"/>
      </w:rPr>
    </w:lvl>
    <w:lvl w:ilvl="5">
      <w:start w:val="0"/>
      <w:numFmt w:val="bullet"/>
      <w:lvlText w:val="•"/>
      <w:lvlJc w:val="left"/>
      <w:pPr>
        <w:ind w:left="507" w:hanging="170"/>
      </w:pPr>
      <w:rPr>
        <w:rFonts w:hint="default"/>
      </w:rPr>
    </w:lvl>
    <w:lvl w:ilvl="6">
      <w:start w:val="0"/>
      <w:numFmt w:val="bullet"/>
      <w:lvlText w:val="•"/>
      <w:lvlJc w:val="left"/>
      <w:pPr>
        <w:ind w:left="391" w:hanging="170"/>
      </w:pPr>
      <w:rPr>
        <w:rFonts w:hint="default"/>
      </w:rPr>
    </w:lvl>
    <w:lvl w:ilvl="7">
      <w:start w:val="0"/>
      <w:numFmt w:val="bullet"/>
      <w:lvlText w:val="•"/>
      <w:lvlJc w:val="left"/>
      <w:pPr>
        <w:ind w:left="275" w:hanging="170"/>
      </w:pPr>
      <w:rPr>
        <w:rFonts w:hint="default"/>
      </w:rPr>
    </w:lvl>
    <w:lvl w:ilvl="8">
      <w:start w:val="0"/>
      <w:numFmt w:val="bullet"/>
      <w:lvlText w:val="•"/>
      <w:lvlJc w:val="left"/>
      <w:pPr>
        <w:ind w:left="159" w:hanging="1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575" w:hanging="284"/>
      <w:jc w:val="both"/>
    </w:pPr>
    <w:rPr>
      <w:rFonts w:ascii="Arial" w:hAnsi="Arial" w:eastAsia="Arial" w:cs="Arial"/>
      <w:sz w:val="12"/>
      <w:szCs w:val="12"/>
    </w:rPr>
  </w:style>
  <w:style w:styleId="Heading1" w:type="paragraph">
    <w:name w:val="Heading 1"/>
    <w:basedOn w:val="Normal"/>
    <w:uiPriority w:val="1"/>
    <w:qFormat/>
    <w:pPr>
      <w:spacing w:before="79"/>
      <w:ind w:left="2471"/>
      <w:outlineLvl w:val="1"/>
    </w:pPr>
    <w:rPr>
      <w:rFonts w:ascii="Arial" w:hAnsi="Arial" w:eastAsia="Arial" w:cs="Arial"/>
      <w:sz w:val="28"/>
      <w:szCs w:val="28"/>
    </w:rPr>
  </w:style>
  <w:style w:styleId="Heading2" w:type="paragraph">
    <w:name w:val="Heading 2"/>
    <w:basedOn w:val="Normal"/>
    <w:uiPriority w:val="1"/>
    <w:qFormat/>
    <w:pPr>
      <w:spacing w:before="8"/>
      <w:ind w:left="222"/>
      <w:outlineLvl w:val="2"/>
    </w:pPr>
    <w:rPr>
      <w:rFonts w:ascii="Arial" w:hAnsi="Arial" w:eastAsia="Arial" w:cs="Arial"/>
      <w:sz w:val="22"/>
      <w:szCs w:val="22"/>
    </w:rPr>
  </w:style>
  <w:style w:styleId="Heading3" w:type="paragraph">
    <w:name w:val="Heading 3"/>
    <w:basedOn w:val="Normal"/>
    <w:uiPriority w:val="1"/>
    <w:qFormat/>
    <w:pPr>
      <w:spacing w:before="57"/>
      <w:ind w:left="575" w:hanging="284"/>
      <w:outlineLvl w:val="3"/>
    </w:pPr>
    <w:rPr>
      <w:rFonts w:ascii="Arial" w:hAnsi="Arial" w:eastAsia="Arial" w:cs="Arial"/>
      <w:b/>
      <w:bCs/>
      <w:sz w:val="12"/>
      <w:szCs w:val="12"/>
    </w:rPr>
  </w:style>
  <w:style w:styleId="ListParagraph" w:type="paragraph">
    <w:name w:val="List Paragraph"/>
    <w:basedOn w:val="Normal"/>
    <w:uiPriority w:val="1"/>
    <w:qFormat/>
    <w:pPr>
      <w:ind w:left="575" w:hanging="284"/>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wia.cz/" TargetMode="External"/><Relationship Id="rId8" Type="http://schemas.openxmlformats.org/officeDocument/2006/relationships/hyperlink" Target="http://www.ctu.cz/sites/default/files/obsah/stranky/937/soubory/merenidatovychparametrusitipo"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WIA_PP_Internet_210101_v201228.docx</dc:title>
  <dcterms:created xsi:type="dcterms:W3CDTF">2023-06-26T09:11:53Z</dcterms:created>
  <dcterms:modified xsi:type="dcterms:W3CDTF">2023-06-26T09:11:53Z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Word</vt:lpwstr>
  </property>
  <property fmtid="{D5CDD505-2E9C-101B-9397-08002B2CF9AE}" pid="4" name="LastSaved">
    <vt:filetime>2023-06-26T00:00:00Z</vt:filetime>
  </property>
</Properties>
</file>