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21"/>
        <w:ind w:left="0" w:right="111" w:firstLine="0"/>
        <w:jc w:val="right"/>
        <w:rPr>
          <w:b/>
          <w:sz w:val="28"/>
        </w:rPr>
      </w:pPr>
      <w:r>
        <w:rPr/>
        <w:drawing>
          <wp:anchor distT="0" distB="0" distL="0" distR="0" allowOverlap="1" layoutInCell="1" locked="0" behindDoc="1" simplePos="0" relativeHeight="268431911">
            <wp:simplePos x="0" y="0"/>
            <wp:positionH relativeFrom="page">
              <wp:posOffset>736600</wp:posOffset>
            </wp:positionH>
            <wp:positionV relativeFrom="paragraph">
              <wp:posOffset>-1368</wp:posOffset>
            </wp:positionV>
            <wp:extent cx="1295400" cy="445468"/>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295400" cy="445468"/>
                    </a:xfrm>
                    <a:prstGeom prst="rect">
                      <a:avLst/>
                    </a:prstGeom>
                  </pic:spPr>
                </pic:pic>
              </a:graphicData>
            </a:graphic>
          </wp:anchor>
        </w:drawing>
      </w:r>
      <w:r>
        <w:rPr/>
        <w:pict>
          <v:group style="position:absolute;margin-left:27.76778pt;margin-top:50.824501pt;width:534.65pt;height:767.05pt;mso-position-horizontal-relative:page;mso-position-vertical-relative:page;z-index:-3520" coordorigin="555,1016" coordsize="10693,15341">
            <v:shape style="position:absolute;left:794;top:2817;width:10455;height:11360" coordorigin="794,2817" coordsize="10455,11360" path="m11248,13777l9734,13777,8220,13777,794,13777,794,14177,8220,14177,9734,14177,11248,14177,11248,13777m11248,12537l9734,12537,8220,12537,794,12537,794,12937,8220,12937,9734,12937,11248,12937,11248,12537m11248,11297l9734,11297,8220,11297,794,11297,794,11697,8220,11697,9734,11697,11248,11697,11248,11297m11248,10057l9734,10057,8220,10057,794,10057,794,10457,8220,10457,9734,10457,11248,10457,11248,10057m11248,9217l9734,9217,8220,9217,794,9217,794,9617,8220,9617,9734,9617,11248,9617,11248,9217m11248,7977l9734,7977,8220,7977,794,7977,794,8377,8220,8377,9734,8377,11248,8377,11248,7977m11248,6537l9734,6537,8220,6537,794,6537,794,7137,8220,7137,9734,7137,11248,7137,11248,6537m11248,5097l9734,5097,8220,5097,794,5097,794,5497,8220,5497,9734,5497,11248,5497,11248,5097m11248,3857l9734,3857,8220,3857,794,3857,794,4257,8220,4257,9734,4257,11248,4257,11248,3857m11248,2817l9734,2817,8220,2817,794,2817,794,3217,8220,3217,9734,3217,11248,3217,11248,2817e" filled="true" fillcolor="#e8e9e8" stroked="false">
              <v:path arrowok="t"/>
              <v:fill type="solid"/>
            </v:shape>
            <v:shape style="position:absolute;left:561;top:1022;width:278;height:15329" coordorigin="561,1022" coordsize="278,15329" path="m839,1022l700,1022,678,1025,631,1046,583,1102,561,1211,561,16240,563,16258,575,16296,609,16334,674,16351,839,16351e" filled="false" stroked="true" strokeweight=".565611pt" strokecolor="#80bb27">
              <v:path arrowok="t"/>
              <v:stroke dashstyle="solid"/>
            </v:shape>
            <w10:wrap type="none"/>
          </v:group>
        </w:pict>
      </w:r>
      <w:r>
        <w:rPr>
          <w:b/>
          <w:color w:val="444444"/>
          <w:spacing w:val="8"/>
          <w:sz w:val="28"/>
        </w:rPr>
        <w:t>Ceník </w:t>
      </w:r>
      <w:r>
        <w:rPr>
          <w:b/>
          <w:color w:val="444444"/>
          <w:spacing w:val="10"/>
          <w:sz w:val="28"/>
        </w:rPr>
        <w:t>administrativních </w:t>
      </w:r>
      <w:r>
        <w:rPr>
          <w:b/>
          <w:color w:val="444444"/>
          <w:spacing w:val="9"/>
          <w:sz w:val="28"/>
        </w:rPr>
        <w:t>poplatků</w:t>
      </w:r>
      <w:r>
        <w:rPr>
          <w:b/>
          <w:color w:val="444444"/>
          <w:spacing w:val="64"/>
          <w:sz w:val="28"/>
        </w:rPr>
        <w:t> </w:t>
      </w:r>
      <w:r>
        <w:rPr>
          <w:b/>
          <w:color w:val="444444"/>
          <w:spacing w:val="11"/>
          <w:sz w:val="28"/>
        </w:rPr>
        <w:t>WIA</w:t>
      </w:r>
    </w:p>
    <w:p>
      <w:pPr>
        <w:spacing w:before="7"/>
        <w:ind w:left="0" w:right="117" w:firstLine="0"/>
        <w:jc w:val="right"/>
        <w:rPr>
          <w:b/>
          <w:sz w:val="22"/>
        </w:rPr>
      </w:pPr>
      <w:r>
        <w:rPr>
          <w:b/>
          <w:color w:val="444444"/>
          <w:sz w:val="22"/>
        </w:rPr>
        <w:t>platný od 1.4.2020</w:t>
      </w:r>
    </w:p>
    <w:p>
      <w:pPr>
        <w:pStyle w:val="BodyText"/>
        <w:rPr>
          <w:b/>
          <w:sz w:val="22"/>
        </w:rPr>
      </w:pPr>
    </w:p>
    <w:p>
      <w:pPr>
        <w:pStyle w:val="BodyText"/>
        <w:spacing w:before="4"/>
        <w:rPr>
          <w:b/>
          <w:sz w:val="18"/>
        </w:rPr>
      </w:pPr>
    </w:p>
    <w:p>
      <w:pPr>
        <w:pStyle w:val="BodyText"/>
        <w:spacing w:line="261" w:lineRule="auto"/>
        <w:ind w:left="120" w:right="269"/>
      </w:pPr>
      <w:r>
        <w:rPr/>
        <w:t>Ceník administrativních poplatků se vztahuje ke všem službám WIA. Nebude-li dohodnuto jinak, budou ceny za provedení úkonů dle tohoto ceníku vyúčtovány v následujícím pravidelném vyúčtování. V případě změny sazby DPH je platná cena bez DPH.</w:t>
      </w:r>
    </w:p>
    <w:p>
      <w:pPr>
        <w:pStyle w:val="BodyText"/>
      </w:pPr>
    </w:p>
    <w:p>
      <w:pPr>
        <w:pStyle w:val="BodyText"/>
        <w:tabs>
          <w:tab w:pos="7886" w:val="left" w:leader="none"/>
          <w:tab w:pos="9578" w:val="left" w:leader="none"/>
        </w:tabs>
        <w:spacing w:before="136"/>
        <w:ind w:left="220"/>
      </w:pPr>
      <w:r>
        <w:rPr/>
        <w:t>Položka</w:t>
        <w:tab/>
        <w:t>Cena bez DPH</w:t>
        <w:tab/>
        <w:t>Cena s DPH</w:t>
      </w:r>
    </w:p>
    <w:p>
      <w:pPr>
        <w:pStyle w:val="BodyText"/>
        <w:spacing w:before="9"/>
        <w:rPr>
          <w:sz w:val="15"/>
        </w:rPr>
      </w:pPr>
    </w:p>
    <w:p>
      <w:pPr>
        <w:pStyle w:val="Heading1"/>
        <w:tabs>
          <w:tab w:pos="8527" w:val="left" w:leader="none"/>
          <w:tab w:pos="10040" w:val="left" w:leader="none"/>
        </w:tabs>
        <w:spacing w:before="74"/>
        <w:ind w:left="220"/>
      </w:pPr>
      <w:r>
        <w:rPr/>
        <w:t>Odeslání kopie listinného dokumentu (mino daňové doklady)</w:t>
        <w:tab/>
        <w:t>50 Kč</w:t>
        <w:tab/>
        <w:t>61 Kč</w:t>
      </w:r>
    </w:p>
    <w:p>
      <w:pPr>
        <w:pStyle w:val="BodyText"/>
        <w:spacing w:before="7"/>
        <w:rPr>
          <w:b/>
          <w:sz w:val="18"/>
        </w:rPr>
      </w:pPr>
    </w:p>
    <w:p>
      <w:pPr>
        <w:pStyle w:val="BodyText"/>
        <w:spacing w:line="261" w:lineRule="auto"/>
        <w:ind w:left="220" w:right="269"/>
      </w:pPr>
      <w:r>
        <w:rPr/>
        <w:t>Cena za jednu stranu dokumentu A4. Položka obsahuje vyhledání dokumentu v archivu, vytvoření jeho kopie a odeslání pozemní nebo elektronickou poštou. Tento úkon se provádí na emailovou/písemnou žádost účastníka.</w:t>
      </w:r>
    </w:p>
    <w:p>
      <w:pPr>
        <w:pStyle w:val="BodyText"/>
        <w:spacing w:before="10"/>
        <w:rPr>
          <w:sz w:val="8"/>
        </w:rPr>
      </w:pPr>
      <w:r>
        <w:rPr/>
        <w:pict>
          <v:shapetype id="_x0000_t202" o:spt="202" coordsize="21600,21600" path="m,l,21600r21600,l21600,xe">
            <v:stroke joinstyle="miter"/>
            <v:path gradientshapeok="t" o:connecttype="rect"/>
          </v:shapetype>
          <v:shape style="position:absolute;margin-left:39.68504pt;margin-top:6.341798pt;width:522.75pt;height:20pt;mso-position-horizontal-relative:page;mso-position-vertical-relative:paragraph;z-index:0;mso-wrap-distance-left:0;mso-wrap-distance-right:0" type="#_x0000_t202" filled="false" stroked="false">
            <v:textbox inset="0,0,0,0">
              <w:txbxContent>
                <w:p>
                  <w:pPr>
                    <w:tabs>
                      <w:tab w:pos="8413" w:val="left" w:leader="none"/>
                      <w:tab w:pos="9704" w:val="left" w:leader="none"/>
                    </w:tabs>
                    <w:spacing w:before="113"/>
                    <w:ind w:left="106" w:right="0" w:firstLine="0"/>
                    <w:jc w:val="left"/>
                    <w:rPr>
                      <w:b/>
                      <w:sz w:val="16"/>
                    </w:rPr>
                  </w:pPr>
                  <w:r>
                    <w:rPr>
                      <w:b/>
                      <w:sz w:val="16"/>
                    </w:rPr>
                    <w:t>Odeslání faktury (daňového dokladu) nebo jeho opisu v listinné podobě prostřednictvím pošty</w:t>
                    <w:tab/>
                    <w:t>30 Kč</w:t>
                    <w:tab/>
                    <w:t>36,30 Kč</w:t>
                  </w:r>
                </w:p>
              </w:txbxContent>
            </v:textbox>
            <w10:wrap type="topAndBottom"/>
          </v:shape>
        </w:pict>
      </w:r>
    </w:p>
    <w:p>
      <w:pPr>
        <w:pStyle w:val="BodyText"/>
        <w:spacing w:line="261" w:lineRule="auto" w:before="97"/>
        <w:ind w:left="220" w:right="369"/>
      </w:pPr>
      <w:r>
        <w:rPr/>
        <w:t>Cena za jeden daňový doklad. Položka obsahuje vytištění a odeslání daňového dokladu pozemní poštou. Odeslání elektronickou poštou je zdarma. V případě, že účastník nemá nebo nepředal WIA svou emailovou adresu nebo doručování na sdělenou emailovou adresu není funkční je odeslání daňového dokladu provedeno poštou.</w:t>
      </w:r>
    </w:p>
    <w:p>
      <w:pPr>
        <w:pStyle w:val="BodyText"/>
        <w:spacing w:before="11"/>
        <w:rPr>
          <w:sz w:val="8"/>
        </w:rPr>
      </w:pPr>
      <w:r>
        <w:rPr/>
        <w:pict>
          <v:shape style="position:absolute;margin-left:39.68504pt;margin-top:6.352219pt;width:522.75pt;height:20pt;mso-position-horizontal-relative:page;mso-position-vertical-relative:paragraph;z-index:1048;mso-wrap-distance-left:0;mso-wrap-distance-right:0" type="#_x0000_t202" filled="false" stroked="false">
            <v:textbox inset="0,0,0,0">
              <w:txbxContent>
                <w:p>
                  <w:pPr>
                    <w:tabs>
                      <w:tab w:pos="8413" w:val="left" w:leader="none"/>
                      <w:tab w:pos="9927" w:val="left" w:leader="none"/>
                    </w:tabs>
                    <w:spacing w:before="113"/>
                    <w:ind w:left="106" w:right="0" w:firstLine="0"/>
                    <w:jc w:val="left"/>
                    <w:rPr>
                      <w:b/>
                      <w:sz w:val="16"/>
                    </w:rPr>
                  </w:pPr>
                  <w:r>
                    <w:rPr>
                      <w:b/>
                      <w:sz w:val="16"/>
                    </w:rPr>
                    <w:t>Odeslání</w:t>
                  </w:r>
                  <w:r>
                    <w:rPr>
                      <w:b/>
                      <w:spacing w:val="-1"/>
                      <w:sz w:val="16"/>
                    </w:rPr>
                    <w:t> </w:t>
                  </w:r>
                  <w:r>
                    <w:rPr>
                      <w:b/>
                      <w:sz w:val="16"/>
                    </w:rPr>
                    <w:t>upomínky</w:t>
                    <w:tab/>
                    <w:t>70 Kč</w:t>
                    <w:tab/>
                    <w:t>85 Kč</w:t>
                  </w:r>
                </w:p>
              </w:txbxContent>
            </v:textbox>
            <w10:wrap type="topAndBottom"/>
          </v:shape>
        </w:pict>
      </w:r>
    </w:p>
    <w:p>
      <w:pPr>
        <w:pStyle w:val="BodyText"/>
        <w:spacing w:line="261" w:lineRule="auto" w:before="97"/>
        <w:ind w:left="220" w:right="369"/>
      </w:pPr>
      <w:r>
        <w:rPr/>
        <w:t>Cena za jednu upomínku. V případě, že účastník je v prodlení déle než 2 resp. 5 dní po datu splatnosti faktury a není mu možné odeslat elektronicky 1. resp. 2. upomínku (účastník nemá nebo nepředal WIA emailovou adresu nebo doručování na sdělenou adresu není funkční), bude upomínka odeslána pozemní poštou. Odeslání upomínky elektronickou poštou je zdarma. Tento úkon se provádí v automatizovaném režimu.</w:t>
      </w:r>
    </w:p>
    <w:p>
      <w:pPr>
        <w:pStyle w:val="BodyText"/>
        <w:rPr>
          <w:sz w:val="21"/>
        </w:rPr>
      </w:pPr>
      <w:r>
        <w:rPr/>
        <w:pict>
          <v:shape style="position:absolute;margin-left:45pt;margin-top:13.318063pt;width:164.2pt;height:18pt;mso-position-horizontal-relative:page;mso-position-vertical-relative:paragraph;z-index:1072;mso-wrap-distance-left:0;mso-wrap-distance-right:0" type="#_x0000_t202" filled="false" stroked="false">
            <v:textbox inset="0,0,0,0">
              <w:txbxContent>
                <w:p>
                  <w:pPr>
                    <w:spacing w:line="157" w:lineRule="exact" w:before="0"/>
                    <w:ind w:left="0" w:right="0" w:firstLine="0"/>
                    <w:jc w:val="left"/>
                    <w:rPr>
                      <w:b/>
                      <w:sz w:val="16"/>
                    </w:rPr>
                  </w:pPr>
                  <w:r>
                    <w:rPr>
                      <w:b/>
                      <w:sz w:val="16"/>
                    </w:rPr>
                    <w:t>Odeslání Poslední výzvy k úhradě emailem</w:t>
                  </w:r>
                </w:p>
                <w:p>
                  <w:pPr>
                    <w:spacing w:before="16"/>
                    <w:ind w:left="0" w:right="0" w:firstLine="0"/>
                    <w:jc w:val="left"/>
                    <w:rPr>
                      <w:b/>
                      <w:sz w:val="16"/>
                    </w:rPr>
                  </w:pPr>
                  <w:r>
                    <w:rPr>
                      <w:b/>
                      <w:sz w:val="16"/>
                    </w:rPr>
                    <w:t>Odeslání Poslední výzvy k úhradě poštou</w:t>
                  </w:r>
                </w:p>
              </w:txbxContent>
            </v:textbox>
            <w10:wrap type="topAndBottom"/>
          </v:shape>
        </w:pict>
      </w:r>
      <w:r>
        <w:rPr/>
        <w:pict>
          <v:shape style="position:absolute;margin-left:455.911713pt;margin-top:13.352262pt;width:26.85pt;height:18pt;mso-position-horizontal-relative:page;mso-position-vertical-relative:paragraph;z-index:1096;mso-wrap-distance-left:0;mso-wrap-distance-right:0" type="#_x0000_t202" filled="false" stroked="false">
            <v:textbox inset="0,0,0,0">
              <w:txbxContent>
                <w:p>
                  <w:pPr>
                    <w:spacing w:line="157" w:lineRule="exact" w:before="0"/>
                    <w:ind w:left="88" w:right="0" w:firstLine="0"/>
                    <w:jc w:val="left"/>
                    <w:rPr>
                      <w:b/>
                      <w:sz w:val="16"/>
                    </w:rPr>
                  </w:pPr>
                  <w:r>
                    <w:rPr>
                      <w:b/>
                      <w:sz w:val="16"/>
                    </w:rPr>
                    <w:t>70 Kč</w:t>
                  </w:r>
                </w:p>
                <w:p>
                  <w:pPr>
                    <w:spacing w:before="16"/>
                    <w:ind w:left="0" w:right="0" w:firstLine="0"/>
                    <w:jc w:val="left"/>
                    <w:rPr>
                      <w:b/>
                      <w:sz w:val="16"/>
                    </w:rPr>
                  </w:pPr>
                  <w:r>
                    <w:rPr>
                      <w:b/>
                      <w:sz w:val="16"/>
                    </w:rPr>
                    <w:t>150 Kč</w:t>
                  </w:r>
                </w:p>
              </w:txbxContent>
            </v:textbox>
            <w10:wrap type="topAndBottom"/>
          </v:shape>
        </w:pict>
      </w:r>
      <w:r>
        <w:rPr/>
        <w:pict>
          <v:shape style="position:absolute;margin-left:531.59668pt;margin-top:13.352262pt;width:26.85pt;height:18pt;mso-position-horizontal-relative:page;mso-position-vertical-relative:paragraph;z-index:1120;mso-wrap-distance-left:0;mso-wrap-distance-right:0" type="#_x0000_t202" filled="false" stroked="false">
            <v:textbox inset="0,0,0,0">
              <w:txbxContent>
                <w:p>
                  <w:pPr>
                    <w:spacing w:line="157" w:lineRule="exact" w:before="0"/>
                    <w:ind w:left="88" w:right="0" w:firstLine="0"/>
                    <w:jc w:val="left"/>
                    <w:rPr>
                      <w:b/>
                      <w:sz w:val="16"/>
                    </w:rPr>
                  </w:pPr>
                  <w:r>
                    <w:rPr>
                      <w:b/>
                      <w:sz w:val="16"/>
                    </w:rPr>
                    <w:t>85 Kč</w:t>
                  </w:r>
                </w:p>
                <w:p>
                  <w:pPr>
                    <w:spacing w:before="16"/>
                    <w:ind w:left="0" w:right="0" w:firstLine="0"/>
                    <w:jc w:val="left"/>
                    <w:rPr>
                      <w:b/>
                      <w:sz w:val="16"/>
                    </w:rPr>
                  </w:pPr>
                  <w:r>
                    <w:rPr>
                      <w:b/>
                      <w:sz w:val="16"/>
                    </w:rPr>
                    <w:t>182 Kč</w:t>
                  </w:r>
                </w:p>
              </w:txbxContent>
            </v:textbox>
            <w10:wrap type="topAndBottom"/>
          </v:shape>
        </w:pict>
      </w:r>
    </w:p>
    <w:p>
      <w:pPr>
        <w:pStyle w:val="BodyText"/>
        <w:spacing w:before="9"/>
        <w:rPr>
          <w:sz w:val="10"/>
        </w:rPr>
      </w:pPr>
    </w:p>
    <w:p>
      <w:pPr>
        <w:pStyle w:val="BodyText"/>
        <w:spacing w:line="261" w:lineRule="auto" w:before="73"/>
        <w:ind w:left="220" w:right="310"/>
        <w:jc w:val="both"/>
      </w:pPr>
      <w:r>
        <w:rPr/>
        <w:t>Cena za jednu výzvu. V případě, že účastník je v prodlení déle než 10 dnů po datu splatnosti, je odeslána Poslední výzva k úhradě elektronickou poštou. V případě, že účastník nemá nebo nepředal WIA svou emailovou adresu nebo doručování na sdělenou emailovou adresu není funkční</w:t>
      </w:r>
      <w:r>
        <w:rPr>
          <w:spacing w:val="-9"/>
        </w:rPr>
        <w:t> </w:t>
      </w:r>
      <w:r>
        <w:rPr/>
        <w:t>je odeslání Poslední výzvy k úhradě provedeno poštou. </w:t>
      </w:r>
      <w:r>
        <w:rPr>
          <w:spacing w:val="-4"/>
        </w:rPr>
        <w:t>Tento </w:t>
      </w:r>
      <w:r>
        <w:rPr/>
        <w:t>úkon se provádí v automatizovaném</w:t>
      </w:r>
      <w:r>
        <w:rPr>
          <w:spacing w:val="3"/>
        </w:rPr>
        <w:t> </w:t>
      </w:r>
      <w:r>
        <w:rPr/>
        <w:t>režimu.</w:t>
      </w:r>
    </w:p>
    <w:p>
      <w:pPr>
        <w:pStyle w:val="BodyText"/>
        <w:spacing w:before="11"/>
        <w:rPr>
          <w:sz w:val="8"/>
        </w:rPr>
      </w:pPr>
      <w:r>
        <w:rPr/>
        <w:pict>
          <v:shape style="position:absolute;margin-left:39.68504pt;margin-top:6.351774pt;width:522.75pt;height:20pt;mso-position-horizontal-relative:page;mso-position-vertical-relative:paragraph;z-index:1144;mso-wrap-distance-left:0;mso-wrap-distance-right:0" type="#_x0000_t202" filled="false" stroked="false">
            <v:textbox inset="0,0,0,0">
              <w:txbxContent>
                <w:p>
                  <w:pPr>
                    <w:tabs>
                      <w:tab w:pos="8413" w:val="left" w:leader="none"/>
                      <w:tab w:pos="9704" w:val="left" w:leader="none"/>
                    </w:tabs>
                    <w:spacing w:before="113"/>
                    <w:ind w:left="106" w:right="0" w:firstLine="0"/>
                    <w:jc w:val="left"/>
                    <w:rPr>
                      <w:b/>
                      <w:sz w:val="16"/>
                    </w:rPr>
                  </w:pPr>
                  <w:r>
                    <w:rPr>
                      <w:b/>
                      <w:sz w:val="16"/>
                    </w:rPr>
                    <w:t>Opakování inkasa, upozornění na nezrealizované inkaso</w:t>
                    <w:tab/>
                    <w:t>30 Kč</w:t>
                    <w:tab/>
                    <w:t>36,30 Kč</w:t>
                  </w:r>
                </w:p>
              </w:txbxContent>
            </v:textbox>
            <w10:wrap type="topAndBottom"/>
          </v:shape>
        </w:pict>
      </w:r>
    </w:p>
    <w:p>
      <w:pPr>
        <w:pStyle w:val="BodyText"/>
        <w:spacing w:line="261" w:lineRule="auto" w:before="97"/>
        <w:ind w:left="220" w:right="369"/>
      </w:pPr>
      <w:r>
        <w:rPr/>
        <w:t>Cena za jedno nezrealizované inkaso. Nebyl-li opakovaně zrealizován příkaz k inkasu z účtu účastníka a účastník je v prodlení, bude účastníkovi odesláno upozornění na nezrealizované inkaso a proveden opakovaný pokus o inkaso dlužné částky z účtu účastníka. Tento úkon se provádí v automatizovaném režimu.</w:t>
      </w:r>
    </w:p>
    <w:p>
      <w:pPr>
        <w:pStyle w:val="BodyText"/>
        <w:spacing w:before="11"/>
        <w:rPr>
          <w:sz w:val="8"/>
        </w:rPr>
      </w:pPr>
      <w:r>
        <w:rPr/>
        <w:pict>
          <v:shape style="position:absolute;margin-left:39.68504pt;margin-top:6.352219pt;width:522.75pt;height:20pt;mso-position-horizontal-relative:page;mso-position-vertical-relative:paragraph;z-index:1168;mso-wrap-distance-left:0;mso-wrap-distance-right:0" type="#_x0000_t202" filled="false" stroked="false">
            <v:textbox inset="0,0,0,0">
              <w:txbxContent>
                <w:p>
                  <w:pPr>
                    <w:tabs>
                      <w:tab w:pos="8324" w:val="left" w:leader="none"/>
                      <w:tab w:pos="9838" w:val="left" w:leader="none"/>
                    </w:tabs>
                    <w:spacing w:before="113"/>
                    <w:ind w:left="106" w:right="0" w:firstLine="0"/>
                    <w:jc w:val="left"/>
                    <w:rPr>
                      <w:b/>
                      <w:sz w:val="16"/>
                    </w:rPr>
                  </w:pPr>
                  <w:r>
                    <w:rPr>
                      <w:b/>
                      <w:sz w:val="16"/>
                    </w:rPr>
                    <w:t>Změna účastníka ve smlouvě (účastníka nebo uživatele)</w:t>
                    <w:tab/>
                    <w:t>150 Kč</w:t>
                    <w:tab/>
                    <w:t>182 Kč</w:t>
                  </w:r>
                </w:p>
              </w:txbxContent>
            </v:textbox>
            <w10:wrap type="topAndBottom"/>
          </v:shape>
        </w:pict>
      </w:r>
    </w:p>
    <w:p>
      <w:pPr>
        <w:pStyle w:val="BodyText"/>
        <w:spacing w:before="97"/>
        <w:ind w:left="220"/>
      </w:pPr>
      <w:r>
        <w:rPr/>
        <w:t>Cena za ukončení stávající smlouvy a vytvoření nové smlouvy. Tento úkon se provádí na emailovou/písemnou žádost účastníka.</w:t>
      </w:r>
    </w:p>
    <w:p>
      <w:pPr>
        <w:pStyle w:val="BodyText"/>
        <w:spacing w:before="4"/>
        <w:rPr>
          <w:sz w:val="10"/>
        </w:rPr>
      </w:pPr>
      <w:r>
        <w:rPr/>
        <w:pict>
          <v:shape style="position:absolute;margin-left:39.68504pt;margin-top:7.156594pt;width:522.75pt;height:20pt;mso-position-horizontal-relative:page;mso-position-vertical-relative:paragraph;z-index:1192;mso-wrap-distance-left:0;mso-wrap-distance-right:0" type="#_x0000_t202" filled="false" stroked="false">
            <v:textbox inset="0,0,0,0">
              <w:txbxContent>
                <w:p>
                  <w:pPr>
                    <w:tabs>
                      <w:tab w:pos="8324" w:val="left" w:leader="none"/>
                      <w:tab w:pos="9838" w:val="left" w:leader="none"/>
                    </w:tabs>
                    <w:spacing w:before="113"/>
                    <w:ind w:left="106" w:right="0" w:firstLine="0"/>
                    <w:jc w:val="left"/>
                    <w:rPr>
                      <w:b/>
                      <w:sz w:val="16"/>
                    </w:rPr>
                  </w:pPr>
                  <w:r>
                    <w:rPr>
                      <w:b/>
                      <w:sz w:val="16"/>
                    </w:rPr>
                    <w:t>Změna ve Smlouvě o poskytování služby WIA xDSL nebo v parametrech</w:t>
                  </w:r>
                  <w:r>
                    <w:rPr>
                      <w:b/>
                      <w:spacing w:val="-9"/>
                      <w:sz w:val="16"/>
                    </w:rPr>
                    <w:t> </w:t>
                  </w:r>
                  <w:r>
                    <w:rPr>
                      <w:b/>
                      <w:sz w:val="16"/>
                    </w:rPr>
                    <w:t>předplacených služeb</w:t>
                    <w:tab/>
                    <w:t>150 Kč</w:t>
                    <w:tab/>
                    <w:t>182 Kč</w:t>
                  </w:r>
                </w:p>
              </w:txbxContent>
            </v:textbox>
            <w10:wrap type="topAndBottom"/>
          </v:shape>
        </w:pict>
      </w:r>
    </w:p>
    <w:p>
      <w:pPr>
        <w:pStyle w:val="BodyText"/>
        <w:spacing w:line="261" w:lineRule="auto" w:before="97"/>
        <w:ind w:left="220" w:right="236"/>
      </w:pPr>
      <w:r>
        <w:rPr/>
        <w:t>Cena za provedení změny Smlouvy o poskytování služby WIA ADSL na žádost účastníka (přemístění, změna tarifu apod.). Žádost musí být podána písemně nebo emailem a musí obsahovat všechny náležitosti dle podmínek poskytování služby. U předplacených služeb je cena stržena z kreditu účastníka, nemá-li účastník dostatečný kredit, bude změna provedena až po jeho dobití.</w:t>
      </w:r>
    </w:p>
    <w:p>
      <w:pPr>
        <w:pStyle w:val="BodyText"/>
        <w:spacing w:before="11"/>
        <w:rPr>
          <w:sz w:val="8"/>
        </w:rPr>
      </w:pPr>
      <w:r>
        <w:rPr/>
        <w:pict>
          <v:shape style="position:absolute;margin-left:39.68504pt;margin-top:6.352219pt;width:522.75pt;height:20pt;mso-position-horizontal-relative:page;mso-position-vertical-relative:paragraph;z-index:1216;mso-wrap-distance-left:0;mso-wrap-distance-right:0" type="#_x0000_t202" filled="false" stroked="false">
            <v:textbox inset="0,0,0,0">
              <w:txbxContent>
                <w:p>
                  <w:pPr>
                    <w:tabs>
                      <w:tab w:pos="8413" w:val="left" w:leader="none"/>
                      <w:tab w:pos="9838" w:val="left" w:leader="none"/>
                    </w:tabs>
                    <w:spacing w:before="113"/>
                    <w:ind w:left="106" w:right="0" w:firstLine="0"/>
                    <w:jc w:val="left"/>
                    <w:rPr>
                      <w:b/>
                      <w:sz w:val="16"/>
                    </w:rPr>
                  </w:pPr>
                  <w:r>
                    <w:rPr>
                      <w:b/>
                      <w:sz w:val="16"/>
                    </w:rPr>
                    <w:t>Obnovení poskytování služeb po omezení/pozastavení z důvodu neplacení</w:t>
                    <w:tab/>
                    <w:t>83 Kč</w:t>
                    <w:tab/>
                    <w:t>100 Kč</w:t>
                  </w:r>
                </w:p>
              </w:txbxContent>
            </v:textbox>
            <w10:wrap type="topAndBottom"/>
          </v:shape>
        </w:pict>
      </w:r>
    </w:p>
    <w:p>
      <w:pPr>
        <w:pStyle w:val="BodyText"/>
        <w:spacing w:line="261" w:lineRule="auto" w:before="97"/>
        <w:ind w:left="220" w:right="435"/>
      </w:pPr>
      <w:r>
        <w:rPr/>
        <w:t>Cena za každé jednotlivé obnovení poskytování služeb po omezení nebo dočasném pozastavení poskytování služeb z důvodu neplacení nebo opožděného placení. Tato položka se nevztahuje na předplacené služby WIA, které jsou aktivovány/pozastavovány na základě provedených plateb účastníků.</w:t>
      </w:r>
    </w:p>
    <w:p>
      <w:pPr>
        <w:pStyle w:val="BodyText"/>
        <w:spacing w:before="11"/>
        <w:rPr>
          <w:sz w:val="8"/>
        </w:rPr>
      </w:pPr>
      <w:r>
        <w:rPr/>
        <w:pict>
          <v:shape style="position:absolute;margin-left:39.68504pt;margin-top:6.352219pt;width:522.75pt;height:20pt;mso-position-horizontal-relative:page;mso-position-vertical-relative:paragraph;z-index:1240;mso-wrap-distance-left:0;mso-wrap-distance-right:0" type="#_x0000_t202" filled="false" stroked="false">
            <v:textbox inset="0,0,0,0">
              <w:txbxContent>
                <w:p>
                  <w:pPr>
                    <w:tabs>
                      <w:tab w:pos="8235" w:val="left" w:leader="none"/>
                      <w:tab w:pos="9749" w:val="left" w:leader="none"/>
                    </w:tabs>
                    <w:spacing w:before="113"/>
                    <w:ind w:left="106" w:right="0" w:firstLine="0"/>
                    <w:jc w:val="left"/>
                    <w:rPr>
                      <w:b/>
                      <w:sz w:val="16"/>
                    </w:rPr>
                  </w:pPr>
                  <w:r>
                    <w:rPr>
                      <w:b/>
                      <w:sz w:val="16"/>
                    </w:rPr>
                    <w:t>Poplatek za úkony spojené s vyřazením ze spamových databází</w:t>
                    <w:tab/>
                    <w:t>1000 Kč</w:t>
                    <w:tab/>
                    <w:t>1210 Kč</w:t>
                  </w:r>
                </w:p>
              </w:txbxContent>
            </v:textbox>
            <w10:wrap type="topAndBottom"/>
          </v:shape>
        </w:pict>
      </w:r>
    </w:p>
    <w:p>
      <w:pPr>
        <w:pStyle w:val="BodyText"/>
        <w:spacing w:line="261" w:lineRule="auto" w:before="97"/>
        <w:ind w:left="220" w:right="269"/>
      </w:pPr>
      <w:r>
        <w:rPr/>
        <w:t>Cena za každý jednotlivý incident zařazení serveru účastníka do databáze serverů rozesílajících nevyžádanou poštu nebo jiné obtěžování ostatních uživatelů. K tomuto poplatku mohou být účastníkovi přeúčtovány také náklady, které poskytovatel uhradil třetí straně jako poplatek za vyřazení z databáze.</w:t>
      </w:r>
    </w:p>
    <w:p>
      <w:pPr>
        <w:pStyle w:val="BodyText"/>
        <w:spacing w:before="11"/>
        <w:rPr>
          <w:sz w:val="8"/>
        </w:rPr>
      </w:pPr>
      <w:r>
        <w:rPr/>
        <w:pict>
          <v:shape style="position:absolute;margin-left:39.68504pt;margin-top:6.352219pt;width:522.75pt;height:20pt;mso-position-horizontal-relative:page;mso-position-vertical-relative:paragraph;z-index:1264;mso-wrap-distance-left:0;mso-wrap-distance-right:0" type="#_x0000_t202" filled="false" stroked="false">
            <v:textbox inset="0,0,0,0">
              <w:txbxContent>
                <w:p>
                  <w:pPr>
                    <w:tabs>
                      <w:tab w:pos="8413" w:val="left" w:leader="none"/>
                      <w:tab w:pos="9927" w:val="left" w:leader="none"/>
                    </w:tabs>
                    <w:spacing w:before="113"/>
                    <w:ind w:left="106" w:right="0" w:firstLine="0"/>
                    <w:jc w:val="left"/>
                    <w:rPr>
                      <w:b/>
                      <w:sz w:val="16"/>
                    </w:rPr>
                  </w:pPr>
                  <w:r>
                    <w:rPr>
                      <w:b/>
                      <w:sz w:val="16"/>
                    </w:rPr>
                    <w:t>Poplatek za vrácení zbývajícího zůstatku předplatného na hovorném po přenesení tel. čísla</w:t>
                    <w:tab/>
                    <w:t>80 Kč</w:t>
                    <w:tab/>
                    <w:t>97 Kč</w:t>
                  </w:r>
                </w:p>
              </w:txbxContent>
            </v:textbox>
            <w10:wrap type="topAndBottom"/>
          </v:shape>
        </w:pict>
      </w:r>
    </w:p>
    <w:p>
      <w:pPr>
        <w:pStyle w:val="BodyText"/>
        <w:spacing w:before="97"/>
        <w:ind w:left="220"/>
      </w:pPr>
      <w:r>
        <w:rPr/>
        <w:t>U předplacených služeb je o poplatek za vrácení nevyčerpaného předplatného na hovorném (kreditu) po přenesení tel. čísla ponížena vracená</w:t>
      </w:r>
    </w:p>
    <w:p>
      <w:pPr>
        <w:pStyle w:val="BodyText"/>
        <w:spacing w:before="15"/>
        <w:ind w:left="220"/>
      </w:pPr>
      <w:r>
        <w:rPr/>
        <w:t>částka. Je-li zůstatek předplatného nižší než výše poplatku za vrácení, předplatné se nevrací. Bonusový kredit se nevrací.</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tabs>
          <w:tab w:pos="7488" w:val="left" w:leader="none"/>
          <w:tab w:pos="9757" w:val="left" w:leader="none"/>
        </w:tabs>
        <w:spacing w:before="103"/>
        <w:ind w:left="400"/>
      </w:pPr>
      <w:r>
        <w:rPr>
          <w:color w:val="444444"/>
        </w:rPr>
        <w:t>Ceník administrativních poplatků WIA platný </w:t>
      </w:r>
      <w:r>
        <w:rPr>
          <w:color w:val="444444"/>
          <w:spacing w:val="25"/>
        </w:rPr>
        <w:t> </w:t>
      </w:r>
      <w:r>
        <w:rPr>
          <w:color w:val="444444"/>
        </w:rPr>
        <w:t>od</w:t>
      </w:r>
      <w:r>
        <w:rPr>
          <w:color w:val="444444"/>
          <w:spacing w:val="15"/>
        </w:rPr>
        <w:t> </w:t>
      </w:r>
      <w:r>
        <w:rPr>
          <w:color w:val="444444"/>
        </w:rPr>
        <w:t>1.4.2020</w:t>
        <w:tab/>
        <w:t>verze</w:t>
      </w:r>
      <w:r>
        <w:rPr>
          <w:color w:val="444444"/>
          <w:spacing w:val="11"/>
        </w:rPr>
        <w:t> </w:t>
      </w:r>
      <w:r>
        <w:rPr>
          <w:color w:val="444444"/>
        </w:rPr>
        <w:t>200401</w:t>
        <w:tab/>
        <w:t>Strana 1 z</w:t>
      </w:r>
      <w:r>
        <w:rPr>
          <w:color w:val="444444"/>
          <w:spacing w:val="23"/>
        </w:rPr>
        <w:t> </w:t>
      </w:r>
      <w:r>
        <w:rPr>
          <w:color w:val="444444"/>
        </w:rPr>
        <w:t>1</w:t>
      </w:r>
    </w:p>
    <w:sectPr>
      <w:type w:val="continuous"/>
      <w:pgSz w:w="11900" w:h="16840"/>
      <w:pgMar w:top="600" w:bottom="280" w:left="68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6"/>
      <w:szCs w:val="16"/>
    </w:rPr>
  </w:style>
  <w:style w:styleId="Heading1" w:type="paragraph">
    <w:name w:val="Heading 1"/>
    <w:basedOn w:val="Normal"/>
    <w:uiPriority w:val="1"/>
    <w:qFormat/>
    <w:pPr>
      <w:spacing w:before="113"/>
      <w:ind w:left="106"/>
      <w:outlineLvl w:val="1"/>
    </w:pPr>
    <w:rPr>
      <w:rFonts w:ascii="Arial" w:hAnsi="Arial" w:eastAsia="Arial" w:cs="Arial"/>
      <w:b/>
      <w:bCs/>
      <w:sz w:val="16"/>
      <w:szCs w:val="1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WIA_Cenik_admin_popl_v200401</dc:title>
  <dcterms:created xsi:type="dcterms:W3CDTF">2023-06-26T09:11:09Z</dcterms:created>
  <dcterms:modified xsi:type="dcterms:W3CDTF">2023-06-26T09:11:09Z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Pages</vt:lpwstr>
  </property>
  <property fmtid="{D5CDD505-2E9C-101B-9397-08002B2CF9AE}" pid="4" name="LastSaved">
    <vt:filetime>2023-06-26T00:00:00Z</vt:filetime>
  </property>
</Properties>
</file>