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03" w:rsidRDefault="003B02E8">
      <w:pPr>
        <w:pStyle w:val="Zkladntext1"/>
        <w:framePr w:w="8111" w:h="814" w:wrap="none" w:hAnchor="page" w:x="935" w:y="1"/>
        <w:shd w:val="clear" w:color="auto" w:fill="auto"/>
        <w:tabs>
          <w:tab w:val="left" w:pos="3236"/>
          <w:tab w:val="left" w:pos="5692"/>
        </w:tabs>
        <w:spacing w:line="269" w:lineRule="auto"/>
        <w:ind w:left="180" w:hanging="180"/>
      </w:pPr>
      <w:r>
        <w:rPr>
          <w:i/>
          <w:iCs/>
        </w:rPr>
        <w:t xml:space="preserve">Krajská </w:t>
      </w:r>
      <w:proofErr w:type="spellStart"/>
      <w:r>
        <w:rPr>
          <w:i/>
          <w:iCs/>
        </w:rPr>
        <w:t>SDťáva</w:t>
      </w:r>
      <w:proofErr w:type="spellEnd"/>
      <w:r>
        <w:rPr>
          <w:i/>
          <w:iCs/>
        </w:rPr>
        <w:t xml:space="preserve"> a Údržba</w:t>
      </w:r>
      <w:r>
        <w:t xml:space="preserve"> krajská správa a údržba silníc Vysočiny, příspěvková </w:t>
      </w:r>
      <w:proofErr w:type="gramStart"/>
      <w:r>
        <w:t xml:space="preserve">organizace ... </w:t>
      </w:r>
      <w:r>
        <w:rPr>
          <w:vertAlign w:val="subscript"/>
        </w:rPr>
        <w:t>s</w:t>
      </w:r>
      <w:r>
        <w:t xml:space="preserve">, </w:t>
      </w:r>
      <w:r>
        <w:rPr>
          <w:vertAlign w:val="subscript"/>
        </w:rPr>
        <w:t>v</w:t>
      </w:r>
      <w:r>
        <w:t>,</w:t>
      </w:r>
      <w:r>
        <w:tab/>
        <w:t>Husovská</w:t>
      </w:r>
      <w:proofErr w:type="gramEnd"/>
      <w:r>
        <w:tab/>
        <w:t>16</w:t>
      </w:r>
    </w:p>
    <w:p w:rsidR="00EE5503" w:rsidRDefault="003B02E8">
      <w:pPr>
        <w:pStyle w:val="Zkladntext1"/>
        <w:framePr w:w="8111" w:h="814" w:wrap="none" w:hAnchor="page" w:x="935" w:y="1"/>
        <w:shd w:val="clear" w:color="auto" w:fill="auto"/>
        <w:spacing w:line="269" w:lineRule="auto"/>
      </w:pPr>
      <w:r>
        <w:rPr>
          <w:i/>
          <w:iCs/>
        </w:rPr>
        <w:t xml:space="preserve">silnic </w:t>
      </w:r>
      <w:proofErr w:type="spellStart"/>
      <w:r>
        <w:rPr>
          <w:i/>
          <w:iCs/>
        </w:rPr>
        <w:t>Vysočiny</w:t>
      </w:r>
      <w:r>
        <w:t>aaeoi</w:t>
      </w:r>
      <w:proofErr w:type="spellEnd"/>
    </w:p>
    <w:p w:rsidR="00EE5503" w:rsidRDefault="003B02E8">
      <w:pPr>
        <w:pStyle w:val="Zkladntext20"/>
        <w:framePr w:w="8111" w:h="814" w:wrap="none" w:hAnchor="page" w:x="935" w:y="1"/>
        <w:shd w:val="clear" w:color="auto" w:fill="auto"/>
        <w:spacing w:after="0" w:line="240" w:lineRule="auto"/>
        <w:ind w:left="0" w:firstLine="0"/>
        <w:rPr>
          <w:sz w:val="13"/>
          <w:szCs w:val="13"/>
        </w:rPr>
      </w:pPr>
      <w:r>
        <w:rPr>
          <w:i/>
          <w:iCs/>
          <w:sz w:val="13"/>
          <w:szCs w:val="13"/>
        </w:rPr>
        <w:t xml:space="preserve">p </w:t>
      </w:r>
      <w:proofErr w:type="spellStart"/>
      <w:r>
        <w:rPr>
          <w:i/>
          <w:iCs/>
          <w:sz w:val="13"/>
          <w:szCs w:val="13"/>
        </w:rPr>
        <w:t>ríxp</w:t>
      </w:r>
      <w:proofErr w:type="spellEnd"/>
      <w:r>
        <w:rPr>
          <w:i/>
          <w:iCs/>
          <w:sz w:val="13"/>
          <w:szCs w:val="13"/>
        </w:rPr>
        <w:t xml:space="preserve"> </w:t>
      </w:r>
      <w:proofErr w:type="spellStart"/>
      <w:r>
        <w:rPr>
          <w:i/>
          <w:iCs/>
          <w:sz w:val="13"/>
          <w:szCs w:val="13"/>
        </w:rPr>
        <w:t>ěvlwvii</w:t>
      </w:r>
      <w:proofErr w:type="spellEnd"/>
      <w:r>
        <w:rPr>
          <w:i/>
          <w:iCs/>
          <w:sz w:val="13"/>
          <w:szCs w:val="13"/>
        </w:rPr>
        <w:t xml:space="preserve"> o </w:t>
      </w:r>
      <w:proofErr w:type="spellStart"/>
      <w:r>
        <w:rPr>
          <w:i/>
          <w:iCs/>
          <w:sz w:val="13"/>
          <w:szCs w:val="13"/>
        </w:rPr>
        <w:t>rg</w:t>
      </w:r>
      <w:proofErr w:type="spellEnd"/>
      <w:r>
        <w:t xml:space="preserve"> a </w:t>
      </w:r>
      <w:r>
        <w:rPr>
          <w:i/>
          <w:iCs/>
          <w:sz w:val="13"/>
          <w:szCs w:val="13"/>
        </w:rPr>
        <w:t>n i za ca</w:t>
      </w:r>
    </w:p>
    <w:p w:rsidR="00EE5503" w:rsidRDefault="003B02E8">
      <w:pPr>
        <w:pStyle w:val="Zkladntext1"/>
        <w:framePr w:w="785" w:h="227" w:wrap="none" w:hAnchor="page" w:x="4585" w:y="735"/>
        <w:shd w:val="clear" w:color="auto" w:fill="auto"/>
        <w:spacing w:line="240" w:lineRule="auto"/>
      </w:pPr>
      <w:r>
        <w:t>00090450</w:t>
      </w:r>
    </w:p>
    <w:p w:rsidR="00EE5503" w:rsidRDefault="003B02E8">
      <w:pPr>
        <w:pStyle w:val="Zkladntext1"/>
        <w:framePr w:w="1012" w:h="227" w:wrap="none" w:hAnchor="page" w:x="6968" w:y="732"/>
        <w:shd w:val="clear" w:color="auto" w:fill="auto"/>
        <w:spacing w:line="240" w:lineRule="auto"/>
      </w:pPr>
      <w:r>
        <w:t>CZ00090450</w:t>
      </w:r>
    </w:p>
    <w:p w:rsidR="00EE5503" w:rsidRDefault="003B02E8">
      <w:pPr>
        <w:pStyle w:val="Nadpis10"/>
        <w:keepNext/>
        <w:keepLines/>
        <w:framePr w:w="2794" w:h="281" w:wrap="none" w:hAnchor="page" w:x="1000" w:y="1092"/>
        <w:shd w:val="clear" w:color="auto" w:fill="auto"/>
      </w:pPr>
      <w:bookmarkStart w:id="0" w:name="bookmark0"/>
      <w:bookmarkStart w:id="1" w:name="bookmark1"/>
      <w:r>
        <w:t>Číslo objednávky: 73930057</w:t>
      </w:r>
      <w:bookmarkEnd w:id="0"/>
      <w:bookmarkEnd w:id="1"/>
    </w:p>
    <w:p w:rsidR="00EE5503" w:rsidRDefault="003B02E8">
      <w:pPr>
        <w:pStyle w:val="Zkladntext1"/>
        <w:framePr w:w="1501" w:h="227" w:wrap="none" w:hAnchor="page" w:x="4999" w:y="1077"/>
        <w:shd w:val="clear" w:color="auto" w:fill="auto"/>
        <w:spacing w:line="240" w:lineRule="auto"/>
      </w:pPr>
      <w:r>
        <w:t xml:space="preserve">Ze dne: </w:t>
      </w:r>
      <w:r>
        <w:rPr>
          <w:lang w:val="en-US" w:eastAsia="en-US" w:bidi="en-US"/>
        </w:rPr>
        <w:t>16.06.2iP3</w:t>
      </w:r>
    </w:p>
    <w:p w:rsidR="00EE5503" w:rsidRDefault="00EE5503">
      <w:pPr>
        <w:spacing w:line="360" w:lineRule="exact"/>
      </w:pPr>
    </w:p>
    <w:p w:rsidR="00EE5503" w:rsidRDefault="00EE5503">
      <w:pPr>
        <w:spacing w:line="360" w:lineRule="exact"/>
      </w:pPr>
    </w:p>
    <w:p w:rsidR="00EE5503" w:rsidRDefault="00EE5503">
      <w:pPr>
        <w:spacing w:after="651" w:line="1" w:lineRule="exact"/>
      </w:pPr>
    </w:p>
    <w:p w:rsidR="00EE5503" w:rsidRDefault="00EE5503">
      <w:pPr>
        <w:spacing w:line="1" w:lineRule="exact"/>
        <w:sectPr w:rsidR="00EE5503">
          <w:pgSz w:w="11900" w:h="16840"/>
          <w:pgMar w:top="2111" w:right="2013" w:bottom="2389" w:left="934" w:header="1683" w:footer="1961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879"/>
      </w:tblGrid>
      <w:tr w:rsidR="00EE5503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r>
              <w:lastRenderedPageBreak/>
              <w:t>Druh dokladu</w:t>
            </w:r>
          </w:p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after="40" w:line="240" w:lineRule="auto"/>
            </w:pPr>
            <w:r>
              <w:t>739</w:t>
            </w:r>
          </w:p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r>
              <w:t>73930057</w:t>
            </w:r>
          </w:p>
        </w:tc>
      </w:tr>
      <w:tr w:rsidR="00EE550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Hok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r>
              <w:t>2023</w:t>
            </w:r>
          </w:p>
        </w:tc>
      </w:tr>
      <w:tr w:rsidR="00EE550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r>
              <w:t xml:space="preserve">Dodací </w:t>
            </w:r>
            <w:proofErr w:type="spellStart"/>
            <w:r>
              <w:t>Ihútn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03" w:rsidRDefault="00EE5503">
            <w:pPr>
              <w:rPr>
                <w:sz w:val="10"/>
                <w:szCs w:val="10"/>
              </w:rPr>
            </w:pPr>
          </w:p>
        </w:tc>
      </w:tr>
      <w:tr w:rsidR="00EE550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03" w:rsidRDefault="00EE5503">
            <w:pPr>
              <w:rPr>
                <w:sz w:val="10"/>
                <w:szCs w:val="10"/>
              </w:rPr>
            </w:pPr>
          </w:p>
        </w:tc>
      </w:tr>
      <w:tr w:rsidR="00EE550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r>
              <w:t>Místo určeni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03" w:rsidRDefault="00EE5503">
            <w:pPr>
              <w:rPr>
                <w:sz w:val="10"/>
                <w:szCs w:val="10"/>
              </w:rPr>
            </w:pPr>
          </w:p>
        </w:tc>
      </w:tr>
      <w:tr w:rsidR="00EE550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</w:tr>
    </w:tbl>
    <w:p w:rsidR="00EE5503" w:rsidRDefault="003B02E8">
      <w:pPr>
        <w:spacing w:line="1" w:lineRule="exact"/>
        <w:rPr>
          <w:sz w:val="2"/>
          <w:szCs w:val="2"/>
        </w:rPr>
      </w:pPr>
      <w:r>
        <w:br w:type="column"/>
      </w:r>
    </w:p>
    <w:p w:rsidR="00EE5503" w:rsidRDefault="003B02E8">
      <w:pPr>
        <w:pStyle w:val="Zkladntext1"/>
        <w:shd w:val="clear" w:color="auto" w:fill="auto"/>
        <w:tabs>
          <w:tab w:val="left" w:pos="3028"/>
        </w:tabs>
        <w:spacing w:after="80" w:line="240" w:lineRule="auto"/>
      </w:pPr>
      <w:r>
        <w:t>Odběratel:</w:t>
      </w:r>
      <w:r>
        <w:tab/>
        <w:t>_</w:t>
      </w:r>
    </w:p>
    <w:p w:rsidR="00EE5503" w:rsidRDefault="003B02E8">
      <w:pPr>
        <w:pStyle w:val="Zkladntext1"/>
        <w:shd w:val="clear" w:color="auto" w:fill="auto"/>
        <w:spacing w:line="240" w:lineRule="auto"/>
        <w:ind w:firstLine="160"/>
      </w:pPr>
      <w:r>
        <w:t>Město Humpolec</w:t>
      </w:r>
    </w:p>
    <w:p w:rsidR="00EE5503" w:rsidRDefault="003B02E8">
      <w:pPr>
        <w:pStyle w:val="Zkladntext1"/>
        <w:shd w:val="clear" w:color="auto" w:fill="auto"/>
        <w:spacing w:line="240" w:lineRule="auto"/>
        <w:ind w:firstLine="160"/>
      </w:pPr>
      <w:r>
        <w:t>Horní náměstí 300</w:t>
      </w:r>
    </w:p>
    <w:p w:rsidR="00EE5503" w:rsidRDefault="003B02E8">
      <w:pPr>
        <w:pStyle w:val="Zkladntext1"/>
        <w:shd w:val="clear" w:color="auto" w:fill="auto"/>
        <w:spacing w:after="80" w:line="240" w:lineRule="auto"/>
        <w:ind w:firstLine="160"/>
      </w:pPr>
      <w:r>
        <w:t>396 22 Humpolec</w:t>
      </w:r>
    </w:p>
    <w:p w:rsidR="00EE5503" w:rsidRDefault="003B02E8">
      <w:pPr>
        <w:pStyle w:val="Zkladntext1"/>
        <w:shd w:val="clear" w:color="auto" w:fill="auto"/>
        <w:tabs>
          <w:tab w:val="left" w:pos="2015"/>
        </w:tabs>
        <w:spacing w:line="240" w:lineRule="auto"/>
        <w:ind w:firstLine="240"/>
        <w:sectPr w:rsidR="00EE5503">
          <w:type w:val="continuous"/>
          <w:pgSz w:w="11900" w:h="16840"/>
          <w:pgMar w:top="2111" w:right="3496" w:bottom="2389" w:left="991" w:header="0" w:footer="3" w:gutter="0"/>
          <w:cols w:num="2" w:space="594"/>
          <w:noEndnote/>
          <w:docGrid w:linePitch="360"/>
        </w:sectPr>
      </w:pPr>
      <w:r>
        <w:t>IČO: 00248266</w:t>
      </w:r>
      <w:r>
        <w:tab/>
        <w:t xml:space="preserve">DIČ' </w:t>
      </w:r>
      <w:r>
        <w:t>CZ0024B266</w:t>
      </w:r>
    </w:p>
    <w:p w:rsidR="00EE5503" w:rsidRDefault="00EE5503">
      <w:pPr>
        <w:spacing w:line="80" w:lineRule="exact"/>
        <w:rPr>
          <w:sz w:val="6"/>
          <w:szCs w:val="6"/>
        </w:rPr>
      </w:pPr>
    </w:p>
    <w:p w:rsidR="00EE5503" w:rsidRDefault="00EE5503">
      <w:pPr>
        <w:spacing w:line="1" w:lineRule="exact"/>
        <w:sectPr w:rsidR="00EE5503">
          <w:type w:val="continuous"/>
          <w:pgSz w:w="11900" w:h="16840"/>
          <w:pgMar w:top="2090" w:right="0" w:bottom="2400" w:left="0" w:header="0" w:footer="3" w:gutter="0"/>
          <w:cols w:space="720"/>
          <w:noEndnote/>
          <w:docGrid w:linePitch="360"/>
        </w:sectPr>
      </w:pPr>
    </w:p>
    <w:p w:rsidR="00EE5503" w:rsidRDefault="003B02E8">
      <w:pPr>
        <w:pStyle w:val="Zkladntext1"/>
        <w:shd w:val="clear" w:color="auto" w:fill="auto"/>
        <w:tabs>
          <w:tab w:val="left" w:pos="3625"/>
        </w:tabs>
        <w:jc w:val="both"/>
      </w:pPr>
      <w:r>
        <w:lastRenderedPageBreak/>
        <w:t>Dodací adresa;</w:t>
      </w:r>
      <w:r>
        <w:tab/>
        <w:t>Korespondenční adresa' KSUSV Pelhřimov</w:t>
      </w:r>
    </w:p>
    <w:p w:rsidR="00EE5503" w:rsidRDefault="003B02E8">
      <w:pPr>
        <w:pStyle w:val="Zkladntext1"/>
        <w:shd w:val="clear" w:color="auto" w:fill="auto"/>
        <w:tabs>
          <w:tab w:val="left" w:pos="5635"/>
        </w:tabs>
        <w:ind w:firstLine="200"/>
        <w:jc w:val="both"/>
      </w:pPr>
      <w:r>
        <w:t>Město Humpolec</w:t>
      </w:r>
      <w:r>
        <w:tab/>
      </w:r>
      <w:proofErr w:type="spellStart"/>
      <w:r>
        <w:t>Myslodnská</w:t>
      </w:r>
      <w:proofErr w:type="spellEnd"/>
      <w:r>
        <w:t xml:space="preserve"> 1887</w:t>
      </w:r>
    </w:p>
    <w:p w:rsidR="00EE5503" w:rsidRDefault="003B02E8">
      <w:pPr>
        <w:pStyle w:val="Zkladntext1"/>
        <w:shd w:val="clear" w:color="auto" w:fill="auto"/>
        <w:tabs>
          <w:tab w:val="left" w:pos="5635"/>
        </w:tabs>
        <w:ind w:firstLine="200"/>
        <w:jc w:val="both"/>
      </w:pPr>
      <w:r>
        <w:t>I torní náměstí 300</w:t>
      </w:r>
      <w:r>
        <w:tab/>
        <w:t>Pelhřimov</w:t>
      </w:r>
    </w:p>
    <w:p w:rsidR="00EE5503" w:rsidRDefault="003B02E8">
      <w:pPr>
        <w:pStyle w:val="Zkladntext1"/>
        <w:shd w:val="clear" w:color="auto" w:fill="auto"/>
        <w:tabs>
          <w:tab w:val="left" w:pos="5635"/>
        </w:tabs>
        <w:spacing w:after="160"/>
        <w:ind w:firstLine="200"/>
        <w:jc w:val="both"/>
      </w:pPr>
      <w:r>
        <w:t>396 22 Humpolec</w:t>
      </w:r>
      <w:r>
        <w:tab/>
        <w:t>393 01</w:t>
      </w:r>
    </w:p>
    <w:p w:rsidR="00EE5503" w:rsidRDefault="003B02E8">
      <w:pPr>
        <w:pStyle w:val="Zkladntext1"/>
        <w:shd w:val="clear" w:color="auto" w:fill="auto"/>
      </w:pPr>
      <w:r>
        <w:t>S</w:t>
      </w:r>
      <w:r>
        <w:rPr>
          <w:u w:val="single"/>
        </w:rPr>
        <w:t>m</w:t>
      </w:r>
      <w:r>
        <w:t>l</w:t>
      </w:r>
      <w:r>
        <w:rPr>
          <w:u w:val="single"/>
        </w:rPr>
        <w:t>uvní podmínky objednávky</w:t>
      </w:r>
    </w:p>
    <w:p w:rsidR="00EE5503" w:rsidRDefault="003B02E8">
      <w:pPr>
        <w:pStyle w:val="Zkladntext1"/>
        <w:shd w:val="clear" w:color="auto" w:fill="auto"/>
        <w:ind w:left="680" w:hanging="280"/>
        <w:jc w:val="both"/>
      </w:pPr>
      <w:proofErr w:type="spellStart"/>
      <w:r>
        <w:t>iji</w:t>
      </w:r>
      <w:proofErr w:type="spellEnd"/>
      <w:r>
        <w:t xml:space="preserve"> Smluvní strany prohlašují, že skutečnosti uvedené</w:t>
      </w:r>
      <w:r>
        <w:t xml:space="preserve"> vlčic objednávce nepovažuji za obchodní tajemství a udělují svoleni k jejich zpřístupnění ve smyslu </w:t>
      </w:r>
      <w:proofErr w:type="spellStart"/>
      <w:r>
        <w:t>zák</w:t>
      </w:r>
      <w:proofErr w:type="spellEnd"/>
      <w:r>
        <w:t xml:space="preserve"> ó. 106/1999 </w:t>
      </w:r>
      <w:proofErr w:type="spellStart"/>
      <w:r>
        <w:t>Sb</w:t>
      </w:r>
      <w:proofErr w:type="spellEnd"/>
      <w:r>
        <w:t xml:space="preserve">, a zveřejnění bez </w:t>
      </w:r>
      <w:proofErr w:type="gramStart"/>
      <w:r>
        <w:t>stanoveni</w:t>
      </w:r>
      <w:proofErr w:type="gramEnd"/>
      <w:r>
        <w:t xml:space="preserve"> jakýchkoliv dalších podmínek.</w:t>
      </w:r>
    </w:p>
    <w:p w:rsidR="00EE5503" w:rsidRDefault="003B02E8">
      <w:pPr>
        <w:pStyle w:val="Zkladntext1"/>
        <w:numPr>
          <w:ilvl w:val="0"/>
          <w:numId w:val="1"/>
        </w:numPr>
        <w:shd w:val="clear" w:color="auto" w:fill="auto"/>
        <w:tabs>
          <w:tab w:val="left" w:pos="705"/>
        </w:tabs>
        <w:ind w:left="680" w:hanging="280"/>
        <w:jc w:val="both"/>
      </w:pPr>
      <w:proofErr w:type="gramStart"/>
      <w:r>
        <w:t>Je</w:t>
      </w:r>
      <w:proofErr w:type="gramEnd"/>
      <w:r>
        <w:t xml:space="preserve">-li hodnota </w:t>
      </w:r>
      <w:proofErr w:type="gramStart"/>
      <w:r>
        <w:t>plněni</w:t>
      </w:r>
      <w:proofErr w:type="gramEnd"/>
      <w:r>
        <w:t xml:space="preserve"> vyšší jak 50.000,- Kč bez DPH, bere odběratel na vědomí, </w:t>
      </w:r>
      <w:r>
        <w:t xml:space="preserve">že objednávka bude zveřejněna v informačním registru veřejné správy v souladu se </w:t>
      </w:r>
      <w:proofErr w:type="spellStart"/>
      <w:r>
        <w:t>zák</w:t>
      </w:r>
      <w:proofErr w:type="spellEnd"/>
      <w:r>
        <w:t xml:space="preserve"> č 340/2015 </w:t>
      </w:r>
      <w:proofErr w:type="spellStart"/>
      <w:r>
        <w:t>Sb</w:t>
      </w:r>
      <w:proofErr w:type="spellEnd"/>
      <w:r>
        <w:t xml:space="preserve"> o registru smluv Současné se smluvní strany dohodly, že tuto zákonnou povinnost </w:t>
      </w:r>
      <w:proofErr w:type="spellStart"/>
      <w:r>
        <w:t>splni</w:t>
      </w:r>
      <w:proofErr w:type="spellEnd"/>
      <w:r>
        <w:t xml:space="preserve"> dodavatel. Objednatel výslovné souhlasí se zveřejněním celého jejího te</w:t>
      </w:r>
      <w:r>
        <w:t xml:space="preserve">xtu, včetně podpisu osoby jednající </w:t>
      </w:r>
      <w:proofErr w:type="spellStart"/>
      <w:r>
        <w:t>jalm</w:t>
      </w:r>
      <w:proofErr w:type="spellEnd"/>
      <w:r>
        <w:t xml:space="preserve"> statutární orgán</w:t>
      </w:r>
    </w:p>
    <w:p w:rsidR="00EE5503" w:rsidRDefault="003B02E8">
      <w:pPr>
        <w:pStyle w:val="Zkladntext1"/>
        <w:numPr>
          <w:ilvl w:val="0"/>
          <w:numId w:val="1"/>
        </w:numPr>
        <w:shd w:val="clear" w:color="auto" w:fill="auto"/>
        <w:tabs>
          <w:tab w:val="left" w:pos="705"/>
        </w:tabs>
        <w:ind w:firstLine="400"/>
        <w:jc w:val="both"/>
      </w:pPr>
      <w:r>
        <w:t xml:space="preserve">Smluvní vztah se </w:t>
      </w:r>
      <w:proofErr w:type="spellStart"/>
      <w:r>
        <w:t>řidl</w:t>
      </w:r>
      <w:proofErr w:type="spellEnd"/>
      <w:r>
        <w:t xml:space="preserve"> zák. č 69/2012 </w:t>
      </w:r>
      <w:proofErr w:type="spellStart"/>
      <w:r>
        <w:t>Sb</w:t>
      </w:r>
      <w:proofErr w:type="spellEnd"/>
      <w:r>
        <w:t xml:space="preserve"> občanský zákoník</w:t>
      </w:r>
    </w:p>
    <w:p w:rsidR="00EE5503" w:rsidRDefault="003B02E8">
      <w:pPr>
        <w:pStyle w:val="Zkladntext1"/>
        <w:shd w:val="clear" w:color="auto" w:fill="auto"/>
        <w:ind w:left="680" w:hanging="280"/>
        <w:jc w:val="both"/>
      </w:pPr>
      <w:proofErr w:type="gramStart"/>
      <w:r>
        <w:t>■;j Objednatel</w:t>
      </w:r>
      <w:proofErr w:type="gramEnd"/>
      <w:r>
        <w:t xml:space="preserve"> se zavazuje, že v případě prodlení se zaplacením taktu ty zaplatí dodavateli smluvní pokutu ve výši 0,02% z celkové ceny dodáv</w:t>
      </w:r>
      <w:r>
        <w:t>ky bez DPH za každý započatý den prodleni</w:t>
      </w:r>
    </w:p>
    <w:p w:rsidR="00EE5503" w:rsidRDefault="003B02E8">
      <w:pPr>
        <w:pStyle w:val="Zkladntext1"/>
        <w:numPr>
          <w:ilvl w:val="0"/>
          <w:numId w:val="2"/>
        </w:numPr>
        <w:shd w:val="clear" w:color="auto" w:fill="auto"/>
        <w:tabs>
          <w:tab w:val="left" w:pos="705"/>
        </w:tabs>
        <w:ind w:left="680" w:hanging="280"/>
        <w:jc w:val="both"/>
      </w:pPr>
      <w:r>
        <w:t xml:space="preserve">Dodávka </w:t>
      </w:r>
      <w:proofErr w:type="gramStart"/>
      <w:r>
        <w:t>bude</w:t>
      </w:r>
      <w:proofErr w:type="gramEnd"/>
      <w:r>
        <w:t xml:space="preserve"> realizována ve věcném </w:t>
      </w:r>
      <w:proofErr w:type="gramStart"/>
      <w:r>
        <w:t>plněni</w:t>
      </w:r>
      <w:proofErr w:type="gramEnd"/>
      <w:r>
        <w:t xml:space="preserve">, </w:t>
      </w:r>
      <w:proofErr w:type="spellStart"/>
      <w:r>
        <w:t>Ihúté</w:t>
      </w:r>
      <w:proofErr w:type="spellEnd"/>
      <w:r>
        <w:t xml:space="preserve">, ceně, </w:t>
      </w:r>
      <w:proofErr w:type="spellStart"/>
      <w:r>
        <w:t>pň</w:t>
      </w:r>
      <w:proofErr w:type="spellEnd"/>
      <w:r>
        <w:t xml:space="preserve"> dodrženi předpisů BOZP a dalších podmínek uvedených v objednávce.</w:t>
      </w:r>
    </w:p>
    <w:p w:rsidR="00EE5503" w:rsidRDefault="003B02E8">
      <w:pPr>
        <w:pStyle w:val="Zkladntext1"/>
        <w:numPr>
          <w:ilvl w:val="0"/>
          <w:numId w:val="2"/>
        </w:numPr>
        <w:shd w:val="clear" w:color="auto" w:fill="auto"/>
        <w:tabs>
          <w:tab w:val="left" w:pos="705"/>
        </w:tabs>
        <w:ind w:left="680" w:hanging="280"/>
        <w:jc w:val="both"/>
      </w:pPr>
      <w:r>
        <w:t xml:space="preserve">Nebude-li z textu faktury zřejmý předmět a rozsah dodávky, </w:t>
      </w:r>
      <w:proofErr w:type="gramStart"/>
      <w:r>
        <w:t>bude</w:t>
      </w:r>
      <w:proofErr w:type="gramEnd"/>
      <w:r>
        <w:t xml:space="preserve"> k faktuře doložen </w:t>
      </w:r>
      <w:proofErr w:type="gramStart"/>
      <w:r>
        <w:t>rozprš</w:t>
      </w:r>
      <w:proofErr w:type="gramEnd"/>
      <w:r>
        <w:t xml:space="preserve"> </w:t>
      </w:r>
      <w:r>
        <w:t>uskutečněné dodávky (</w:t>
      </w:r>
      <w:proofErr w:type="spellStart"/>
      <w:r>
        <w:t>rrapř</w:t>
      </w:r>
      <w:proofErr w:type="spellEnd"/>
      <w:r>
        <w:t xml:space="preserve"> formou dodacího listu), ti provedených prací či služeb bude práce předána předávacím </w:t>
      </w:r>
      <w:proofErr w:type="spellStart"/>
      <w:r>
        <w:t>pmlokolem</w:t>
      </w:r>
      <w:proofErr w:type="spellEnd"/>
      <w:r>
        <w:t xml:space="preserve"> objednateli.</w:t>
      </w:r>
    </w:p>
    <w:p w:rsidR="00EE5503" w:rsidRDefault="003B02E8">
      <w:pPr>
        <w:pStyle w:val="Zkladntext1"/>
        <w:numPr>
          <w:ilvl w:val="0"/>
          <w:numId w:val="2"/>
        </w:numPr>
        <w:shd w:val="clear" w:color="auto" w:fill="auto"/>
        <w:tabs>
          <w:tab w:val="left" w:pos="705"/>
        </w:tabs>
        <w:ind w:left="680" w:hanging="280"/>
        <w:jc w:val="both"/>
      </w:pPr>
      <w:r>
        <w:t xml:space="preserve">Dodavatel stanovuje splatnost faktur do 30 dnů cd dno doručení. </w:t>
      </w:r>
      <w:proofErr w:type="gramStart"/>
      <w:r>
        <w:t>pokud</w:t>
      </w:r>
      <w:proofErr w:type="gramEnd"/>
      <w:r>
        <w:t xml:space="preserve"> bude obsahoval veškeré náležitosti.</w:t>
      </w:r>
    </w:p>
    <w:p w:rsidR="00EE5503" w:rsidRDefault="003B02E8">
      <w:pPr>
        <w:pStyle w:val="Zkladntext1"/>
        <w:shd w:val="clear" w:color="auto" w:fill="auto"/>
        <w:ind w:left="680" w:firstLine="40"/>
        <w:jc w:val="both"/>
      </w:pPr>
      <w:r>
        <w:t xml:space="preserve">Úhrada za </w:t>
      </w:r>
      <w:r>
        <w:t xml:space="preserve">plnění z </w:t>
      </w:r>
      <w:proofErr w:type="gramStart"/>
      <w:r>
        <w:t>léto</w:t>
      </w:r>
      <w:proofErr w:type="gramEnd"/>
      <w:r>
        <w:t xml:space="preserve"> smlouvy bude realizována bezhotovostním převodem na účet dodavatele, který je správcem daně (finančním úřadem) zveřejněn způsobem umožňujícím dálkový přistup ve smyslu ustanovení § 98 </w:t>
      </w:r>
      <w:proofErr w:type="spellStart"/>
      <w:r>
        <w:t>zák</w:t>
      </w:r>
      <w:proofErr w:type="spellEnd"/>
      <w:r>
        <w:t xml:space="preserve"> č 235/2004 </w:t>
      </w:r>
      <w:proofErr w:type="spellStart"/>
      <w:r>
        <w:t>Sb</w:t>
      </w:r>
      <w:proofErr w:type="spellEnd"/>
      <w:r>
        <w:t xml:space="preserve"> o DPH, v platném zněni</w:t>
      </w:r>
    </w:p>
    <w:p w:rsidR="00EE5503" w:rsidRDefault="003B02E8">
      <w:pPr>
        <w:pStyle w:val="Zkladntext1"/>
        <w:shd w:val="clear" w:color="auto" w:fill="auto"/>
        <w:ind w:left="680" w:hanging="280"/>
        <w:jc w:val="both"/>
      </w:pPr>
      <w:r>
        <w:t>b) Pokud se po do</w:t>
      </w:r>
      <w:r>
        <w:t xml:space="preserve">bu účinnosti této smlouvy dud a válel stane nespolehlivým plátcem ve smyslu ustanovení § 1()6a zákona o DPH, smluvní strany se dohodly, že objednatel uhradí DPH za zdanitelné plněn! </w:t>
      </w:r>
      <w:proofErr w:type="gramStart"/>
      <w:r>
        <w:t>přímo</w:t>
      </w:r>
      <w:proofErr w:type="gramEnd"/>
      <w:r>
        <w:t xml:space="preserve"> příslušnému správci dané Objednatelem takto provedená úhrada je pova</w:t>
      </w:r>
      <w:r>
        <w:t xml:space="preserve">žována za uhrazení příslušně </w:t>
      </w:r>
      <w:proofErr w:type="spellStart"/>
      <w:r>
        <w:t>čásii</w:t>
      </w:r>
      <w:proofErr w:type="spellEnd"/>
      <w:r>
        <w:t xml:space="preserve"> smluvní ceny rovnající se výší DPH fakturované dodavatelem.</w:t>
      </w:r>
    </w:p>
    <w:p w:rsidR="00EE5503" w:rsidRDefault="003B02E8">
      <w:pPr>
        <w:pStyle w:val="Zkladntext1"/>
        <w:shd w:val="clear" w:color="auto" w:fill="auto"/>
        <w:ind w:left="680" w:hanging="220"/>
        <w:jc w:val="both"/>
      </w:pPr>
      <w:r>
        <w:t xml:space="preserve">I o) Ustanoveni bodů 8) a 9) nebudou použita v případě, že dodavatel není plátcem DPH nebo v případech, kdy se uplatní přenesená daňová povinnost dle § 92a a </w:t>
      </w:r>
      <w:proofErr w:type="spellStart"/>
      <w:r>
        <w:t>nás</w:t>
      </w:r>
      <w:r>
        <w:t>l</w:t>
      </w:r>
      <w:proofErr w:type="spellEnd"/>
      <w:r>
        <w:t xml:space="preserve"> zákona o DPI I</w:t>
      </w:r>
    </w:p>
    <w:p w:rsidR="00EE5503" w:rsidRDefault="003B02E8">
      <w:pPr>
        <w:pStyle w:val="Zkladntext1"/>
        <w:shd w:val="clear" w:color="auto" w:fill="auto"/>
        <w:ind w:left="680" w:hanging="220"/>
        <w:jc w:val="both"/>
      </w:pPr>
      <w:r>
        <w:t xml:space="preserve">11) Neodstraní </w:t>
      </w:r>
      <w:proofErr w:type="spellStart"/>
      <w:r>
        <w:t>li</w:t>
      </w:r>
      <w:proofErr w:type="spellEnd"/>
      <w:r>
        <w:t xml:space="preserve"> dodavatel vady v přiměřené době, </w:t>
      </w:r>
      <w:proofErr w:type="spellStart"/>
      <w:r>
        <w:t>uměné</w:t>
      </w:r>
      <w:proofErr w:type="spellEnd"/>
      <w:r>
        <w:t xml:space="preserve"> objednatelem dle charakteru vady v </w:t>
      </w:r>
      <w:proofErr w:type="gramStart"/>
      <w:r>
        <w:t>ráme</w:t>
      </w:r>
      <w:proofErr w:type="gramEnd"/>
      <w:r>
        <w:t xml:space="preserve">; oznámeni dodavateli, je objednatel oprávněn vady </w:t>
      </w:r>
      <w:proofErr w:type="spellStart"/>
      <w:r>
        <w:t>odslranil</w:t>
      </w:r>
      <w:proofErr w:type="spellEnd"/>
      <w:r>
        <w:t xml:space="preserve"> na náklady dodavatele</w:t>
      </w:r>
    </w:p>
    <w:p w:rsidR="00EE5503" w:rsidRDefault="003B02E8">
      <w:pPr>
        <w:pStyle w:val="Zkladntext1"/>
        <w:shd w:val="clear" w:color="auto" w:fill="auto"/>
        <w:ind w:left="680" w:hanging="220"/>
        <w:jc w:val="both"/>
      </w:pPr>
      <w:proofErr w:type="spellStart"/>
      <w:r>
        <w:t>I.Yi</w:t>
      </w:r>
      <w:proofErr w:type="spellEnd"/>
      <w:r>
        <w:t xml:space="preserve"> Smluvní pokuta za prodlení s odstraňováním vad činí čás</w:t>
      </w:r>
      <w:r>
        <w:t>tku rovnající se 0,02% z celkově ceny plnění, za každý den prodleni s odstraňováním vad.</w:t>
      </w:r>
    </w:p>
    <w:p w:rsidR="00EE5503" w:rsidRDefault="003B02E8">
      <w:pPr>
        <w:pStyle w:val="Zkladntext1"/>
        <w:shd w:val="clear" w:color="auto" w:fill="auto"/>
        <w:ind w:firstLine="460"/>
        <w:jc w:val="both"/>
      </w:pPr>
      <w:r>
        <w:t xml:space="preserve">lij Záruční doba na věcné </w:t>
      </w:r>
      <w:proofErr w:type="gramStart"/>
      <w:r>
        <w:t>plněni</w:t>
      </w:r>
      <w:proofErr w:type="gramEnd"/>
      <w:r>
        <w:t xml:space="preserve"> se sjednává na: 0 měsíců.</w:t>
      </w:r>
    </w:p>
    <w:p w:rsidR="00EE5503" w:rsidRDefault="003B02E8">
      <w:pPr>
        <w:pStyle w:val="Zkladntext1"/>
        <w:shd w:val="clear" w:color="auto" w:fill="auto"/>
        <w:ind w:left="680" w:hanging="220"/>
        <w:jc w:val="both"/>
      </w:pPr>
      <w:r>
        <w:t xml:space="preserve">14) Smluvní strany se dohodly, že mohou v souladu s § 2694 a </w:t>
      </w:r>
      <w:proofErr w:type="spellStart"/>
      <w:r>
        <w:t>násl</w:t>
      </w:r>
      <w:proofErr w:type="spellEnd"/>
      <w:r>
        <w:t xml:space="preserve"> občanského zákoníku uplatnit i svá práva n</w:t>
      </w:r>
      <w:r>
        <w:t xml:space="preserve">a náhradu škody v prokázané výši, která jim v </w:t>
      </w:r>
      <w:proofErr w:type="gramStart"/>
      <w:r>
        <w:t>souvislostí</w:t>
      </w:r>
      <w:proofErr w:type="gramEnd"/>
      <w:r>
        <w:t xml:space="preserve"> s porušením smluvní povinnosti druhou smluvní stranou vznikla, k povinnostem, k nimž se vztahují popsané smluvní pokuty, pak i vedle nároku na smluvní pokutu V případě, že kterékoliv ze stran této s</w:t>
      </w:r>
      <w:r>
        <w:t xml:space="preserve">mlouvy vznikne povinnost nahradit druhé </w:t>
      </w:r>
      <w:proofErr w:type="spellStart"/>
      <w:r>
        <w:t>šírané</w:t>
      </w:r>
      <w:proofErr w:type="spellEnd"/>
      <w:r>
        <w:t xml:space="preserve"> škodu, je povinna nahradit škodu skutečnou i ušlý zisk</w:t>
      </w:r>
      <w:r>
        <w:br w:type="page"/>
      </w:r>
    </w:p>
    <w:p w:rsidR="00EE5503" w:rsidRDefault="003B02E8">
      <w:pPr>
        <w:pStyle w:val="Zkladntext1"/>
        <w:shd w:val="clear" w:color="auto" w:fill="auto"/>
        <w:spacing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11150" distL="4445" distR="635" simplePos="0" relativeHeight="125829378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margin">
                  <wp:posOffset>0</wp:posOffset>
                </wp:positionV>
                <wp:extent cx="2066290" cy="2146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25pt;margin-top:0;width:162.69999999999999pt;height:16.899999999999999pt;z-index:-125829375;mso-wrap-distance-left:0.34999999999999998pt;mso-wrap-distance-right:5.0000000000000003e-002pt;mso-wrap-distance-bottom:24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44475" distB="15875" distL="1284605" distR="20955" simplePos="0" relativeHeight="125829380" behindDoc="0" locked="0" layoutInCell="1" allowOverlap="1">
            <wp:simplePos x="0" y="0"/>
            <wp:positionH relativeFrom="page">
              <wp:posOffset>1816735</wp:posOffset>
            </wp:positionH>
            <wp:positionV relativeFrom="margin">
              <wp:posOffset>244475</wp:posOffset>
            </wp:positionV>
            <wp:extent cx="768350" cy="26797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margin">
                  <wp:posOffset>187325</wp:posOffset>
                </wp:positionV>
                <wp:extent cx="1277620" cy="3384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Titulekobrzku0"/>
                              <w:shd w:val="clear" w:color="auto" w:fill="auto"/>
                              <w:spacing w:after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silnic Vysočiny</w:t>
                            </w:r>
                          </w:p>
                          <w:p w:rsidR="00EE5503" w:rsidRDefault="003B02E8">
                            <w:pPr>
                              <w:pStyle w:val="Titulekobrzku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1.899999999999999pt;margin-top:14.75pt;width:100.59999999999999pt;height:26.64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Krajská správa a údržba silnic Vysočiny, příspěvková organizace</w:t>
      </w:r>
    </w:p>
    <w:p w:rsidR="00EE5503" w:rsidRDefault="003B02E8">
      <w:pPr>
        <w:pStyle w:val="Zkladntext1"/>
        <w:shd w:val="clear" w:color="auto" w:fill="auto"/>
        <w:tabs>
          <w:tab w:val="left" w:pos="2448"/>
        </w:tabs>
        <w:spacing w:line="240" w:lineRule="auto"/>
      </w:pPr>
      <w:r>
        <w:t>Kosovská</w:t>
      </w:r>
      <w:r>
        <w:tab/>
        <w:t>16</w:t>
      </w:r>
    </w:p>
    <w:p w:rsidR="00EE5503" w:rsidRDefault="003B02E8">
      <w:pPr>
        <w:pStyle w:val="Zkladntext1"/>
        <w:shd w:val="clear" w:color="auto" w:fill="auto"/>
        <w:tabs>
          <w:tab w:val="left" w:pos="2239"/>
        </w:tabs>
        <w:spacing w:after="120" w:line="240" w:lineRule="auto"/>
      </w:pPr>
      <w:r>
        <w:t>Jihlava</w:t>
      </w:r>
      <w:r>
        <w:t xml:space="preserve"> •</w:t>
      </w:r>
      <w:r>
        <w:tab/>
        <w:t>586 01</w:t>
      </w:r>
    </w:p>
    <w:p w:rsidR="00EE5503" w:rsidRDefault="003B02E8">
      <w:pPr>
        <w:pStyle w:val="Zkladntext1"/>
        <w:shd w:val="clear" w:color="auto" w:fill="auto"/>
        <w:spacing w:line="240" w:lineRule="auto"/>
        <w:ind w:left="1420"/>
        <w:sectPr w:rsidR="00EE5503">
          <w:type w:val="continuous"/>
          <w:pgSz w:w="11900" w:h="16840"/>
          <w:pgMar w:top="2090" w:right="1987" w:bottom="2400" w:left="960" w:header="1662" w:footer="1972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2861310</wp:posOffset>
                </wp:positionH>
                <wp:positionV relativeFrom="paragraph">
                  <wp:posOffset>12700</wp:posOffset>
                </wp:positionV>
                <wp:extent cx="494030" cy="1282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</w:pPr>
                            <w:r>
                              <w:t>00090450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25.30000000000001pt;margin-top:1.pt;width:38.899999999999999pt;height:10.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03020" distL="118745" distR="3040380" simplePos="0" relativeHeight="125829383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margin">
                  <wp:posOffset>688340</wp:posOffset>
                </wp:positionV>
                <wp:extent cx="1778635" cy="1873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bookmarkStart w:id="3" w:name="bookmark3"/>
                            <w:r>
                              <w:t>Číslo objednávky: 73930057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5.100000000000001pt;margin-top:54.200000000000003pt;width:140.05000000000001pt;height:14.75pt;z-index:-125829370;mso-wrap-distance-left:9.3499999999999996pt;mso-wrap-distance-right:239.40000000000001pt;mso-wrap-distance-bottom:102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73930057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1800" distB="0" distL="114300" distR="2711450" simplePos="0" relativeHeight="125829385" behindDoc="0" locked="0" layoutInCell="1" allowOverlap="1">
                <wp:simplePos x="0" y="0"/>
                <wp:positionH relativeFrom="page">
                  <wp:posOffset>568325</wp:posOffset>
                </wp:positionH>
                <wp:positionV relativeFrom="margin">
                  <wp:posOffset>1120140</wp:posOffset>
                </wp:positionV>
                <wp:extent cx="2112010" cy="10585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1058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7"/>
                              <w:gridCol w:w="1879"/>
                            </w:tblGrid>
                            <w:tr w:rsidR="00EE55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tblHeader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739</w:t>
                                  </w:r>
                                </w:p>
                              </w:tc>
                            </w:tr>
                            <w:tr w:rsidR="00EE55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73930057</w:t>
                                  </w:r>
                                </w:p>
                              </w:tc>
                            </w:tr>
                            <w:tr w:rsidR="00EE55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2023</w:t>
                                  </w:r>
                                </w:p>
                              </w:tc>
                            </w:tr>
                            <w:tr w:rsidR="00EE55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 xml:space="preserve">Dodací </w:t>
                                  </w:r>
                                  <w:proofErr w:type="spellStart"/>
                                  <w:r>
                                    <w:t>Ihúta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EE55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E55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EE55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E55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určeni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EE55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E55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5503" w:rsidRDefault="003B02E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</w:tr>
                          </w:tbl>
                          <w:p w:rsidR="00EE5503" w:rsidRDefault="00EE550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0" type="#_x0000_t202" style="position:absolute;left:0;text-align:left;margin-left:44.75pt;margin-top:88.2pt;width:166.3pt;height:83.35pt;z-index:125829385;visibility:visible;mso-wrap-style:square;mso-wrap-distance-left:9pt;mso-wrap-distance-top:34pt;mso-wrap-distance-right:213.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7"/>
                        <w:gridCol w:w="1879"/>
                      </w:tblGrid>
                      <w:tr w:rsidR="00EE55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tblHeader/>
                        </w:trPr>
                        <w:tc>
                          <w:tcPr>
                            <w:tcW w:w="14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739</w:t>
                            </w:r>
                          </w:p>
                        </w:tc>
                      </w:tr>
                      <w:tr w:rsidR="00EE55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14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73930057</w:t>
                            </w:r>
                          </w:p>
                        </w:tc>
                      </w:tr>
                      <w:tr w:rsidR="00EE55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14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2023</w:t>
                            </w:r>
                          </w:p>
                        </w:tc>
                      </w:tr>
                      <w:tr w:rsidR="00EE55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14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Dodací </w:t>
                            </w:r>
                            <w:proofErr w:type="spellStart"/>
                            <w:r>
                              <w:t>Ihúta</w:t>
                            </w:r>
                            <w:proofErr w:type="spellEnd"/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EE55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E55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14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EE55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E55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14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určeni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EE55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E55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E5503" w:rsidRDefault="003B02E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</w:tr>
                    </w:tbl>
                    <w:p w:rsidR="00EE5503" w:rsidRDefault="00EE550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447675" distL="2663190" distR="114300" simplePos="0" relativeHeight="125829387" behindDoc="0" locked="0" layoutInCell="1" allowOverlap="1">
                <wp:simplePos x="0" y="0"/>
                <wp:positionH relativeFrom="page">
                  <wp:posOffset>3117215</wp:posOffset>
                </wp:positionH>
                <wp:positionV relativeFrom="margin">
                  <wp:posOffset>690880</wp:posOffset>
                </wp:positionV>
                <wp:extent cx="2160270" cy="10401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1040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t>Ze dne: 16.06 2023</w:t>
                            </w:r>
                          </w:p>
                          <w:p w:rsidR="00EE5503" w:rsidRDefault="003B02E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Odběratel!</w:t>
                            </w:r>
                          </w:p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Město Humpolec</w:t>
                            </w:r>
                          </w:p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Horní náměstí 300</w:t>
                            </w:r>
                          </w:p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  <w:ind w:firstLine="140"/>
                            </w:pPr>
                            <w:r>
                              <w:t>396 22 Humpolec</w:t>
                            </w:r>
                          </w:p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91"/>
                              </w:tabs>
                              <w:spacing w:after="120" w:line="240" w:lineRule="auto"/>
                              <w:ind w:firstLine="220"/>
                            </w:pPr>
                            <w:r>
                              <w:t>IČO: 00248266</w:t>
                            </w:r>
                            <w:r>
                              <w:tab/>
                              <w:t>DIČ: CZ00248266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245.44999999999999pt;margin-top:54.399999999999999pt;width:170.09999999999999pt;height:81.900000000000006pt;z-index:-125829366;mso-wrap-distance-left:209.69999999999999pt;mso-wrap-distance-top:0.20000000000000001pt;mso-wrap-distance-right:9.pt;mso-wrap-distance-bottom:35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16.06 2023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Odběratel!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Město Humpolec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Horní náměstí 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396 22 Humpolec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1" w:val="left"/>
                        </w:tabs>
                        <w:bidi w:val="0"/>
                        <w:spacing w:before="0" w:after="12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00248266</w:t>
                        <w:tab/>
                        <w:t>DIČ: CZ00248266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1770" distB="0" distL="114300" distR="3440430" simplePos="0" relativeHeight="125829389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margin">
                  <wp:posOffset>2313940</wp:posOffset>
                </wp:positionV>
                <wp:extent cx="1108710" cy="5626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56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Dodací adresa</w:t>
                            </w:r>
                          </w:p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Město Humpolec</w:t>
                            </w:r>
                          </w:p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Horní náměstí 300</w:t>
                            </w:r>
                          </w:p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396 22 Humpolec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6.pt;margin-top:182.19999999999999pt;width:87.299999999999997pt;height:44.299999999999997pt;z-index:-125829364;mso-wrap-distance-left:9.pt;mso-wrap-distance-top:15.1pt;mso-wrap-distance-right:270.8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Město Humpolec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Horní náměstí 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396 22 Humpolec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800" distB="15875" distL="2414270" distR="114300" simplePos="0" relativeHeight="125829391" behindDoc="0" locked="0" layoutInCell="1" allowOverlap="1">
                <wp:simplePos x="0" y="0"/>
                <wp:positionH relativeFrom="page">
                  <wp:posOffset>2884170</wp:posOffset>
                </wp:positionH>
                <wp:positionV relativeFrom="margin">
                  <wp:posOffset>2299970</wp:posOffset>
                </wp:positionV>
                <wp:extent cx="2134870" cy="5600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560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</w:pPr>
                            <w:r>
                              <w:t>Korespondenční adresa: KSÚSV Pelhřimov</w:t>
                            </w:r>
                          </w:p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left="1960"/>
                            </w:pPr>
                            <w:proofErr w:type="spellStart"/>
                            <w:r>
                              <w:t>Myslolinská</w:t>
                            </w:r>
                            <w:proofErr w:type="spellEnd"/>
                            <w:r>
                              <w:t xml:space="preserve"> 1887 Pelhřimov</w:t>
                            </w:r>
                          </w:p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left="1960"/>
                            </w:pPr>
                            <w:r>
                              <w:t>393 01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227.09999999999999pt;margin-top:181.09999999999999pt;width:168.09999999999999pt;height:44.100000000000001pt;z-index:-125829362;mso-wrap-distance-left:190.09999999999999pt;mso-wrap-distance-top:14.pt;mso-wrap-distance-right:9.pt;mso-wrap-distance-bottom:1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KSÚSV Pelhřimov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19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Myslolinská 1887 Pelhřimov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9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393 01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487045" distB="0" distL="132715" distR="114300" simplePos="0" relativeHeight="125829393" behindDoc="0" locked="0" layoutInCell="1" allowOverlap="1">
            <wp:simplePos x="0" y="0"/>
            <wp:positionH relativeFrom="page">
              <wp:posOffset>586740</wp:posOffset>
            </wp:positionH>
            <wp:positionV relativeFrom="margin">
              <wp:posOffset>3303270</wp:posOffset>
            </wp:positionV>
            <wp:extent cx="3401695" cy="113982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0169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568325</wp:posOffset>
                </wp:positionH>
                <wp:positionV relativeFrom="margin">
                  <wp:posOffset>2955925</wp:posOffset>
                </wp:positionV>
                <wp:extent cx="3374390" cy="32448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9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Akceptace odběratele</w:t>
                            </w:r>
                          </w:p>
                          <w:p w:rsidR="00EE5503" w:rsidRDefault="003B02E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(hůlkovým písmem identifikaci’ </w:t>
                            </w:r>
                            <w:r>
                              <w:rPr>
                                <w:smallCaps/>
                                <w:sz w:val="14"/>
                                <w:szCs w:val="14"/>
                              </w:rPr>
                              <w:t>•.</w:t>
                            </w:r>
                            <w:proofErr w:type="spellStart"/>
                            <w:r>
                              <w:rPr>
                                <w:smallCaps/>
                                <w:sz w:val="14"/>
                                <w:szCs w:val="14"/>
                              </w:rPr>
                              <w:t>LjIuUíhií</w:t>
                            </w:r>
                            <w:proofErr w:type="spellEnd"/>
                            <w:r>
                              <w:t xml:space="preserve"> osoby včetně razítka lim 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4.75pt;margin-top:232.75pt;width:265.69999999999999pt;height:25.5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Akceptace odběratele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(hůlkovým písmem identifikaci’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•.LjIuUíhií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osoby včetně razítka lim 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CZ00090450</w:t>
      </w:r>
    </w:p>
    <w:p w:rsidR="00EE5503" w:rsidRDefault="00EE5503">
      <w:pPr>
        <w:spacing w:before="81" w:after="81" w:line="240" w:lineRule="exact"/>
        <w:rPr>
          <w:sz w:val="19"/>
          <w:szCs w:val="19"/>
        </w:rPr>
      </w:pPr>
    </w:p>
    <w:p w:rsidR="00EE5503" w:rsidRDefault="00EE5503">
      <w:pPr>
        <w:spacing w:line="1" w:lineRule="exact"/>
        <w:sectPr w:rsidR="00EE5503">
          <w:type w:val="continuous"/>
          <w:pgSz w:w="11900" w:h="16840"/>
          <w:pgMar w:top="2080" w:right="0" w:bottom="2080" w:left="0" w:header="0" w:footer="3" w:gutter="0"/>
          <w:cols w:space="720"/>
          <w:noEndnote/>
          <w:docGrid w:linePitch="360"/>
        </w:sectPr>
      </w:pPr>
    </w:p>
    <w:p w:rsidR="00EE5503" w:rsidRDefault="003B02E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795655" distL="114300" distR="114300" simplePos="0" relativeHeight="125829394" behindDoc="0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1101725</wp:posOffset>
                </wp:positionV>
                <wp:extent cx="2201545" cy="15748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Orientační cena objednávky s </w:t>
                            </w:r>
                            <w:proofErr w:type="spellStart"/>
                            <w:r>
                              <w:t>Dph</w:t>
                            </w:r>
                            <w:proofErr w:type="spellEnd"/>
                            <w:r>
                              <w:t xml:space="preserve"> 76 923,33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299.30000000000001pt;margin-top:86.75pt;width:173.34999999999999pt;height:12.4pt;z-index:-125829359;mso-wrap-distance-left:9.pt;mso-wrap-distance-right:9.pt;mso-wrap-distance-bottom:62.6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 76 923,33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4225" distB="0" distL="928370" distR="708660" simplePos="0" relativeHeight="125829396" behindDoc="0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1885950</wp:posOffset>
                </wp:positionV>
                <wp:extent cx="793115" cy="16891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503" w:rsidRDefault="003B02E8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</w:pPr>
                            <w:r>
                              <w:t xml:space="preserve">razítko a </w:t>
                            </w:r>
                            <w:proofErr w:type="spellStart"/>
                            <w:r>
                              <w:t>pqdjíls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363.39999999999998pt;margin-top:148.5pt;width:62.450000000000003pt;height:13.300000000000001pt;z-index:-125829357;mso-wrap-distance-left:73.099999999999994pt;mso-wrap-distance-top:61.75pt;mso-wrap-distance-right:55.799999999999997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pqdjíls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792"/>
        <w:gridCol w:w="565"/>
        <w:gridCol w:w="436"/>
        <w:gridCol w:w="832"/>
        <w:gridCol w:w="871"/>
        <w:gridCol w:w="832"/>
        <w:gridCol w:w="1238"/>
      </w:tblGrid>
      <w:tr w:rsidR="00EE550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</w:pPr>
            <w:r>
              <w:t>Cena MJ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Počet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M.J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Lucida Sans Unicode" w:eastAsia="Lucida Sans Unicode" w:hAnsi="Lucida Sans Unicode" w:cs="Lucida Sans Unicode"/>
                <w:sz w:val="15"/>
                <w:szCs w:val="15"/>
              </w:rPr>
              <w:t>Základ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Sazba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Dph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</w:t>
            </w:r>
          </w:p>
        </w:tc>
      </w:tr>
      <w:tr w:rsidR="00EE550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výměna </w:t>
            </w:r>
            <w:proofErr w:type="spellStart"/>
            <w:r>
              <w:rPr>
                <w:sz w:val="14"/>
                <w:szCs w:val="14"/>
              </w:rPr>
              <w:t>oznaČniků</w:t>
            </w:r>
            <w:proofErr w:type="spellEnd"/>
            <w:r>
              <w:rPr>
                <w:sz w:val="14"/>
                <w:szCs w:val="14"/>
              </w:rPr>
              <w:t xml:space="preserve"> autobusových zastávek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63 673,00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sad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63 573.0C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21,00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13 350.33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EE5503" w:rsidRDefault="003B02E8">
            <w:pPr>
              <w:pStyle w:val="Jin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76 923,33</w:t>
            </w:r>
          </w:p>
        </w:tc>
      </w:tr>
    </w:tbl>
    <w:p w:rsidR="00EE5503" w:rsidRDefault="00EE5503">
      <w:pPr>
        <w:spacing w:after="1239" w:line="1" w:lineRule="exact"/>
      </w:pPr>
    </w:p>
    <w:p w:rsidR="00EE5503" w:rsidRDefault="003B02E8">
      <w:pPr>
        <w:pStyle w:val="Zkladntext1"/>
        <w:shd w:val="clear" w:color="auto" w:fill="auto"/>
        <w:spacing w:after="80" w:line="240" w:lineRule="auto"/>
        <w:ind w:firstLine="220"/>
      </w:pPr>
      <w:r>
        <w:t>Věcná správnost</w:t>
      </w:r>
    </w:p>
    <w:p w:rsidR="00EE5503" w:rsidRDefault="003B02E8">
      <w:pPr>
        <w:pStyle w:val="Zkladntext1"/>
        <w:shd w:val="clear" w:color="auto" w:fill="auto"/>
        <w:spacing w:after="80" w:line="240" w:lineRule="auto"/>
        <w:ind w:firstLine="220"/>
      </w:pPr>
      <w:proofErr w:type="spellStart"/>
      <w:r>
        <w:t>Přlkazce</w:t>
      </w:r>
      <w:proofErr w:type="spellEnd"/>
    </w:p>
    <w:p w:rsidR="00EE5503" w:rsidRDefault="003B02E8">
      <w:pPr>
        <w:pStyle w:val="Zkladntext1"/>
        <w:shd w:val="clear" w:color="auto" w:fill="auto"/>
        <w:spacing w:after="180" w:line="240" w:lineRule="auto"/>
        <w:ind w:firstLine="220"/>
      </w:pPr>
      <w:r>
        <w:t>Správce rozpočtu</w:t>
      </w:r>
    </w:p>
    <w:p w:rsidR="00EE5503" w:rsidRDefault="003B02E8">
      <w:pPr>
        <w:pStyle w:val="Zkladntext1"/>
        <w:shd w:val="clear" w:color="auto" w:fill="auto"/>
        <w:spacing w:line="240" w:lineRule="auto"/>
        <w:ind w:firstLine="220"/>
      </w:pPr>
      <w:r>
        <w:t>Vyslavil</w:t>
      </w:r>
    </w:p>
    <w:p w:rsidR="00EE5503" w:rsidRDefault="003B02E8">
      <w:pPr>
        <w:pStyle w:val="Zkladntext1"/>
        <w:shd w:val="clear" w:color="auto" w:fill="auto"/>
        <w:spacing w:after="220" w:line="240" w:lineRule="auto"/>
        <w:ind w:firstLine="220"/>
      </w:pPr>
      <w:proofErr w:type="spellStart"/>
      <w:r>
        <w:t>Hsk</w:t>
      </w:r>
      <w:proofErr w:type="spellEnd"/>
      <w:r>
        <w:t>: 26.06 2023</w:t>
      </w:r>
    </w:p>
    <w:p w:rsidR="003B02E8" w:rsidRDefault="003B02E8">
      <w:pPr>
        <w:pStyle w:val="Zkladntext20"/>
        <w:shd w:val="clear" w:color="auto" w:fill="auto"/>
      </w:pPr>
      <w:r>
        <w:t>Informace □ politice (IMS, IIOZP a souvislosti se zavedením integrovaného systému řízeni dle ISO 9001, ISO 14001 a specifikace OHSAS 18001 jsou k dispozici na w</w:t>
      </w:r>
      <w:r>
        <w:t xml:space="preserve">ww.ksušv.cz V prostorách naší </w:t>
      </w:r>
      <w:proofErr w:type="spellStart"/>
      <w:r>
        <w:t>oraganiznce</w:t>
      </w:r>
      <w:proofErr w:type="spellEnd"/>
      <w:r>
        <w:t xml:space="preserve"> se řiďte pokyny našeho zástupce Vyhodnoceni významných environmentálních </w:t>
      </w:r>
      <w:proofErr w:type="spellStart"/>
      <w:r>
        <w:t>aspaklir</w:t>
      </w:r>
      <w:proofErr w:type="spellEnd"/>
      <w:r>
        <w:t xml:space="preserve"> |e následující • Likvidace a odstraňovaní starých živičných povrchů • Pokládka nových živičných povrchů. • Chemické odstraňováni </w:t>
      </w:r>
      <w:proofErr w:type="spellStart"/>
      <w:r>
        <w:t>snS</w:t>
      </w:r>
      <w:r>
        <w:t>hu</w:t>
      </w:r>
      <w:proofErr w:type="spellEnd"/>
      <w:r>
        <w:t xml:space="preserve"> z povrchu silnic. • </w:t>
      </w:r>
      <w:proofErr w:type="spellStart"/>
      <w:r>
        <w:t>Ineilnl</w:t>
      </w:r>
      <w:proofErr w:type="spellEnd"/>
      <w:r>
        <w:t xml:space="preserve"> posyp silnic • Manipulace s nebezpečným odpadem </w:t>
      </w:r>
      <w:proofErr w:type="spellStart"/>
      <w:r>
        <w:t>Nejvyšši</w:t>
      </w:r>
      <w:proofErr w:type="spellEnd"/>
      <w:r>
        <w:t xml:space="preserve"> míry rizika BOZP v naši </w:t>
      </w:r>
      <w:proofErr w:type="spellStart"/>
      <w:r>
        <w:t>oigrmizaci</w:t>
      </w:r>
      <w:proofErr w:type="spellEnd"/>
      <w:r>
        <w:t xml:space="preserve"> jsou ■ Dopravní nehoda nebo </w:t>
      </w:r>
      <w:proofErr w:type="spellStart"/>
      <w:r>
        <w:t>havůnc</w:t>
      </w:r>
      <w:proofErr w:type="spellEnd"/>
      <w:r>
        <w:t xml:space="preserve"> ve </w:t>
      </w:r>
      <w:proofErr w:type="spellStart"/>
      <w:r>
        <w:t>vetojném</w:t>
      </w:r>
      <w:proofErr w:type="spellEnd"/>
      <w:r>
        <w:t xml:space="preserve"> dopravním provozu • Činnosti </w:t>
      </w:r>
      <w:proofErr w:type="spellStart"/>
      <w:r>
        <w:t>spojoné</w:t>
      </w:r>
      <w:proofErr w:type="spellEnd"/>
      <w:r>
        <w:t xml:space="preserve"> s obsluhou motorové pily v souvislosti s nepřízni</w:t>
      </w:r>
      <w:r>
        <w:t xml:space="preserve">vými klimatickými podmínkami V případě prováděni stavební činnosti </w:t>
      </w:r>
      <w:proofErr w:type="spellStart"/>
      <w:r>
        <w:t>hudete</w:t>
      </w:r>
      <w:proofErr w:type="spellEnd"/>
      <w:r>
        <w:t xml:space="preserve"> </w:t>
      </w:r>
      <w:proofErr w:type="spellStart"/>
      <w:r>
        <w:t>pisemnů</w:t>
      </w:r>
      <w:proofErr w:type="spellEnd"/>
      <w:r>
        <w:t xml:space="preserve"> seznámeni s riziky prostřednictvím stavbyvedoucího</w:t>
      </w:r>
    </w:p>
    <w:p w:rsidR="003B02E8" w:rsidRDefault="003B02E8">
      <w:pPr>
        <w:rPr>
          <w:rFonts w:ascii="Arial" w:eastAsia="Arial" w:hAnsi="Arial" w:cs="Arial"/>
          <w:sz w:val="14"/>
          <w:szCs w:val="14"/>
        </w:rPr>
      </w:pPr>
      <w:r>
        <w:br w:type="page"/>
      </w:r>
    </w:p>
    <w:p w:rsidR="003B02E8" w:rsidRDefault="003B02E8" w:rsidP="003B02E8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</w:t>
      </w:r>
      <w:proofErr w:type="spellEnd"/>
      <w:r>
        <w:t xml:space="preserve"> &lt;</w:t>
      </w:r>
      <w:hyperlink r:id="rId10" w:history="1">
        <w:r w:rsidRPr="00D11B76">
          <w:rPr>
            <w:rStyle w:val="Hypertextovodkaz"/>
          </w:rPr>
          <w:t>xxxxxxxxxxxx@mesto-humpolec.cz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26, 2023 11:21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</w:t>
      </w:r>
      <w:proofErr w:type="spellEnd"/>
      <w:r>
        <w:t xml:space="preserve"> &lt;</w:t>
      </w:r>
      <w:hyperlink r:id="rId11" w:history="1">
        <w:r w:rsidRPr="00D11B76">
          <w:rPr>
            <w:rStyle w:val="Hypertextovodkaz"/>
          </w:rPr>
          <w:t>xxxxxxxxxxx@ksusv.cz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akceptace objednávky</w:t>
      </w:r>
    </w:p>
    <w:p w:rsidR="003B02E8" w:rsidRDefault="003B02E8" w:rsidP="003B02E8">
      <w:pPr>
        <w:rPr>
          <w:lang w:eastAsia="en-US"/>
        </w:rPr>
      </w:pPr>
    </w:p>
    <w:p w:rsidR="003B02E8" w:rsidRDefault="003B02E8" w:rsidP="003B02E8">
      <w:r>
        <w:t>Dobrý den,</w:t>
      </w:r>
    </w:p>
    <w:p w:rsidR="003B02E8" w:rsidRDefault="003B02E8" w:rsidP="003B02E8"/>
    <w:p w:rsidR="003B02E8" w:rsidRDefault="003B02E8" w:rsidP="003B02E8">
      <w:r>
        <w:t>Akceptujeme objednávku č. 73930057. V příloze přikládám podepsaný dokument.</w:t>
      </w:r>
    </w:p>
    <w:p w:rsidR="003B02E8" w:rsidRDefault="003B02E8" w:rsidP="003B02E8"/>
    <w:p w:rsidR="003B02E8" w:rsidRDefault="003B02E8" w:rsidP="003B02E8">
      <w:r>
        <w:t>Děkuji.</w:t>
      </w:r>
    </w:p>
    <w:p w:rsidR="003B02E8" w:rsidRDefault="003B02E8" w:rsidP="003B02E8"/>
    <w:p w:rsidR="003B02E8" w:rsidRDefault="003B02E8" w:rsidP="003B02E8">
      <w:pPr>
        <w:rPr>
          <w14:ligatures w14:val="standardContextual"/>
        </w:rPr>
      </w:pPr>
      <w:r>
        <w:rPr>
          <w14:ligatures w14:val="standardContextual"/>
        </w:rPr>
        <w:t>S pozdravem</w:t>
      </w:r>
    </w:p>
    <w:p w:rsidR="003B02E8" w:rsidRDefault="003B02E8" w:rsidP="003B02E8">
      <w:pPr>
        <w:rPr>
          <w14:ligatures w14:val="standardContextual"/>
        </w:rPr>
      </w:pPr>
    </w:p>
    <w:tbl>
      <w:tblPr>
        <w:tblW w:w="11215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9717"/>
      </w:tblGrid>
      <w:tr w:rsidR="003B02E8" w:rsidTr="003B02E8">
        <w:trPr>
          <w:trHeight w:val="200"/>
          <w:tblCellSpacing w:w="22" w:type="dxa"/>
        </w:trPr>
        <w:tc>
          <w:tcPr>
            <w:tcW w:w="0" w:type="auto"/>
            <w:vAlign w:val="center"/>
            <w:hideMark/>
          </w:tcPr>
          <w:p w:rsidR="003B02E8" w:rsidRDefault="003B0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02E8" w:rsidRDefault="003B0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2E8" w:rsidTr="003B02E8">
        <w:trPr>
          <w:tblCellSpacing w:w="22" w:type="dxa"/>
        </w:trPr>
        <w:tc>
          <w:tcPr>
            <w:tcW w:w="1335" w:type="dxa"/>
            <w:hideMark/>
          </w:tcPr>
          <w:p w:rsidR="003B02E8" w:rsidRDefault="003B02E8">
            <w:pPr>
              <w:rPr>
                <w:rFonts w:ascii="Calibri" w:eastAsiaTheme="minorHAnsi" w:hAnsi="Calibri" w:cs="Calibri"/>
                <w:sz w:val="22"/>
                <w:szCs w:val="22"/>
                <w14:ligatures w14:val="standardContextu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47725" cy="504825"/>
                  <wp:effectExtent l="0" t="0" r="0" b="9525"/>
                  <wp:docPr id="2" name="Obrázek 2" descr="Logo města Humpo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města Humpol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B02E8" w:rsidRDefault="003B02E8">
            <w:pPr>
              <w:rPr>
                <w:rFonts w:ascii="Tahoma" w:eastAsiaTheme="minorHAnsi" w:hAnsi="Tahoma" w:cs="Tahoma"/>
                <w:b/>
                <w:bCs/>
                <w:color w:val="140170"/>
                <w14:ligatures w14:val="standardContextual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140170"/>
                <w14:ligatures w14:val="standardContextual"/>
              </w:rPr>
              <w:t>xxxxxxx</w:t>
            </w:r>
            <w:proofErr w:type="spellEnd"/>
          </w:p>
          <w:p w:rsidR="003B02E8" w:rsidRDefault="003B02E8" w:rsidP="003B02E8">
            <w:pPr>
              <w:rPr>
                <w:rFonts w:ascii="Calibri" w:eastAsiaTheme="minorHAnsi" w:hAnsi="Calibri" w:cs="Calibri"/>
                <w:color w:val="173271"/>
                <w:sz w:val="22"/>
                <w:szCs w:val="22"/>
                <w14:ligatures w14:val="standardContextual"/>
              </w:rPr>
            </w:pPr>
            <w:r>
              <w:rPr>
                <w:rFonts w:ascii="Tahoma" w:hAnsi="Tahoma" w:cs="Tahoma"/>
                <w:color w:val="140170"/>
                <w14:ligatures w14:val="standardContextual"/>
              </w:rPr>
              <w:t>Referent, Oddělení investic</w:t>
            </w:r>
            <w:r>
              <w:rPr>
                <w:rFonts w:ascii="Tahoma" w:hAnsi="Tahoma" w:cs="Tahoma"/>
                <w:color w:val="140170"/>
                <w14:ligatures w14:val="standardContextual"/>
              </w:rPr>
              <w:br/>
              <w:t xml:space="preserve">+ </w:t>
            </w:r>
            <w:proofErr w:type="spellStart"/>
            <w:r>
              <w:rPr>
                <w:rFonts w:ascii="Tahoma" w:hAnsi="Tahoma" w:cs="Tahoma"/>
                <w:color w:val="140170"/>
                <w14:ligatures w14:val="standardContextual"/>
              </w:rPr>
              <w:t>xxxxxxxx</w:t>
            </w:r>
            <w:proofErr w:type="spellEnd"/>
          </w:p>
        </w:tc>
      </w:tr>
      <w:tr w:rsidR="003B02E8" w:rsidTr="003B02E8">
        <w:trPr>
          <w:tblCellSpacing w:w="22" w:type="dxa"/>
        </w:trPr>
        <w:tc>
          <w:tcPr>
            <w:tcW w:w="0" w:type="auto"/>
            <w:vAlign w:val="center"/>
            <w:hideMark/>
          </w:tcPr>
          <w:p w:rsidR="003B02E8" w:rsidRDefault="003B0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500" w:type="dxa"/>
              <w:right w:w="15" w:type="dxa"/>
            </w:tcMar>
            <w:vAlign w:val="center"/>
            <w:hideMark/>
          </w:tcPr>
          <w:p w:rsidR="003B02E8" w:rsidRDefault="003B02E8" w:rsidP="003B02E8">
            <w:pPr>
              <w:rPr>
                <w:rFonts w:ascii="Calibri" w:eastAsiaTheme="minorHAnsi" w:hAnsi="Calibri" w:cs="Calibri"/>
                <w:sz w:val="22"/>
                <w:szCs w:val="22"/>
                <w14:ligatures w14:val="standardContextual"/>
              </w:rPr>
            </w:pPr>
            <w:hyperlink r:id="rId14" w:history="1">
              <w:r w:rsidRPr="00D11B76">
                <w:rPr>
                  <w:rStyle w:val="Hypertextovodkaz"/>
                  <w:rFonts w:ascii="Tahoma" w:hAnsi="Tahoma" w:cs="Tahoma"/>
                  <w14:ligatures w14:val="standardContextual"/>
                </w:rPr>
                <w:t>xxxxxxxxxxx@mesto-humpolec.cz</w:t>
              </w:r>
            </w:hyperlink>
            <w:r>
              <w:rPr>
                <w14:ligatures w14:val="standardContextual"/>
              </w:rPr>
              <w:t xml:space="preserve"> </w:t>
            </w:r>
          </w:p>
        </w:tc>
      </w:tr>
    </w:tbl>
    <w:p w:rsidR="003B02E8" w:rsidRDefault="003B02E8" w:rsidP="003B02E8">
      <w:pPr>
        <w:spacing w:before="100" w:beforeAutospacing="1" w:after="100" w:afterAutospacing="1"/>
        <w:rPr>
          <w:rFonts w:ascii="Times New Roman" w:eastAsiaTheme="minorHAnsi" w:hAnsi="Times New Roman" w:cs="Times New Roman"/>
        </w:rPr>
      </w:pPr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>Městský úřad Humpolec, Horní náměstí 300, 396 22 Humpolec — T: +</w:t>
      </w:r>
      <w:proofErr w:type="spellStart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>xxxxxx</w:t>
      </w:r>
      <w:proofErr w:type="spellEnd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 xml:space="preserve"> — F: +</w:t>
      </w:r>
      <w:proofErr w:type="spellStart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>xxxxxxxx</w:t>
      </w:r>
      <w:proofErr w:type="spellEnd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 xml:space="preserve"> </w:t>
      </w:r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br/>
        <w:t xml:space="preserve">IČ: 00248266 — </w:t>
      </w:r>
      <w:proofErr w:type="spellStart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>ds</w:t>
      </w:r>
      <w:proofErr w:type="spellEnd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 xml:space="preserve">: 6gfbdxd — </w:t>
      </w:r>
      <w:hyperlink r:id="rId15" w:history="1">
        <w:r>
          <w:rPr>
            <w:rStyle w:val="Hypertextovodkaz"/>
            <w:rFonts w:ascii="Tahoma" w:hAnsi="Tahoma" w:cs="Tahoma"/>
            <w:spacing w:val="12"/>
            <w:sz w:val="18"/>
            <w:szCs w:val="18"/>
            <w:shd w:val="clear" w:color="auto" w:fill="FFFFFF"/>
            <w14:ligatures w14:val="standardContextual"/>
          </w:rPr>
          <w:t>urad@mesto-humpolec.cz</w:t>
        </w:r>
      </w:hyperlink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 xml:space="preserve"> — č. </w:t>
      </w:r>
      <w:proofErr w:type="spellStart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>ú.</w:t>
      </w:r>
      <w:proofErr w:type="spellEnd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>xxxxxxx</w:t>
      </w:r>
      <w:proofErr w:type="spellEnd"/>
      <w:r>
        <w:rPr>
          <w:rFonts w:ascii="Tahoma" w:hAnsi="Tahoma" w:cs="Tahoma"/>
          <w:color w:val="140170"/>
          <w:spacing w:val="12"/>
          <w:sz w:val="18"/>
          <w:szCs w:val="18"/>
          <w:shd w:val="clear" w:color="auto" w:fill="FFFFFF"/>
          <w14:ligatures w14:val="standardContextual"/>
        </w:rPr>
        <w:t xml:space="preserve"> </w:t>
      </w:r>
      <w:hyperlink r:id="rId16" w:history="1">
        <w:r>
          <w:rPr>
            <w:rStyle w:val="Hypertextovodkaz"/>
            <w:rFonts w:ascii="Tahoma" w:hAnsi="Tahoma" w:cs="Tahoma"/>
            <w:spacing w:val="12"/>
            <w:sz w:val="18"/>
            <w:szCs w:val="18"/>
            <w:shd w:val="clear" w:color="auto" w:fill="FFFFFF"/>
            <w14:ligatures w14:val="standardContextual"/>
          </w:rPr>
          <w:t xml:space="preserve">www.mesto-humpolec.cz </w:t>
        </w:r>
      </w:hyperlink>
    </w:p>
    <w:p w:rsidR="00EE5503" w:rsidRDefault="00EE5503">
      <w:pPr>
        <w:pStyle w:val="Zkladntext20"/>
        <w:shd w:val="clear" w:color="auto" w:fill="auto"/>
      </w:pPr>
      <w:bookmarkStart w:id="4" w:name="_GoBack"/>
      <w:bookmarkEnd w:id="4"/>
    </w:p>
    <w:sectPr w:rsidR="00EE5503">
      <w:type w:val="continuous"/>
      <w:pgSz w:w="11900" w:h="16840"/>
      <w:pgMar w:top="2080" w:right="2135" w:bottom="2080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02E8">
      <w:r>
        <w:separator/>
      </w:r>
    </w:p>
  </w:endnote>
  <w:endnote w:type="continuationSeparator" w:id="0">
    <w:p w:rsidR="00000000" w:rsidRDefault="003B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03" w:rsidRDefault="00EE5503"/>
  </w:footnote>
  <w:footnote w:type="continuationSeparator" w:id="0">
    <w:p w:rsidR="00EE5503" w:rsidRDefault="00EE55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409"/>
    <w:multiLevelType w:val="multilevel"/>
    <w:tmpl w:val="B4D4D82A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B21238"/>
    <w:multiLevelType w:val="multilevel"/>
    <w:tmpl w:val="3D648478"/>
    <w:lvl w:ilvl="0">
      <w:start w:val="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E5503"/>
    <w:rsid w:val="003B02E8"/>
    <w:rsid w:val="00E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54" w:lineRule="auto"/>
      <w:ind w:left="220" w:firstLine="2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B02E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2E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54" w:lineRule="auto"/>
      <w:ind w:left="220" w:firstLine="2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B02E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2E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1.png@01D9A820.2291553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sto-humpolec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xxx@ksus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d@mesto-humpolec.cz" TargetMode="External"/><Relationship Id="rId10" Type="http://schemas.openxmlformats.org/officeDocument/2006/relationships/hyperlink" Target="mailto:xxxxxxxxxxxx@mesto-humpole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xxxxxxxxxxx@mesto-humpol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2023-06-26T11:34:00Z</dcterms:created>
  <dcterms:modified xsi:type="dcterms:W3CDTF">2023-06-26T11:35:00Z</dcterms:modified>
</cp:coreProperties>
</file>