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9"/>
        <w:keepNext/>
        <w:keepLines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bookmarkStart w:id="0" w:name="bookmark0"/>
      <w:r>
        <w:rPr>
          <w:rStyle w:val="CharStyle10"/>
        </w:rPr>
        <w:t>IIIIIIIIIIIIHM</w:t>
      </w:r>
      <w:bookmarkEnd w:id="0"/>
    </w:p>
    <w:tbl>
      <w:tblPr>
        <w:tblOverlap w:val="never"/>
        <w:jc w:val="center"/>
        <w:tblLayout w:type="fixed"/>
      </w:tblPr>
      <w:tblGrid>
        <w:gridCol w:w="2698"/>
        <w:gridCol w:w="7042"/>
      </w:tblGrid>
      <w:tr>
        <w:trPr>
          <w:trHeight w:val="566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476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5"/>
                <w:sz w:val="16"/>
                <w:szCs w:val="16"/>
              </w:rPr>
              <w:t>2023004581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20"/>
                <w:szCs w:val="20"/>
              </w:rPr>
            </w:pPr>
            <w:r>
              <w:rPr>
                <w:rStyle w:val="CharStyle15"/>
                <w:b/>
                <w:bCs/>
                <w:sz w:val="20"/>
                <w:szCs w:val="20"/>
              </w:rPr>
              <w:t>KUPNÍ SMLOUVA</w:t>
            </w:r>
          </w:p>
        </w:tc>
      </w:tr>
    </w:tbl>
    <w:p>
      <w:pPr>
        <w:widowControl w:val="0"/>
        <w:spacing w:after="219" w:line="1" w:lineRule="exact"/>
      </w:pPr>
    </w:p>
    <w:p>
      <w:pPr>
        <w:pStyle w:val="Style18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2" w:name="bookmark2"/>
      <w:r>
        <w:rPr>
          <w:rStyle w:val="CharStyle19"/>
        </w:rPr>
        <w:t>podle ustanovení § 2079 a násl. zákona č. 89/2012 Sb., občanský zákoník,</w:t>
        <w:br/>
        <w:t>uzavřená mezi</w:t>
      </w:r>
      <w:bookmarkEnd w:id="2"/>
    </w:p>
    <w:tbl>
      <w:tblPr>
        <w:tblOverlap w:val="never"/>
        <w:jc w:val="center"/>
        <w:tblLayout w:type="fixed"/>
      </w:tblPr>
      <w:tblGrid>
        <w:gridCol w:w="2698"/>
        <w:gridCol w:w="7042"/>
      </w:tblGrid>
      <w:tr>
        <w:trPr>
          <w:trHeight w:val="53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left"/>
            </w:pPr>
            <w:r>
              <w:rPr>
                <w:rStyle w:val="CharStyle15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5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Kamenice 798/1 d, 625 00 Brno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MUDr. Hana Albrechtová, ředitelka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  <w:spacing w:val="2"/>
                <w:shd w:val="clear" w:color="auto" w:fill="000000"/>
              </w:rPr>
              <w:t>............</w:t>
            </w:r>
            <w:r>
              <w:rPr>
                <w:rStyle w:val="CharStyle15"/>
                <w:spacing w:val="3"/>
                <w:shd w:val="clear" w:color="auto" w:fill="000000"/>
              </w:rPr>
              <w:t>..</w:t>
            </w:r>
            <w:r>
              <w:rPr>
                <w:rStyle w:val="CharStyle15"/>
                <w:shd w:val="clear" w:color="auto" w:fill="000000"/>
              </w:rPr>
              <w:t>​</w:t>
            </w:r>
            <w:r>
              <w:rPr>
                <w:rStyle w:val="CharStyle15"/>
                <w:spacing w:val="2"/>
                <w:shd w:val="clear" w:color="auto" w:fill="000000"/>
              </w:rPr>
              <w:t>..</w:t>
            </w:r>
            <w:r>
              <w:rPr>
                <w:rStyle w:val="CharStyle15"/>
                <w:spacing w:val="3"/>
                <w:shd w:val="clear" w:color="auto" w:fill="000000"/>
              </w:rPr>
              <w:t>............</w:t>
            </w:r>
            <w:r>
              <w:rPr>
                <w:rStyle w:val="CharStyle15"/>
                <w:u w:val="single"/>
                <w:shd w:val="clear" w:color="auto" w:fill="000000"/>
                <w:lang w:val="en-US" w:eastAsia="en-US" w:bidi="en-US"/>
              </w:rPr>
              <w:t>​................</w:t>
            </w:r>
            <w:r>
              <w:rPr>
                <w:rStyle w:val="CharStyle15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</w:t>
            </w:r>
            <w:r>
              <w:rPr>
                <w:rStyle w:val="CharStyle15"/>
                <w:u w:val="single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CharStyle15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CharStyle15"/>
                <w:shd w:val="clear" w:color="auto" w:fill="000000"/>
              </w:rPr>
              <w:t>​</w:t>
            </w:r>
            <w:r>
              <w:rPr>
                <w:rStyle w:val="CharStyle15"/>
                <w:spacing w:val="7"/>
                <w:shd w:val="clear" w:color="auto" w:fill="000000"/>
              </w:rPr>
              <w:t>......</w:t>
            </w:r>
            <w:r>
              <w:rPr>
                <w:rStyle w:val="CharStyle15"/>
                <w:shd w:val="clear" w:color="auto" w:fill="000000"/>
              </w:rPr>
              <w:t>​....</w:t>
            </w:r>
            <w:r>
              <w:rPr>
                <w:rStyle w:val="CharStyle15"/>
                <w:spacing w:val="1"/>
                <w:shd w:val="clear" w:color="auto" w:fill="000000"/>
              </w:rPr>
              <w:t>.....</w:t>
            </w:r>
            <w:r>
              <w:rPr>
                <w:rStyle w:val="CharStyle15"/>
                <w:shd w:val="clear" w:color="auto" w:fill="000000"/>
              </w:rPr>
              <w:t>​.......​</w:t>
            </w:r>
            <w:r>
              <w:rPr>
                <w:rStyle w:val="CharStyle15"/>
                <w:spacing w:val="6"/>
                <w:shd w:val="clear" w:color="auto" w:fill="000000"/>
              </w:rPr>
              <w:t>...</w:t>
            </w:r>
            <w:r>
              <w:rPr>
                <w:rStyle w:val="CharStyle15"/>
                <w:spacing w:val="7"/>
                <w:shd w:val="clear" w:color="auto" w:fill="000000"/>
              </w:rPr>
              <w:t>...</w:t>
            </w:r>
            <w:r>
              <w:rPr>
                <w:rStyle w:val="CharStyle15"/>
                <w:shd w:val="clear" w:color="auto" w:fill="000000"/>
              </w:rPr>
              <w:t>​......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IČO: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00346292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CZ00346292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Krajský soud v Brně sp. zn. Pr 1245</w:t>
            </w:r>
          </w:p>
        </w:tc>
      </w:tr>
      <w:tr>
        <w:trPr>
          <w:trHeight w:val="40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MONETA Money Bank, a.s., č. ů. 117203514/0600</w:t>
            </w:r>
          </w:p>
        </w:tc>
      </w:tr>
    </w:tbl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</w:pPr>
      <w:r>
        <w:rPr>
          <w:rStyle w:val="CharStyle21"/>
        </w:rPr>
        <w:t xml:space="preserve">(dále jen </w:t>
      </w:r>
      <w:r>
        <w:rPr>
          <w:rStyle w:val="CharStyle21"/>
          <w:i/>
          <w:iCs/>
        </w:rPr>
        <w:t>„kupující</w:t>
      </w:r>
      <w:r>
        <w:rPr>
          <w:rStyle w:val="CharStyle21"/>
          <w:i/>
          <w:iCs/>
          <w:vertAlign w:val="superscript"/>
        </w:rPr>
        <w:t>1</w:t>
      </w:r>
      <w:r>
        <w:rPr>
          <w:rStyle w:val="CharStyle21"/>
          <w:i/>
          <w:iCs/>
        </w:rPr>
        <w:t>}</w:t>
      </w:r>
    </w:p>
    <w:p>
      <w:pPr>
        <w:widowControl w:val="0"/>
        <w:spacing w:after="29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698"/>
        <w:gridCol w:w="7042"/>
      </w:tblGrid>
      <w:tr>
        <w:trPr>
          <w:trHeight w:val="62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a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5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  <w:b/>
                <w:bCs/>
              </w:rPr>
              <w:t>PROGRES SERVIS SIBŘINA,spol.s r.o.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5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Masojedy 59, 28201 Masojedy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5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Karel Rieger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5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  <w:spacing w:val="8"/>
                <w:shd w:val="clear" w:color="auto" w:fill="000000"/>
              </w:rPr>
              <w:t>....</w:t>
            </w:r>
            <w:r>
              <w:rPr>
                <w:rStyle w:val="CharStyle15"/>
                <w:spacing w:val="9"/>
                <w:shd w:val="clear" w:color="auto" w:fill="000000"/>
              </w:rPr>
              <w:t>.</w:t>
            </w:r>
            <w:r>
              <w:rPr>
                <w:rStyle w:val="CharStyle15"/>
                <w:shd w:val="clear" w:color="auto" w:fill="000000"/>
              </w:rPr>
              <w:t>​</w:t>
            </w:r>
            <w:r>
              <w:rPr>
                <w:rStyle w:val="CharStyle15"/>
                <w:spacing w:val="2"/>
                <w:shd w:val="clear" w:color="auto" w:fill="000000"/>
              </w:rPr>
              <w:t>.</w:t>
            </w:r>
            <w:r>
              <w:rPr>
                <w:rStyle w:val="CharStyle15"/>
                <w:spacing w:val="3"/>
                <w:shd w:val="clear" w:color="auto" w:fill="000000"/>
              </w:rPr>
              <w:t>.............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5"/>
              </w:rPr>
              <w:t>IČO: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00549142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5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CZ00549142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5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C 85 vedená u Městského soudu v Praze</w:t>
            </w:r>
          </w:p>
        </w:tc>
      </w:tr>
      <w:tr>
        <w:trPr>
          <w:trHeight w:val="40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UnICredit Bank a.s., č.ú. 2110577272/2700</w:t>
            </w:r>
          </w:p>
        </w:tc>
      </w:tr>
    </w:tbl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1"/>
        </w:rPr>
        <w:t xml:space="preserve">(dále jen </w:t>
      </w:r>
      <w:r>
        <w:rPr>
          <w:rStyle w:val="CharStyle21"/>
          <w:i/>
          <w:iCs/>
        </w:rPr>
        <w:t>„prodávajíc?)</w:t>
      </w:r>
    </w:p>
    <w:p>
      <w:pPr>
        <w:widowControl w:val="0"/>
        <w:spacing w:after="1019" w:line="1" w:lineRule="exact"/>
      </w:pP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0" w:line="286" w:lineRule="auto"/>
        <w:ind w:left="380" w:right="0" w:hanging="380"/>
        <w:jc w:val="both"/>
      </w:pPr>
      <w:r>
        <w:rPr>
          <w:rStyle w:val="CharStyle7"/>
        </w:rPr>
        <w:t xml:space="preserve">Prodávající je oprávněn na základě svého vlastnického práva nakládat s tímto zbožím: </w:t>
      </w:r>
      <w:r>
        <w:rPr>
          <w:rStyle w:val="CharStyle7"/>
          <w:b/>
          <w:bCs/>
        </w:rPr>
        <w:t xml:space="preserve">9 ks neonatologických zádržných systémů. </w:t>
      </w:r>
      <w:r>
        <w:rPr>
          <w:rStyle w:val="CharStyle7"/>
        </w:rPr>
        <w:t>Bližší specifikace tohoto zboží a jeho jednotkové ceny jsou uvedeny v příloze č. 1, která je nedílnou součástí této smlouvy.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2420" w:right="0" w:firstLine="0"/>
        <w:jc w:val="left"/>
      </w:pPr>
      <w:r>
        <w:rPr>
          <w:rStyle w:val="CharStyle7"/>
        </w:rPr>
        <w:t>*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86" w:lineRule="auto"/>
        <w:ind w:left="380" w:right="0" w:hanging="380"/>
        <w:jc w:val="both"/>
      </w:pPr>
      <w:r>
        <w:rPr>
          <w:rStyle w:val="CharStyle7"/>
        </w:rPr>
        <w:t>Prodávající prodává zboží podle či. 1 této smlouvy se všemi jeho součástmi kupujícímu, a kupující kupuje toto zboží do vlastnictví Jihomoravského kraje, jako svého zřizovatele, za kupní cenu podle čl. 6 této smlouvy.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/>
        <w:ind w:left="380" w:right="0" w:hanging="380"/>
        <w:jc w:val="both"/>
      </w:pPr>
      <w:r>
        <w:rPr>
          <w:rStyle w:val="CharStyle7"/>
        </w:rPr>
        <w:t>Součástí dodávky zboží dle čl. 1 této smlouvy je také dodání veškerých návodů k obsluze, odpovídající technické dokumentace v tištěné a datové podobě, dodání dokladů prokazujících kvalitu a schválení pro užívání v České republice, zejm. dodání příslušných atestů, certifikátů, prohlášení o shodě a návodu k obsluze, to vše v českém jazyce.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76" w:lineRule="auto"/>
        <w:ind w:left="380" w:right="0" w:hanging="380"/>
        <w:jc w:val="both"/>
      </w:pPr>
      <w:r>
        <w:rPr>
          <w:rStyle w:val="CharStyle7"/>
        </w:rPr>
        <w:t xml:space="preserve">Prodávající se zavazuje splnit svůj závazek k dodání zboží podle či. 1 této smlouvy nejpozději do </w:t>
      </w:r>
      <w:r>
        <w:rPr>
          <w:rStyle w:val="CharStyle7"/>
          <w:b/>
          <w:bCs/>
        </w:rPr>
        <w:t xml:space="preserve">10. 12. 2023, </w:t>
      </w:r>
      <w:r>
        <w:rPr>
          <w:rStyle w:val="CharStyle7"/>
        </w:rPr>
        <w:t>a to v místě plnění, čímž se rozumí sídlo kupujícího dle záhlaví ktéto smlouvě. Závazek prodávajícího k dodání zboží podle čl. 1 této smlouvy se pak považuje za splněný dnem předání a převzetí tohoto zboží, prostého všech vad, formou písemného předávacího protokolu, podepsaného oběma smluvními stranami.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86" w:lineRule="auto"/>
        <w:ind w:left="380" w:right="0" w:hanging="380"/>
        <w:jc w:val="both"/>
      </w:pPr>
      <w:r>
        <w:rPr>
          <w:rStyle w:val="CharStyle7"/>
        </w:rPr>
        <w:t>Nebezpečí škody na převáděném zboží a vlastnické právo k tomuto zboží přechází z prodávajícího na kupujícího dnem splnění závazku prodávajícího k dodání tohoto zboží způsobem podle čl. 4 této smlouvy.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40" w:line="290" w:lineRule="auto"/>
        <w:ind w:left="400" w:right="0" w:hanging="400"/>
        <w:jc w:val="left"/>
      </w:pPr>
      <w:r>
        <w:rPr>
          <w:rStyle w:val="CharStyle7"/>
        </w:rPr>
        <w:t>Kupující se zavazuje zaplatit prodávajícímu za předmět koupě a prodeje podle čl. 1 této smlouvy kupní cenu ve výší: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20"/>
        <w:ind w:left="0" w:right="0" w:firstLine="0"/>
        <w:jc w:val="center"/>
      </w:pPr>
      <w:r>
        <w:rPr>
          <w:rStyle w:val="CharStyle7"/>
        </w:rPr>
        <w:t>122 400,- Kč bez DPH, tzn. 148104,- Kč včetně DPH.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86" w:lineRule="auto"/>
        <w:ind w:left="400" w:right="0" w:firstLine="40"/>
        <w:jc w:val="left"/>
      </w:pPr>
      <w:r>
        <w:rPr>
          <w:rStyle w:val="CharStyle7"/>
        </w:rPr>
        <w:t>Součástí této ceny jsou veškeré náklady prodávajícího na splnění jeho závazku k dodání zboží podle této smlouvy. Změna ceny je možná pouze v případě zákonné změny sazby DPH.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/>
        <w:ind w:left="400" w:right="0" w:hanging="400"/>
        <w:jc w:val="both"/>
      </w:pPr>
      <w:r>
        <w:rPr>
          <w:rStyle w:val="CharStyle7"/>
        </w:rPr>
        <w:t xml:space="preserve">Kupní cena podle čl. 6 této smlouvy je splatná na účet prodávajícího po splnění závazku prodávajícího k dodání zboží podle čl. 1 této smlouvy způsobem podle čl. 4 této smlouvy ve lhůtě do 30-ti dnů ode dne doručení jejího písemného vyúčtováni (daňového dokladu/faktury). Faktura bude doručena elektronicky na email: </w:t>
      </w:r>
      <w:r>
        <w:rPr>
          <w:rStyle w:val="CharStyle7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7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7"/>
          <w:shd w:val="clear" w:color="auto" w:fill="000000"/>
          <w:lang w:val="en-US" w:eastAsia="en-US" w:bidi="en-US"/>
        </w:rPr>
        <w:t>.</w:t>
      </w:r>
      <w:r>
        <w:rPr>
          <w:rStyle w:val="CharStyle7"/>
          <w:shd w:val="clear" w:color="auto" w:fill="000000"/>
        </w:rPr>
        <w:t>​...</w:t>
      </w:r>
      <w:r>
        <w:rPr>
          <w:rStyle w:val="CharStyle7"/>
          <w:u w:val="single"/>
          <w:shd w:val="clear" w:color="auto" w:fill="000000"/>
          <w:lang w:val="en-US" w:eastAsia="en-US" w:bidi="en-US"/>
        </w:rPr>
        <w:t>​</w:t>
      </w:r>
      <w:r>
        <w:rPr>
          <w:rStyle w:val="CharStyle7"/>
          <w:spacing w:val="1"/>
          <w:u w:val="single"/>
          <w:shd w:val="clear" w:color="auto" w:fill="000000"/>
          <w:lang w:val="en-US" w:eastAsia="en-US" w:bidi="en-US"/>
        </w:rPr>
        <w:t>.........................</w:t>
      </w:r>
      <w:r>
        <w:rPr>
          <w:rStyle w:val="CharStyle7"/>
          <w:spacing w:val="2"/>
          <w:u w:val="single"/>
          <w:shd w:val="clear" w:color="auto" w:fill="000000"/>
          <w:lang w:val="en-US" w:eastAsia="en-US" w:bidi="en-US"/>
        </w:rPr>
        <w:t>.......</w:t>
      </w:r>
      <w:r>
        <w:rPr>
          <w:rStyle w:val="CharStyle7"/>
          <w:lang w:val="en-US" w:eastAsia="en-US" w:bidi="en-US"/>
        </w:rPr>
        <w:t xml:space="preserve"> </w:t>
      </w:r>
      <w:r>
        <w:rPr>
          <w:rStyle w:val="CharStyle7"/>
        </w:rPr>
        <w:t xml:space="preserve">a musí obsahovat mimo jiné toto číslo veřejné zakázky: </w:t>
      </w:r>
      <w:r>
        <w:rPr>
          <w:rStyle w:val="CharStyle7"/>
          <w:b/>
          <w:bCs/>
        </w:rPr>
        <w:t xml:space="preserve">P23V00001833. </w:t>
      </w:r>
      <w:r>
        <w:rPr>
          <w:rStyle w:val="CharStyle7"/>
        </w:rPr>
        <w:t>Součásti faktury bude rovněž kopie podepsaného předávacího protokolu dle čl. 4 této smlouvy. Nebude-li faktura splňovat veškeré náležitosti daňového dokladu podle zákona a další náležitosti podle této smlouvy, je kupující oprávněn vrátit takovou fakturu prodávajícímu k opravě, přičemž doba její splatnosti začne znovu celá běžet ode dne doručení opraveně faktury kupujícímu.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/>
        <w:ind w:left="400" w:right="0" w:hanging="400"/>
        <w:jc w:val="both"/>
      </w:pPr>
      <w:r>
        <w:rPr>
          <w:rStyle w:val="CharStyle7"/>
        </w:rPr>
        <w:t>S převodem zboží podle čl. 1 této smlouvy je spojena záruka za jeho jakost v trvání 24 měsíců. V rámci této záruky se prodávající zavazuje bezplatně odstraňovat vady na zboží podle čl. 1 této smlouvy, a to ve lhůtě do 1 týdne od doručení příslušné reklamace písemné kupujícího. Písemná forma reklamace se považuje za dodrženou i v případě jejího odeslání elektronickou formou. Vzhledem k povaze zboží podle čl. 1 této smlouvy lze provést odstranění vady jen výměnou vadného kusu zboží za nový bezvadný.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86" w:lineRule="auto"/>
        <w:ind w:left="400" w:right="0" w:hanging="400"/>
        <w:jc w:val="both"/>
      </w:pPr>
      <w:r>
        <w:rPr>
          <w:rStyle w:val="CharStyle7"/>
        </w:rPr>
        <w:t>Pro případ sporu o oprávněnost reklamace se kupujícímu vyhrazuje právo nechat vyhotovit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/>
        <w:ind w:left="400" w:right="0" w:hanging="400"/>
        <w:jc w:val="both"/>
      </w:pPr>
      <w:r>
        <w:rPr>
          <w:rStyle w:val="CharStyle7"/>
        </w:rPr>
        <w:t>Nepfikročí-li prodávající k odstranění vady ve lhůtě podle čl. 8 této smlouvy nebo v něm z důvodů na své straně nepokračuje, a to ani po písemné výzvě ze strany kupujícího, je kupující oprávněn nechat provést toto odstranění třetí osobou na náklady prodávajícího.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76" w:lineRule="auto"/>
        <w:ind w:left="400" w:right="0" w:hanging="400"/>
        <w:jc w:val="both"/>
      </w:pPr>
      <w:r>
        <w:rPr>
          <w:rStyle w:val="CharStyle7"/>
        </w:rPr>
        <w:t>Pro případ prodlení se splněním jeho závazku k dodání zboží ve lhůtě podle čl. 4 této smlouvy a pro případ jeho prodlení s odstraněním reklamované vady ve lhůtě podle čl. 8 této smlouvy se prodávající zavazuje zaplatit kupujícímu smluvní pokutu ve výši 0,1 % z kupní ceny podle čl. 7 této smlouvy za každý započatý den tohoto prodlení.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76" w:lineRule="auto"/>
        <w:ind w:left="400" w:right="0" w:hanging="400"/>
        <w:jc w:val="both"/>
      </w:pPr>
      <w:r>
        <w:rPr>
          <w:rStyle w:val="CharStyle7"/>
        </w:rPr>
        <w:t>Pro případ prodlení kupujícího se zaplacením kupní ceny nebo její části ve lhůtě podle čl. 7 této smlouvy o víc než 2 týdny, je prodávající oprávněn od této smlouvy odstoupit s účinky ex tunc. Stejné právo má kupující, vyskytne-Ii se v době záruky za jakost podle čl. 8 této smlouvy na zboží podle čl. 1 této smlouvy neodstranitelná vada nebo tři a více vad, a i to postupně.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76" w:lineRule="auto"/>
        <w:ind w:left="400" w:right="0" w:hanging="400"/>
        <w:jc w:val="both"/>
      </w:pPr>
      <w:r>
        <w:rPr>
          <w:rStyle w:val="CharStyle7"/>
        </w:rPr>
        <w:t xml:space="preserve">Není-li touto smlouvou ujednáno jinak, řídí se vzájemný právní vztah mezi kupujícím </w:t>
      </w:r>
      <w:r>
        <w:rPr>
          <w:rStyle w:val="CharStyle7"/>
          <w:i/>
          <w:iCs/>
        </w:rPr>
        <w:t>a</w:t>
      </w:r>
      <w:r>
        <w:rPr>
          <w:rStyle w:val="CharStyle7"/>
        </w:rPr>
        <w:t xml:space="preserve"> prodávajícím při realizaci této smlouvy ust. § 2079 a násl. občanského zákoníku. Obě strany přitom vylučují použití ust §1917 až 1918, §1920 až 1922, §1924, § 2099 až 2101, § 2103 až 2105 občanského zákoníku a také obchodních zvyklostí, které jsou svým smyslem nebo účinky totožné nebo obdobné s uvedenými ustanoveními, na jejich právní vztah podle této smlouvy.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76" w:lineRule="auto"/>
        <w:ind w:left="400" w:right="0" w:hanging="400"/>
        <w:jc w:val="both"/>
      </w:pPr>
      <w:r>
        <w:rPr>
          <w:rStyle w:val="CharStyle7"/>
        </w:rPr>
        <w:t>Tato smlouva se uzavírá na základě návrhu na její uzavření ze strany kupujícího. Předpokladem uzavření této smlouvy je její písemná forma a dohoda o jejích podstatných náležitostech, čímž se rozumí celý obsah této smlouvy, jak je uveden v čl. 1 až 19 této smlouvy. Kupující přitom předem vylučuje přijetí tohoto návrhu s dodatkem nebo odchylkou ve smyslu ustanovení § 1740 odst. 3 občanského zákoníku.</w:t>
      </w:r>
      <w:r>
        <w:br w:type="page"/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86" w:lineRule="auto"/>
        <w:ind w:left="420" w:right="0" w:hanging="420"/>
        <w:jc w:val="both"/>
      </w:pPr>
      <w:r>
        <w:rPr>
          <w:rStyle w:val="CharStyle7"/>
        </w:rPr>
        <w:t>Prodávající bere na vědomí a souhlasí s tím, aby kupující uveřejnil tuto smlouvu v registru smluv v souladu s ustanoveními zákona č. 340/2015 Sb.. o registru smluv, ve znění pozdějších předpisů. Smluvní strany se dohodly, že uveřejnění v registru smluv (ISRS) včetně uvedení metadat provede kupující.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86" w:lineRule="auto"/>
        <w:ind w:left="0" w:right="0" w:firstLine="0"/>
        <w:jc w:val="left"/>
      </w:pPr>
      <w:r>
        <w:rPr>
          <w:rStyle w:val="CharStyle7"/>
        </w:rPr>
        <w:t>Tuto smlouvu lze změnit nebo zrušit pouze jinou písemnou dohodou obou smluvních stran.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86" w:lineRule="auto"/>
        <w:ind w:left="420" w:right="0" w:hanging="420"/>
        <w:jc w:val="left"/>
      </w:pPr>
      <w:r>
        <w:rPr>
          <w:rStyle w:val="CharStyle7"/>
        </w:rPr>
        <w:t>Tato smlouva nabývá platnosti dnem jejího uzavření a účinnosti dnem jejího uveřejnění v registru smluv dle čl. 15 této smlouvy.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86" w:lineRule="auto"/>
        <w:ind w:left="420" w:right="0" w:hanging="420"/>
        <w:jc w:val="left"/>
      </w:pPr>
      <w:r>
        <w:rPr>
          <w:rStyle w:val="CharStyle7"/>
        </w:rPr>
        <w:t>Prodávající uděluje kupujícímu svůj výslovný souhlas se zveřejněním podmínek této smlouvy v rozsahu a za podmínek vyplývajících z příslušných právních předpisů (zejména zákona č. 106/1999 Sb., o svobodném přístupu k informacím, v platném znění).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780" w:line="286" w:lineRule="auto"/>
        <w:ind w:left="420" w:right="0" w:hanging="420"/>
        <w:jc w:val="left"/>
      </w:pPr>
      <w:r>
        <w:rPr>
          <w:rStyle w:val="CharStyle7"/>
        </w:rPr>
        <w:t>Dáno ve dvou originálních písemných vyhotoveních, z nichž každá ze smluvních stran obdrží po jednom.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1020" w:right="0" w:firstLine="20"/>
        <w:jc w:val="left"/>
      </w:pPr>
      <w:r>
        <w:rPr>
          <w:rStyle w:val="CharStyle7"/>
        </w:rPr>
        <w:t>V Masojedech dne 16.6.2023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100" w:after="0" w:line="286" w:lineRule="auto"/>
        <w:ind w:left="1020" w:right="0" w:firstLine="20"/>
        <w:jc w:val="left"/>
      </w:pPr>
      <w:r>
        <w:drawing>
          <wp:anchor distT="374650" distB="895985" distL="141605" distR="385445" simplePos="0" relativeHeight="125829378" behindDoc="0" locked="0" layoutInCell="1" allowOverlap="1">
            <wp:simplePos x="0" y="0"/>
            <wp:positionH relativeFrom="page">
              <wp:posOffset>976630</wp:posOffset>
            </wp:positionH>
            <wp:positionV relativeFrom="margin">
              <wp:posOffset>4150995</wp:posOffset>
            </wp:positionV>
            <wp:extent cx="2078990" cy="609600"/>
            <wp:wrapSquare wrapText="bothSides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078990" cy="60960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952500</wp:posOffset>
                </wp:positionH>
                <wp:positionV relativeFrom="margin">
                  <wp:posOffset>3776345</wp:posOffset>
                </wp:positionV>
                <wp:extent cx="682625" cy="179705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82625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CharStyle3"/>
                                <w:color w:val="000000"/>
                                <w:sz w:val="19"/>
                                <w:szCs w:val="19"/>
                              </w:rPr>
                              <w:t>V Brně dne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75.pt;margin-top:297.35000000000002pt;width:53.75pt;height:14.15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CharStyle3"/>
                          <w:color w:val="000000"/>
                          <w:sz w:val="19"/>
                          <w:szCs w:val="19"/>
                        </w:rPr>
                        <w:t>V Brně dne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949325</wp:posOffset>
                </wp:positionH>
                <wp:positionV relativeFrom="margin">
                  <wp:posOffset>4833620</wp:posOffset>
                </wp:positionV>
                <wp:extent cx="1414145" cy="149225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14145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CharStyle3"/>
                                <w:color w:val="000000"/>
                                <w:sz w:val="19"/>
                                <w:szCs w:val="19"/>
                              </w:rPr>
                              <w:t>MUDr. Hana Albrechtová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4.75pt;margin-top:380.60000000000002pt;width:111.35000000000001pt;height:11.75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CharStyle3"/>
                          <w:color w:val="000000"/>
                          <w:sz w:val="19"/>
                          <w:szCs w:val="19"/>
                        </w:rPr>
                        <w:t>MUDr. Hana Albrechtová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1677670</wp:posOffset>
                </wp:positionH>
                <wp:positionV relativeFrom="margin">
                  <wp:posOffset>5068570</wp:posOffset>
                </wp:positionV>
                <wp:extent cx="1645920" cy="585470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45920" cy="585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  <w:w w:val="70"/>
                                <w:sz w:val="24"/>
                                <w:szCs w:val="24"/>
                              </w:rPr>
                              <w:t xml:space="preserve">Zdravotnická záchranná služba </w:t>
                            </w:r>
                            <w:r>
                              <w:rPr>
                                <w:rStyle w:val="CharStyle3"/>
                              </w:rPr>
                              <w:t>Jihomoravského kraje, p.o. Kamenice 798/1 d, 625 00 Brno 21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32.09999999999999pt;margin-top:399.10000000000002pt;width:129.59999999999999pt;height:46.100000000000001pt;z-index:25165773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  <w:w w:val="70"/>
                          <w:sz w:val="24"/>
                          <w:szCs w:val="24"/>
                        </w:rPr>
                        <w:t xml:space="preserve">Zdravotnická záchranná služba </w:t>
                      </w:r>
                      <w:r>
                        <w:rPr>
                          <w:rStyle w:val="CharStyle3"/>
                        </w:rPr>
                        <w:t>Jihomoravského kraje, p.o. Kamenice 798/1 d, 625 00 Brno 21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222375" distB="332105" distL="114300" distR="1967230" simplePos="0" relativeHeight="125829379" behindDoc="0" locked="0" layoutInCell="1" allowOverlap="1">
                <wp:simplePos x="0" y="0"/>
                <wp:positionH relativeFrom="page">
                  <wp:posOffset>949325</wp:posOffset>
                </wp:positionH>
                <wp:positionV relativeFrom="margin">
                  <wp:posOffset>4998720</wp:posOffset>
                </wp:positionV>
                <wp:extent cx="521335" cy="323215"/>
                <wp:wrapSquare wrapText="bothSides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21335" cy="3232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7"/>
                              </w:rPr>
                              <w:t>ředitelka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7"/>
                                <w:b/>
                                <w:bCs/>
                              </w:rPr>
                              <w:t>Kupující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74.75pt;margin-top:393.60000000000002pt;width:41.050000000000004pt;height:25.449999999999999pt;z-index:-125829374;mso-wrap-distance-left:9.pt;mso-wrap-distance-top:96.25pt;mso-wrap-distance-right:154.90000000000001pt;mso-wrap-distance-bottom:26.15000000000000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7"/>
                        </w:rPr>
                        <w:t>ředitelka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7"/>
                          <w:b/>
                          <w:bCs/>
                        </w:rPr>
                        <w:t>Kupující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drawing>
          <wp:anchor distT="0" distB="0" distL="114300" distR="114300" simplePos="0" relativeHeight="125829381" behindDoc="0" locked="0" layoutInCell="1" allowOverlap="1">
            <wp:simplePos x="0" y="0"/>
            <wp:positionH relativeFrom="page">
              <wp:posOffset>4116070</wp:posOffset>
            </wp:positionH>
            <wp:positionV relativeFrom="margin">
              <wp:posOffset>4212590</wp:posOffset>
            </wp:positionV>
            <wp:extent cx="1761490" cy="560705"/>
            <wp:wrapTopAndBottom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761490" cy="56070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Style7"/>
        </w:rPr>
        <w:t>Karel Rieger jednatel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840" w:line="286" w:lineRule="auto"/>
        <w:ind w:left="1020" w:right="0" w:firstLine="20"/>
        <w:jc w:val="left"/>
      </w:pPr>
      <w:r>
        <w:rPr>
          <w:rStyle w:val="CharStyle7"/>
          <w:b/>
          <w:bCs/>
        </w:rPr>
        <w:t>Prodávající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sectPr>
          <w:footerReference w:type="default" r:id="rId9"/>
          <w:footnotePr>
            <w:pos w:val="pageBottom"/>
            <w:numFmt w:val="decimal"/>
            <w:numRestart w:val="continuous"/>
          </w:footnotePr>
          <w:pgSz w:w="11900" w:h="16840"/>
          <w:pgMar w:top="353" w:right="646" w:bottom="1239" w:left="1495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7"/>
          <w:b/>
          <w:bCs/>
        </w:rPr>
        <w:t>Příloha č. 1 Specifikace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rStyle w:val="CharStyle21"/>
          <w:b/>
          <w:bCs/>
        </w:rPr>
        <w:t>Příloha č. 1 Specifikace</w:t>
      </w:r>
    </w:p>
    <w:tbl>
      <w:tblPr>
        <w:tblOverlap w:val="never"/>
        <w:jc w:val="left"/>
        <w:tblLayout w:type="fixed"/>
      </w:tblPr>
      <w:tblGrid>
        <w:gridCol w:w="4882"/>
        <w:gridCol w:w="3998"/>
      </w:tblGrid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  <w:b/>
                <w:bCs/>
              </w:rPr>
              <w:t>i Model - typové/výrobní označení: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pos="3911" w:val="left"/>
              </w:tabs>
              <w:bidi w:val="0"/>
              <w:spacing w:before="0" w:after="0" w:line="240" w:lineRule="auto"/>
              <w:ind w:left="1420" w:right="0" w:firstLine="0"/>
              <w:jc w:val="both"/>
            </w:pPr>
            <w:r>
              <w:rPr>
                <w:rStyle w:val="CharStyle15"/>
              </w:rPr>
              <w:t>KANGOOFIX</w:t>
              <w:tab/>
              <w:t>: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  <w:b/>
                <w:bCs/>
              </w:rPr>
              <w:t>Výrobce: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FERNO ABGERMA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  <w:b/>
                <w:bCs/>
              </w:rPr>
              <w:t>Cena za ks bez DPH: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13600,-</w:t>
            </w: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rStyle w:val="CharStyle15"/>
                <w:b/>
                <w:bCs/>
              </w:rPr>
              <w:t>Cena za ks vč. DPH: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pos="3875" w:val="left"/>
              </w:tabs>
              <w:bidi w:val="0"/>
              <w:spacing w:before="0" w:after="0" w:line="240" w:lineRule="auto"/>
              <w:ind w:left="1600" w:right="0" w:firstLine="0"/>
              <w:jc w:val="left"/>
            </w:pPr>
            <w:r>
              <w:rPr>
                <w:rStyle w:val="CharStyle15"/>
              </w:rPr>
              <w:t>16456,-</w:t>
              <w:tab/>
              <w:t>’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  <w:b/>
                <w:bCs/>
              </w:rPr>
              <w:t>Počet kusů: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  <w:b/>
                <w:bCs/>
              </w:rPr>
              <w:t>9</w:t>
            </w:r>
          </w:p>
        </w:tc>
      </w:tr>
    </w:tbl>
    <w:p>
      <w:pPr>
        <w:widowControl w:val="0"/>
        <w:spacing w:after="479"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7"/>
        </w:rPr>
        <w:t>Neonatologický zádržný systém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left"/>
      </w:pPr>
      <w:r>
        <w:rPr>
          <w:rStyle w:val="CharStyle7"/>
        </w:rPr>
        <w:t>Neonatologický zádržný systém k bezpečnému upevnění novorozence během přepravy sanitkou, umožňuje dítěti cestovat se svým rodičem. Fixace novorozence k matce, fixace matky k nosítkám - systém se upevňuje na bezpečnostní pásy matky. Tím se nejen eliminuje nutnost použití dvou vozidel a členů posádky pro přepravu, ale také zajišťuje společná cesta dítěte a rodiče.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rStyle w:val="CharStyle7"/>
        </w:rPr>
        <w:t>PARAMETRY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5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rStyle w:val="CharStyle7"/>
        </w:rPr>
        <w:t>Bezpečně připevňuje novorozence k matce a neustále udržuje těsný kontakt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5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rStyle w:val="CharStyle7"/>
        </w:rPr>
        <w:t>5bodový vnější postroj se připevňuje k postroji záchranných nosítek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5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rStyle w:val="CharStyle7"/>
        </w:rPr>
        <w:t>Systém rychlého uvolnění umožňuje rychlý přístup pro profesionály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5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rStyle w:val="CharStyle7"/>
        </w:rPr>
        <w:t>Režim „Lícem nahoru“ umožňuje profesionálům rychle sledovat novorozence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5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rStyle w:val="CharStyle7"/>
        </w:rPr>
        <w:t>Vnitřní postroj a hřejivý potah zajišťují prodyšnost a pohodlí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5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rStyle w:val="CharStyle7"/>
        </w:rPr>
        <w:t>Útulný design kukly a integrovaný krýt lebky udržuje dítě v teple a bezpečí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5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rStyle w:val="CharStyle7"/>
        </w:rPr>
        <w:t>Materiál klinicky testován, aby byla zaručena bezpečnost pro citlivou dětskou pokožku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5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rStyle w:val="CharStyle7"/>
        </w:rPr>
        <w:t>Lehký a snadno skladovatelný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5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rStyle w:val="CharStyle7"/>
        </w:rPr>
        <w:t>Snadně čištění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5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rStyle w:val="CharStyle7"/>
        </w:rPr>
        <w:t>Nízká skladovací hmotnost -1 kg a snadné skladování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5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rStyle w:val="CharStyle7"/>
        </w:rPr>
        <w:t>Rozměry: délka 33cm, šířka 23cm, výška 5cm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5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rStyle w:val="CharStyle7"/>
        </w:rPr>
        <w:t>Kapacita hmotnosti kojence: 1,6 kg - 5,0 kg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5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rStyle w:val="CharStyle7"/>
        </w:rPr>
        <w:t>Barva: šedá, červená a černá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5" w:val="left"/>
        </w:tabs>
        <w:bidi w:val="0"/>
        <w:spacing w:before="0" w:after="480" w:line="240" w:lineRule="auto"/>
        <w:ind w:left="0" w:right="0" w:firstLine="380"/>
        <w:jc w:val="left"/>
      </w:pPr>
      <w:r>
        <w:rPr>
          <w:rStyle w:val="CharStyle7"/>
        </w:rPr>
        <w:t>Kompatibilita s nosítky Ferno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rStyle w:val="CharStyle7"/>
        </w:rPr>
        <w:t>CERTIFIKACE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"/>
        </w:rPr>
        <w:t>EN 1789 a TSFS 2010:2 (10 a 20G)</w:t>
      </w:r>
    </w:p>
    <w:sectPr>
      <w:footnotePr>
        <w:pos w:val="pageBottom"/>
        <w:numFmt w:val="decimal"/>
        <w:numRestart w:val="continuous"/>
      </w:footnotePr>
      <w:pgSz w:w="11900" w:h="16840"/>
      <w:pgMar w:top="1425" w:right="667" w:bottom="1425" w:left="1475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964565</wp:posOffset>
              </wp:positionH>
              <wp:positionV relativeFrom="page">
                <wp:posOffset>10093325</wp:posOffset>
              </wp:positionV>
              <wp:extent cx="2480945" cy="128270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48094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12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VZ 37_2023 Neonatologický zádržný systém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75.950000000000003pt;margin-top:794.75pt;width:195.34999999999999pt;height:10.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12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VZ 37_2023 Neonatologický zádržný systém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3363D3"/>
      <w:sz w:val="18"/>
      <w:szCs w:val="18"/>
      <w:u w:val="none"/>
    </w:rPr>
  </w:style>
  <w:style w:type="character" w:customStyle="1" w:styleId="CharStyle7">
    <w:name w:val="Základní text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0">
    <w:name w:val="Nadpis #1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CharStyle12">
    <w:name w:val="Záhlaví nebo zápatí (2)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">
    <w:name w:val="Jiné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">
    <w:name w:val="Nadpis #2_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1">
    <w:name w:val="Titulek tabulky_"/>
    <w:basedOn w:val="DefaultParagraphFont"/>
    <w:link w:val="Style2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auto"/>
      <w:spacing w:line="221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3363D3"/>
      <w:sz w:val="18"/>
      <w:szCs w:val="18"/>
      <w:u w:val="none"/>
    </w:rPr>
  </w:style>
  <w:style w:type="paragraph" w:customStyle="1" w:styleId="Style6">
    <w:name w:val="Základní text"/>
    <w:basedOn w:val="Normal"/>
    <w:link w:val="CharStyle7"/>
    <w:pPr>
      <w:widowControl w:val="0"/>
      <w:shd w:val="clear" w:color="auto" w:fill="auto"/>
      <w:spacing w:after="220" w:line="283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9">
    <w:name w:val="Nadpis #1"/>
    <w:basedOn w:val="Normal"/>
    <w:link w:val="CharStyle10"/>
    <w:pPr>
      <w:widowControl w:val="0"/>
      <w:shd w:val="clear" w:color="auto" w:fill="auto"/>
      <w:spacing w:after="100"/>
      <w:ind w:right="160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paragraph" w:customStyle="1" w:styleId="Style11">
    <w:name w:val="Záhlaví nebo zápatí (2)"/>
    <w:basedOn w:val="Normal"/>
    <w:link w:val="CharStyle12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4">
    <w:name w:val="Jiné"/>
    <w:basedOn w:val="Normal"/>
    <w:link w:val="CharStyle15"/>
    <w:pPr>
      <w:widowControl w:val="0"/>
      <w:shd w:val="clear" w:color="auto" w:fill="auto"/>
      <w:spacing w:after="220" w:line="283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8">
    <w:name w:val="Nadpis #2"/>
    <w:basedOn w:val="Normal"/>
    <w:link w:val="CharStyle19"/>
    <w:pPr>
      <w:widowControl w:val="0"/>
      <w:shd w:val="clear" w:color="auto" w:fill="auto"/>
      <w:spacing w:after="220" w:line="300" w:lineRule="auto"/>
      <w:jc w:val="center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0">
    <w:name w:val="Titulek tabulky"/>
    <w:basedOn w:val="Normal"/>
    <w:link w:val="CharStyle21"/>
    <w:pPr>
      <w:widowControl w:val="0"/>
      <w:shd w:val="clear" w:color="auto" w:fill="auto"/>
    </w:pPr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footer" Target="footer1.xml"/></Relationships>
</file>