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FA132" w14:textId="77777777" w:rsidR="008A533F" w:rsidRDefault="006D00EA">
      <w:pPr>
        <w:pStyle w:val="Nadpis2"/>
        <w:spacing w:before="88"/>
        <w:ind w:left="323" w:firstLine="0"/>
      </w:pPr>
      <w:bookmarkStart w:id="0" w:name="Nakladatelství_C._H._Beck,_s.r.o.,"/>
      <w:bookmarkEnd w:id="0"/>
      <w:r>
        <w:t>Nakladatelství C. H. Beck,</w:t>
      </w:r>
      <w:r>
        <w:rPr>
          <w:spacing w:val="-18"/>
        </w:rPr>
        <w:t xml:space="preserve"> </w:t>
      </w:r>
      <w:r>
        <w:t>s.r.o.,</w:t>
      </w:r>
    </w:p>
    <w:p w14:paraId="42F7F4B3" w14:textId="77777777" w:rsidR="008A533F" w:rsidRDefault="006D00EA">
      <w:pPr>
        <w:pStyle w:val="Zkladntext"/>
        <w:ind w:left="323" w:right="5292"/>
      </w:pPr>
      <w:r>
        <w:t>se sídlem Jungmannova 750/34, Praha 1, PSČ 110 00, IČ: 24146978, DIČ:</w:t>
      </w:r>
      <w:r>
        <w:rPr>
          <w:spacing w:val="-4"/>
        </w:rPr>
        <w:t xml:space="preserve"> </w:t>
      </w:r>
      <w:r>
        <w:t>CZ24146978,</w:t>
      </w:r>
    </w:p>
    <w:p w14:paraId="3D73427B" w14:textId="77777777" w:rsidR="008A533F" w:rsidRDefault="006D00EA">
      <w:pPr>
        <w:pStyle w:val="Zkladntext"/>
        <w:spacing w:before="11" w:line="232" w:lineRule="auto"/>
        <w:ind w:left="321" w:right="6276" w:firstLine="2"/>
      </w:pPr>
      <w:r>
        <w:pict w14:anchorId="7D5E8398">
          <v:rect id="_x0000_s1058" style="position:absolute;left:0;text-align:left;margin-left:130.2pt;margin-top:13.45pt;width:247.45pt;height:14.75pt;z-index:-251942912;mso-position-horizontal-relative:page" fillcolor="black" stroked="f">
            <w10:wrap anchorx="page"/>
          </v:rect>
        </w:pict>
      </w:r>
      <w:r>
        <w:t xml:space="preserve">zastoupena Ing. Jiřím </w:t>
      </w:r>
      <w:proofErr w:type="spellStart"/>
      <w:r>
        <w:t>Holnou</w:t>
      </w:r>
      <w:proofErr w:type="spellEnd"/>
      <w:r>
        <w:t>, jednatelem, bankovní spojení:</w:t>
      </w:r>
    </w:p>
    <w:p w14:paraId="09CA3F28" w14:textId="77777777" w:rsidR="008A533F" w:rsidRDefault="006D00EA">
      <w:pPr>
        <w:pStyle w:val="Zkladntext"/>
        <w:spacing w:before="6"/>
        <w:ind w:left="321" w:right="2241"/>
        <w:rPr>
          <w:b/>
        </w:rPr>
      </w:pPr>
      <w:r>
        <w:t xml:space="preserve">zapsané v obchodním rejstříku vedeném Městským soudem v Praze, odd. C, </w:t>
      </w:r>
      <w:proofErr w:type="spellStart"/>
      <w:r>
        <w:t>vl</w:t>
      </w:r>
      <w:proofErr w:type="spellEnd"/>
      <w:r>
        <w:t xml:space="preserve">. 182960, dále jen </w:t>
      </w:r>
      <w:r>
        <w:rPr>
          <w:b/>
        </w:rPr>
        <w:t>„poskytovatel“</w:t>
      </w:r>
    </w:p>
    <w:p w14:paraId="2EE5862C" w14:textId="77777777" w:rsidR="008A533F" w:rsidRDefault="008A533F">
      <w:pPr>
        <w:pStyle w:val="Zkladntext"/>
        <w:spacing w:before="6"/>
        <w:rPr>
          <w:b/>
          <w:sz w:val="19"/>
        </w:rPr>
      </w:pPr>
    </w:p>
    <w:p w14:paraId="36591901" w14:textId="77777777" w:rsidR="008A533F" w:rsidRDefault="006D00EA">
      <w:pPr>
        <w:pStyle w:val="Zkladntext"/>
        <w:ind w:left="320"/>
      </w:pPr>
      <w:r>
        <w:t>a</w:t>
      </w:r>
    </w:p>
    <w:p w14:paraId="13211F19" w14:textId="77777777" w:rsidR="008A533F" w:rsidRDefault="008A533F">
      <w:pPr>
        <w:pStyle w:val="Zkladntext"/>
        <w:spacing w:before="8"/>
        <w:rPr>
          <w:sz w:val="19"/>
        </w:rPr>
      </w:pPr>
    </w:p>
    <w:p w14:paraId="78B2AC7D" w14:textId="77777777" w:rsidR="008A533F" w:rsidRDefault="006D00EA">
      <w:pPr>
        <w:pStyle w:val="Nadpis2"/>
        <w:spacing w:before="1"/>
        <w:ind w:left="320" w:firstLine="0"/>
      </w:pPr>
      <w:bookmarkStart w:id="1" w:name="Krajský_soud_v_Ústí_nad_Labem,"/>
      <w:bookmarkEnd w:id="1"/>
      <w:r>
        <w:t>Krajský soud v Ústí nad Labem,</w:t>
      </w:r>
    </w:p>
    <w:p w14:paraId="79903044" w14:textId="77777777" w:rsidR="008A533F" w:rsidRDefault="006D00EA">
      <w:pPr>
        <w:pStyle w:val="Zkladntext"/>
        <w:spacing w:before="21" w:line="259" w:lineRule="auto"/>
        <w:ind w:left="320" w:right="4085"/>
      </w:pPr>
      <w:r>
        <w:t>se sídlem Národního odboje 1274/26, Ústí nad Labem, PSČ 400 92, IČ: 00215708, DIČ</w:t>
      </w:r>
      <w:proofErr w:type="gramStart"/>
      <w:r>
        <w:t>: ,</w:t>
      </w:r>
      <w:proofErr w:type="gramEnd"/>
    </w:p>
    <w:p w14:paraId="2B98A075" w14:textId="77777777" w:rsidR="008A533F" w:rsidRDefault="006D00EA">
      <w:pPr>
        <w:pStyle w:val="Zkladntext"/>
        <w:spacing w:before="1"/>
        <w:ind w:left="320" w:right="4223"/>
        <w:rPr>
          <w:b/>
        </w:rPr>
      </w:pPr>
      <w:r>
        <w:t>Zastoupena předsedkyní krajsk</w:t>
      </w:r>
      <w:r>
        <w:t xml:space="preserve">ého soudu JUDr. Lenkou </w:t>
      </w:r>
      <w:proofErr w:type="spellStart"/>
      <w:r>
        <w:t>Ceplovou</w:t>
      </w:r>
      <w:proofErr w:type="spellEnd"/>
      <w:r>
        <w:t xml:space="preserve"> dále jen </w:t>
      </w:r>
      <w:r>
        <w:rPr>
          <w:b/>
        </w:rPr>
        <w:t>„uživatel“</w:t>
      </w:r>
    </w:p>
    <w:p w14:paraId="195076CF" w14:textId="77777777" w:rsidR="008A533F" w:rsidRDefault="008A533F">
      <w:pPr>
        <w:pStyle w:val="Zkladntext"/>
        <w:spacing w:before="11"/>
        <w:rPr>
          <w:b/>
          <w:sz w:val="21"/>
        </w:rPr>
      </w:pPr>
    </w:p>
    <w:p w14:paraId="3EEA8F8F" w14:textId="77777777" w:rsidR="008A533F" w:rsidRDefault="006D00EA">
      <w:pPr>
        <w:pStyle w:val="Zkladntext"/>
        <w:ind w:left="320" w:right="377"/>
      </w:pPr>
      <w:r>
        <w:t xml:space="preserve">uzavírají tuto smlouvu, která v plném rozsahu </w:t>
      </w:r>
      <w:proofErr w:type="gramStart"/>
      <w:r>
        <w:t>ruší</w:t>
      </w:r>
      <w:proofErr w:type="gramEnd"/>
      <w:r>
        <w:t xml:space="preserve"> a nahrazuje smlouvu uzavřenou dne 14. 12. 2009 ve znění pozdějších dodatků:</w:t>
      </w:r>
    </w:p>
    <w:p w14:paraId="479228CE" w14:textId="77777777" w:rsidR="008A533F" w:rsidRDefault="008A533F">
      <w:pPr>
        <w:pStyle w:val="Zkladntext"/>
        <w:spacing w:before="5"/>
        <w:rPr>
          <w:sz w:val="32"/>
        </w:rPr>
      </w:pPr>
    </w:p>
    <w:p w14:paraId="4D344818" w14:textId="77777777" w:rsidR="008A533F" w:rsidRDefault="006D00EA">
      <w:pPr>
        <w:pStyle w:val="Nadpis2"/>
        <w:numPr>
          <w:ilvl w:val="0"/>
          <w:numId w:val="4"/>
        </w:numPr>
        <w:tabs>
          <w:tab w:val="left" w:pos="746"/>
        </w:tabs>
        <w:spacing w:before="1" w:line="265" w:lineRule="exact"/>
        <w:ind w:hanging="426"/>
        <w:jc w:val="both"/>
      </w:pPr>
      <w:bookmarkStart w:id="2" w:name="1._Úvodní_ustanovení"/>
      <w:bookmarkEnd w:id="2"/>
      <w:r>
        <w:t>Úvodní ustanovení</w:t>
      </w:r>
    </w:p>
    <w:p w14:paraId="69BE91B7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ind w:right="114"/>
        <w:jc w:val="both"/>
      </w:pPr>
      <w:r>
        <w:t>Poskytovatel</w:t>
      </w:r>
      <w:r>
        <w:rPr>
          <w:spacing w:val="-6"/>
        </w:rPr>
        <w:t xml:space="preserve"> </w:t>
      </w:r>
      <w:r>
        <w:t>provozuje</w:t>
      </w:r>
      <w:r>
        <w:rPr>
          <w:spacing w:val="-5"/>
        </w:rPr>
        <w:t xml:space="preserve"> </w:t>
      </w:r>
      <w:r>
        <w:t>právní</w:t>
      </w:r>
      <w:r>
        <w:rPr>
          <w:spacing w:val="-6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systém</w:t>
      </w:r>
      <w:r>
        <w:rPr>
          <w:spacing w:val="-4"/>
        </w:rPr>
        <w:t xml:space="preserve"> </w:t>
      </w:r>
      <w:r>
        <w:t>Beck-online,</w:t>
      </w:r>
      <w:r>
        <w:rPr>
          <w:spacing w:val="-5"/>
        </w:rPr>
        <w:t xml:space="preserve"> </w:t>
      </w:r>
      <w:r>
        <w:t>který</w:t>
      </w:r>
      <w:r>
        <w:rPr>
          <w:spacing w:val="-7"/>
        </w:rPr>
        <w:t xml:space="preserve"> </w:t>
      </w:r>
      <w:r>
        <w:t>sestává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jednotlivých</w:t>
      </w:r>
      <w:r>
        <w:rPr>
          <w:spacing w:val="-6"/>
        </w:rPr>
        <w:t xml:space="preserve"> </w:t>
      </w:r>
      <w:r>
        <w:t>poskytovatelem vytvořených databází odborných informací a vyhledávacího programového vybavení (software) a který je přístupný</w:t>
      </w:r>
      <w:r>
        <w:rPr>
          <w:spacing w:val="-4"/>
        </w:rPr>
        <w:t xml:space="preserve"> </w:t>
      </w:r>
      <w:r>
        <w:t>prostřednictvím</w:t>
      </w:r>
      <w:r>
        <w:rPr>
          <w:spacing w:val="-9"/>
        </w:rPr>
        <w:t xml:space="preserve"> </w:t>
      </w:r>
      <w:r>
        <w:t>sítě</w:t>
      </w:r>
      <w:r>
        <w:rPr>
          <w:spacing w:val="-6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(online)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internetové</w:t>
      </w:r>
      <w:r>
        <w:rPr>
          <w:spacing w:val="-9"/>
        </w:rPr>
        <w:t xml:space="preserve"> </w:t>
      </w:r>
      <w:r>
        <w:t>adrese</w:t>
      </w:r>
      <w:r>
        <w:rPr>
          <w:color w:val="0561C1"/>
          <w:spacing w:val="-9"/>
        </w:rPr>
        <w:t xml:space="preserve"> </w:t>
      </w:r>
      <w:hyperlink r:id="rId7">
        <w:r>
          <w:rPr>
            <w:color w:val="0561C1"/>
            <w:u w:val="single" w:color="0561C1"/>
          </w:rPr>
          <w:t>www.beck-online.cz</w:t>
        </w:r>
        <w:r>
          <w:rPr>
            <w:color w:val="0561C1"/>
            <w:spacing w:val="-8"/>
          </w:rPr>
          <w:t xml:space="preserve"> </w:t>
        </w:r>
      </w:hyperlink>
      <w:r>
        <w:t>(dále</w:t>
      </w:r>
      <w:r>
        <w:rPr>
          <w:spacing w:val="-6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rPr>
          <w:b/>
        </w:rPr>
        <w:t>„</w:t>
      </w:r>
      <w:proofErr w:type="gramStart"/>
      <w:r>
        <w:rPr>
          <w:b/>
        </w:rPr>
        <w:t>Beck- online</w:t>
      </w:r>
      <w:proofErr w:type="gramEnd"/>
      <w:r>
        <w:rPr>
          <w:b/>
        </w:rPr>
        <w:t>“</w:t>
      </w:r>
      <w:r>
        <w:t>).</w:t>
      </w:r>
    </w:p>
    <w:p w14:paraId="4EE900E2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ind w:left="747" w:right="111"/>
        <w:jc w:val="both"/>
      </w:pPr>
      <w:r>
        <w:t xml:space="preserve">Právní vztahy mezi uživatelem a poskytovatelem se řídí touto smlouvou a všeobecnými obchodními podmínkami poskytovatele, verze 5/2022 (dále jen </w:t>
      </w:r>
      <w:r>
        <w:rPr>
          <w:b/>
        </w:rPr>
        <w:t>„VOP“</w:t>
      </w:r>
      <w:r>
        <w:t xml:space="preserve">) a „Informacemi </w:t>
      </w:r>
      <w:r>
        <w:t xml:space="preserve">o zpracování osobních údajů“ (dále jen </w:t>
      </w:r>
      <w:r>
        <w:rPr>
          <w:b/>
        </w:rPr>
        <w:t>„IZOÚ“</w:t>
      </w:r>
      <w:r>
        <w:t>). Ve VOP jsou mj. upraveny technické podmínky pro přístup do Beck-online, garantovaná dostupnost Beck-online, odpovědnost za užití obsahu Beck-online, možnost odstoupení od smlouvy, rozhodné právo a způsob řeše</w:t>
      </w:r>
      <w:r>
        <w:t>ní sporů. Obchodní zvyklosti se nepoužijí. Uživatel prohlašuje, že se před uzavřením</w:t>
      </w:r>
      <w:r>
        <w:rPr>
          <w:spacing w:val="-3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 s</w:t>
      </w:r>
      <w:r>
        <w:rPr>
          <w:spacing w:val="-7"/>
        </w:rPr>
        <w:t xml:space="preserve"> </w:t>
      </w:r>
      <w:r>
        <w:t>VOP řádně</w:t>
      </w:r>
      <w:r>
        <w:rPr>
          <w:spacing w:val="-3"/>
        </w:rPr>
        <w:t xml:space="preserve"> </w:t>
      </w:r>
      <w:r>
        <w:t>seznámil.</w:t>
      </w:r>
      <w:r>
        <w:rPr>
          <w:spacing w:val="-1"/>
        </w:rPr>
        <w:t xml:space="preserve"> </w:t>
      </w:r>
      <w:r>
        <w:t>VOP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dostupné na</w:t>
      </w:r>
      <w:r>
        <w:rPr>
          <w:spacing w:val="-2"/>
        </w:rPr>
        <w:t xml:space="preserve"> </w:t>
      </w:r>
      <w:r>
        <w:t>internetové stránce</w:t>
      </w:r>
      <w:r>
        <w:rPr>
          <w:spacing w:val="-27"/>
        </w:rPr>
        <w:t xml:space="preserve"> </w:t>
      </w:r>
      <w:r>
        <w:t>Beck-online.</w:t>
      </w:r>
    </w:p>
    <w:p w14:paraId="5BD3AB0D" w14:textId="77777777" w:rsidR="008A533F" w:rsidRDefault="008A533F">
      <w:pPr>
        <w:pStyle w:val="Zkladntext"/>
        <w:spacing w:before="8"/>
        <w:rPr>
          <w:sz w:val="21"/>
        </w:rPr>
      </w:pPr>
    </w:p>
    <w:p w14:paraId="62560077" w14:textId="77777777" w:rsidR="008A533F" w:rsidRDefault="006D00EA">
      <w:pPr>
        <w:pStyle w:val="Nadpis2"/>
        <w:numPr>
          <w:ilvl w:val="0"/>
          <w:numId w:val="4"/>
        </w:numPr>
        <w:tabs>
          <w:tab w:val="left" w:pos="749"/>
        </w:tabs>
        <w:spacing w:before="1" w:line="268" w:lineRule="exact"/>
        <w:ind w:left="748" w:hanging="429"/>
        <w:jc w:val="both"/>
      </w:pPr>
      <w:bookmarkStart w:id="3" w:name="2._Předmět_smlouvy"/>
      <w:bookmarkEnd w:id="3"/>
      <w:r>
        <w:t>Předmět</w:t>
      </w:r>
      <w:r>
        <w:rPr>
          <w:spacing w:val="-3"/>
        </w:rPr>
        <w:t xml:space="preserve"> </w:t>
      </w:r>
      <w:r>
        <w:t>smlouvy</w:t>
      </w:r>
    </w:p>
    <w:p w14:paraId="185CC0E8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spacing w:line="268" w:lineRule="exact"/>
        <w:ind w:left="748" w:hanging="429"/>
        <w:jc w:val="both"/>
      </w:pPr>
      <w:r>
        <w:t>Poskytovatel</w:t>
      </w:r>
      <w:r>
        <w:rPr>
          <w:spacing w:val="35"/>
        </w:rPr>
        <w:t xml:space="preserve"> </w:t>
      </w:r>
      <w:r>
        <w:t>poskytuje</w:t>
      </w:r>
      <w:r>
        <w:rPr>
          <w:spacing w:val="36"/>
        </w:rPr>
        <w:t xml:space="preserve"> </w:t>
      </w:r>
      <w:r>
        <w:t>uživateli</w:t>
      </w:r>
      <w:r>
        <w:rPr>
          <w:spacing w:val="32"/>
        </w:rPr>
        <w:t xml:space="preserve"> </w:t>
      </w:r>
      <w:r>
        <w:t>právo</w:t>
      </w:r>
      <w:r>
        <w:rPr>
          <w:spacing w:val="39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přístup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Beck-online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právo</w:t>
      </w:r>
      <w:r>
        <w:rPr>
          <w:spacing w:val="35"/>
        </w:rPr>
        <w:t xml:space="preserve"> </w:t>
      </w:r>
      <w:r>
        <w:t>Beck-online</w:t>
      </w:r>
      <w:r>
        <w:rPr>
          <w:spacing w:val="39"/>
        </w:rPr>
        <w:t xml:space="preserve"> </w:t>
      </w:r>
      <w:r>
        <w:t>užívat</w:t>
      </w:r>
      <w:r>
        <w:rPr>
          <w:spacing w:val="35"/>
        </w:rPr>
        <w:t xml:space="preserve"> </w:t>
      </w:r>
      <w:r>
        <w:t>(dále</w:t>
      </w:r>
      <w:r>
        <w:rPr>
          <w:spacing w:val="34"/>
        </w:rPr>
        <w:t xml:space="preserve"> </w:t>
      </w:r>
      <w:r>
        <w:t>jen</w:t>
      </w:r>
    </w:p>
    <w:p w14:paraId="3961386F" w14:textId="77777777" w:rsidR="008A533F" w:rsidRDefault="006D00EA">
      <w:pPr>
        <w:pStyle w:val="Zkladntext"/>
        <w:ind w:left="744" w:right="116"/>
        <w:jc w:val="both"/>
      </w:pPr>
      <w:r>
        <w:rPr>
          <w:b/>
        </w:rPr>
        <w:t>„licence“</w:t>
      </w:r>
      <w:r>
        <w:t>) a uživatel se zavazuje za užívání Beck-online platit poskytovateli odměnu stanovenou v Příloze, která je nedílnou součástí této smlouvy.</w:t>
      </w:r>
    </w:p>
    <w:p w14:paraId="61BEBDFC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5"/>
        </w:tabs>
        <w:ind w:right="114"/>
        <w:jc w:val="both"/>
      </w:pPr>
      <w:r>
        <w:t xml:space="preserve">Uživatel je oprávněn k Beck-online přistupovat a užívat ho </w:t>
      </w:r>
      <w:r>
        <w:t>výlučně prostřednictvím uživatelského účtu zřizovaného</w:t>
      </w:r>
      <w:r>
        <w:rPr>
          <w:spacing w:val="35"/>
        </w:rPr>
        <w:t xml:space="preserve"> </w:t>
      </w:r>
      <w:r>
        <w:t>uživateli</w:t>
      </w:r>
      <w:r>
        <w:rPr>
          <w:spacing w:val="31"/>
        </w:rPr>
        <w:t xml:space="preserve"> </w:t>
      </w:r>
      <w:r>
        <w:t>poskytovatelem,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základě</w:t>
      </w:r>
      <w:r>
        <w:rPr>
          <w:spacing w:val="32"/>
        </w:rPr>
        <w:t xml:space="preserve"> </w:t>
      </w:r>
      <w:r>
        <w:t>uživatelského</w:t>
      </w:r>
      <w:r>
        <w:rPr>
          <w:spacing w:val="34"/>
        </w:rPr>
        <w:t xml:space="preserve"> </w:t>
      </w:r>
      <w:r>
        <w:t>jména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hesla</w:t>
      </w:r>
      <w:r>
        <w:rPr>
          <w:spacing w:val="31"/>
        </w:rPr>
        <w:t xml:space="preserve"> </w:t>
      </w:r>
      <w:r>
        <w:t>uživatele</w:t>
      </w:r>
      <w:r>
        <w:rPr>
          <w:spacing w:val="32"/>
        </w:rPr>
        <w:t xml:space="preserve"> </w:t>
      </w:r>
      <w:r>
        <w:t>(dále</w:t>
      </w:r>
      <w:r>
        <w:rPr>
          <w:spacing w:val="32"/>
        </w:rPr>
        <w:t xml:space="preserve"> </w:t>
      </w:r>
      <w:r>
        <w:t>jen</w:t>
      </w:r>
    </w:p>
    <w:p w14:paraId="6D8B4735" w14:textId="77777777" w:rsidR="008A533F" w:rsidRDefault="006D00EA">
      <w:pPr>
        <w:pStyle w:val="Zkladntext"/>
        <w:ind w:left="743" w:right="112"/>
        <w:jc w:val="both"/>
      </w:pPr>
      <w:r>
        <w:rPr>
          <w:b/>
        </w:rPr>
        <w:t>„uživatelský</w:t>
      </w:r>
      <w:r>
        <w:rPr>
          <w:b/>
          <w:spacing w:val="-4"/>
        </w:rPr>
        <w:t xml:space="preserve"> </w:t>
      </w:r>
      <w:r>
        <w:rPr>
          <w:b/>
        </w:rPr>
        <w:t>účet“</w:t>
      </w:r>
      <w:r>
        <w:t>).</w:t>
      </w:r>
      <w:r>
        <w:rPr>
          <w:spacing w:val="-6"/>
        </w:rPr>
        <w:t xml:space="preserve"> </w:t>
      </w:r>
      <w:r>
        <w:t>Uživatelská</w:t>
      </w:r>
      <w:r>
        <w:rPr>
          <w:spacing w:val="-5"/>
        </w:rPr>
        <w:t xml:space="preserve"> </w:t>
      </w:r>
      <w:r>
        <w:t>jména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hesla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budou</w:t>
      </w:r>
      <w:r>
        <w:rPr>
          <w:spacing w:val="-6"/>
        </w:rPr>
        <w:t xml:space="preserve"> </w:t>
      </w:r>
      <w:r>
        <w:t>rozeslána</w:t>
      </w:r>
      <w:r>
        <w:rPr>
          <w:spacing w:val="-7"/>
        </w:rPr>
        <w:t xml:space="preserve"> </w:t>
      </w:r>
      <w:r>
        <w:t>všem</w:t>
      </w:r>
      <w:r>
        <w:rPr>
          <w:spacing w:val="-5"/>
        </w:rPr>
        <w:t xml:space="preserve"> </w:t>
      </w:r>
      <w:r>
        <w:t>zaměstnancům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soudcům,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bez ohledu na již existující uživatelská práva. Jmenný seznam společně s e-mailovými adresami uživatelů bude dodán uživatelem před podpisem smlouvy. O případné změně (zrušení nebo zřízení) rozsahu uživatelských práv je uživatel povinen poskytovatele bezodk</w:t>
      </w:r>
      <w:r>
        <w:t>ladně písemnou formou informovat. Osoby, které mohou za jednotlivé soudy takto činit jsou uvedeny v příloze. Oprávněné osoby mohou upravovat uživatelská práva pouze v rozsahu svého okresního soudu. V opačném případě nesmí být poskytovatelem změna provedena</w:t>
      </w:r>
      <w:r>
        <w:t>. To neplatí pro oprávněné osoby Krajského soudu v Ústí nad Labem a Krajského soudu v Ústí nad Labem – pobočka v</w:t>
      </w:r>
      <w:r>
        <w:rPr>
          <w:spacing w:val="-4"/>
        </w:rPr>
        <w:t xml:space="preserve"> </w:t>
      </w:r>
      <w:r>
        <w:t>Liberci.</w:t>
      </w:r>
    </w:p>
    <w:p w14:paraId="1337B438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4"/>
        </w:tabs>
        <w:spacing w:before="13" w:line="232" w:lineRule="auto"/>
        <w:ind w:left="742" w:right="158"/>
        <w:jc w:val="both"/>
      </w:pPr>
      <w:r>
        <w:t>Poskytovatel se zavazuje zřídit uživateli uživatelský účet nejpozději k prvnímu dni prvního období, avšak nikoli dříve, než mu byla uhrazena v plné výši odměna za první</w:t>
      </w:r>
      <w:r>
        <w:rPr>
          <w:spacing w:val="-13"/>
        </w:rPr>
        <w:t xml:space="preserve"> </w:t>
      </w:r>
      <w:r>
        <w:t>období.</w:t>
      </w:r>
    </w:p>
    <w:p w14:paraId="5B09747A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3"/>
          <w:tab w:val="left" w:pos="9564"/>
        </w:tabs>
        <w:spacing w:before="3" w:after="3"/>
        <w:ind w:left="742" w:right="121"/>
        <w:jc w:val="both"/>
      </w:pPr>
      <w:r>
        <w:pict w14:anchorId="2DEB46AC">
          <v:rect id="_x0000_s1057" style="position:absolute;left:0;text-align:left;margin-left:429.3pt;margin-top:13.75pt;width:79.55pt;height:14.75pt;z-index:-251943936;mso-position-horizontal-relative:page" fillcolor="black" stroked="f">
            <w10:wrap anchorx="page"/>
          </v:rect>
        </w:pict>
      </w:r>
      <w:r>
        <w:t>Poskytovatel zajistí uživateli přístupová práva do administrátorského nastaven</w:t>
      </w:r>
      <w:r>
        <w:t>í pro případ obnovy uživatelských práv zaměstnanců a soudců. Tímto oprávněním</w:t>
      </w:r>
      <w:r>
        <w:rPr>
          <w:spacing w:val="-24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disponovat</w:t>
      </w:r>
      <w:r>
        <w:tab/>
      </w:r>
      <w:r>
        <w:rPr>
          <w:spacing w:val="-3"/>
        </w:rPr>
        <w:t>(e-mail:</w:t>
      </w:r>
    </w:p>
    <w:p w14:paraId="14C645A3" w14:textId="77777777" w:rsidR="008A533F" w:rsidRDefault="006D00EA">
      <w:pPr>
        <w:pStyle w:val="Zkladntext"/>
        <w:ind w:left="722"/>
        <w:rPr>
          <w:sz w:val="20"/>
        </w:rPr>
      </w:pPr>
      <w:r>
        <w:rPr>
          <w:sz w:val="20"/>
        </w:rPr>
      </w:r>
      <w:r>
        <w:rPr>
          <w:sz w:val="20"/>
        </w:rPr>
        <w:pict w14:anchorId="29C00C13">
          <v:group id="_x0000_s1055" style="width:140.95pt;height:14.85pt;mso-position-horizontal-relative:char;mso-position-vertical-relative:line" coordsize="2819,297">
            <v:shape id="_x0000_s1056" style="position:absolute;width:2819;height:297" coordsize="2819,297" path="m2819,l,,,295r2819,2l2819,xe" fillcolor="black" stroked="f">
              <v:path arrowok="t"/>
            </v:shape>
            <w10:anchorlock/>
          </v:group>
        </w:pict>
      </w:r>
    </w:p>
    <w:p w14:paraId="156A4579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ind w:left="748" w:hanging="429"/>
        <w:jc w:val="both"/>
      </w:pPr>
      <w:r>
        <w:t>Rozsah licence specifikuje Příloha, přičemž další podmínky užívání licence jsou uprave</w:t>
      </w:r>
      <w:r>
        <w:t>ny ve</w:t>
      </w:r>
      <w:r>
        <w:rPr>
          <w:spacing w:val="-39"/>
        </w:rPr>
        <w:t xml:space="preserve"> </w:t>
      </w:r>
      <w:r>
        <w:t>VOP.</w:t>
      </w:r>
    </w:p>
    <w:p w14:paraId="28F802D5" w14:textId="77777777" w:rsidR="008A533F" w:rsidRDefault="008A533F">
      <w:pPr>
        <w:pStyle w:val="Zkladntext"/>
      </w:pPr>
    </w:p>
    <w:p w14:paraId="4D9170FB" w14:textId="77777777" w:rsidR="008A533F" w:rsidRDefault="006D00EA">
      <w:pPr>
        <w:pStyle w:val="Nadpis2"/>
        <w:numPr>
          <w:ilvl w:val="0"/>
          <w:numId w:val="4"/>
        </w:numPr>
        <w:tabs>
          <w:tab w:val="left" w:pos="749"/>
        </w:tabs>
        <w:ind w:left="748" w:hanging="428"/>
        <w:jc w:val="both"/>
      </w:pPr>
      <w:bookmarkStart w:id="4" w:name="3._Platební_podmínky"/>
      <w:bookmarkEnd w:id="4"/>
      <w:r>
        <w:t>Platební podmínky</w:t>
      </w:r>
    </w:p>
    <w:p w14:paraId="5FA83196" w14:textId="77777777" w:rsidR="008A533F" w:rsidRDefault="008A533F">
      <w:pPr>
        <w:jc w:val="both"/>
        <w:sectPr w:rsidR="008A533F">
          <w:headerReference w:type="default" r:id="rId8"/>
          <w:footerReference w:type="default" r:id="rId9"/>
          <w:type w:val="continuous"/>
          <w:pgSz w:w="11920" w:h="16850"/>
          <w:pgMar w:top="1320" w:right="860" w:bottom="740" w:left="680" w:header="763" w:footer="549" w:gutter="0"/>
          <w:pgNumType w:start="1"/>
          <w:cols w:space="708"/>
        </w:sectPr>
      </w:pPr>
    </w:p>
    <w:p w14:paraId="5283309E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spacing w:before="88"/>
        <w:ind w:left="748" w:right="116"/>
        <w:jc w:val="both"/>
      </w:pPr>
      <w:r>
        <w:lastRenderedPageBreak/>
        <w:t>Za užívání Beck-online se uživatel zavazuje platit poskytovateli odměnu, jejíž výše se odvíjí od rozsahu licence uvedeného v Příloze (dále jen</w:t>
      </w:r>
      <w:r>
        <w:rPr>
          <w:spacing w:val="-4"/>
        </w:rPr>
        <w:t xml:space="preserve"> </w:t>
      </w:r>
      <w:r>
        <w:rPr>
          <w:b/>
        </w:rPr>
        <w:t>„odměna“</w:t>
      </w:r>
      <w:r>
        <w:t>).</w:t>
      </w:r>
    </w:p>
    <w:p w14:paraId="0DECF12C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  <w:tab w:val="left" w:pos="5440"/>
          <w:tab w:val="left" w:pos="10014"/>
        </w:tabs>
        <w:ind w:left="745" w:right="109"/>
        <w:jc w:val="both"/>
      </w:pPr>
      <w:r>
        <w:pict w14:anchorId="479BF737">
          <v:rect id="_x0000_s1054" style="position:absolute;left:0;text-align:left;margin-left:176pt;margin-top:13.7pt;width:126.9pt;height:14.75pt;z-index:-251941888;mso-position-horizontal-relative:page" fillcolor="black" stroked="f">
            <w10:wrap anchorx="page"/>
          </v:rect>
        </w:pict>
      </w:r>
      <w:r>
        <w:pict w14:anchorId="4567C94E">
          <v:rect id="_x0000_s1053" style="position:absolute;left:0;text-align:left;margin-left:387.25pt;margin-top:13.7pt;width:146.55pt;height:14.75pt;z-index:-251940864;mso-position-horizontal-relative:page" fillcolor="black" stroked="f">
            <w10:wrap anchorx="page"/>
          </v:rect>
        </w:pict>
      </w:r>
      <w:r>
        <w:t>Fakturu je poskytovatel oprávněn vystavit nejdříve dva měsíce před začátkem období. Elektronická fak</w:t>
      </w:r>
      <w:r>
        <w:t>tura bude zasílána</w:t>
      </w:r>
      <w:r>
        <w:rPr>
          <w:spacing w:val="-1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email:</w:t>
      </w:r>
      <w:r>
        <w:tab/>
        <w:t>a v kopii</w:t>
      </w:r>
      <w:r>
        <w:rPr>
          <w:spacing w:val="-1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e-mail</w:t>
      </w:r>
      <w:r>
        <w:tab/>
        <w:t xml:space="preserve">. </w:t>
      </w:r>
      <w:r>
        <w:rPr>
          <w:spacing w:val="-14"/>
        </w:rPr>
        <w:t xml:space="preserve">O </w:t>
      </w:r>
      <w:r>
        <w:t>případné změně emailové adresy je uživatel povinen poskytovatele bezodkladně písemnou formou informovat.</w:t>
      </w:r>
    </w:p>
    <w:p w14:paraId="55ECDB4E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spacing w:before="1"/>
        <w:ind w:left="745" w:right="112"/>
        <w:jc w:val="both"/>
      </w:pPr>
      <w:r>
        <w:t>Faktura je splatná do 21 dnů od jejího doručení uživateli. Při prodlení s úhradou faktury je posky</w:t>
      </w:r>
      <w:r>
        <w:t xml:space="preserve">tovatel oprávněn přístup k Beck-online přerušit až do vyrovnání pohledávky. Pozastavením přístupu do </w:t>
      </w:r>
      <w:proofErr w:type="gramStart"/>
      <w:r>
        <w:t>Beck- online</w:t>
      </w:r>
      <w:proofErr w:type="gramEnd"/>
      <w:r>
        <w:t xml:space="preserve"> však nezaniká právo Poskytovatele na úhradu Odměny i za dobu, během které nebyla tato služba poskytována.</w:t>
      </w:r>
    </w:p>
    <w:p w14:paraId="7AA6339F" w14:textId="77777777" w:rsidR="008A533F" w:rsidRDefault="008A533F">
      <w:pPr>
        <w:pStyle w:val="Zkladntext"/>
        <w:spacing w:before="11"/>
        <w:rPr>
          <w:sz w:val="21"/>
        </w:rPr>
      </w:pPr>
    </w:p>
    <w:p w14:paraId="5517575E" w14:textId="77777777" w:rsidR="008A533F" w:rsidRDefault="006D00EA">
      <w:pPr>
        <w:pStyle w:val="Nadpis2"/>
        <w:numPr>
          <w:ilvl w:val="0"/>
          <w:numId w:val="4"/>
        </w:numPr>
        <w:tabs>
          <w:tab w:val="left" w:pos="745"/>
          <w:tab w:val="left" w:pos="746"/>
        </w:tabs>
        <w:ind w:hanging="426"/>
      </w:pPr>
      <w:bookmarkStart w:id="5" w:name="4._Doba_trvání_smlouvy"/>
      <w:bookmarkEnd w:id="5"/>
      <w:r>
        <w:t>Doba trvání</w:t>
      </w:r>
      <w:r>
        <w:rPr>
          <w:spacing w:val="-6"/>
        </w:rPr>
        <w:t xml:space="preserve"> </w:t>
      </w:r>
      <w:r>
        <w:t>smlouvy</w:t>
      </w:r>
    </w:p>
    <w:p w14:paraId="7B7F8DAE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spacing w:before="8" w:line="265" w:lineRule="exact"/>
        <w:ind w:left="745" w:hanging="426"/>
      </w:pPr>
      <w:r>
        <w:t>Tato smlouva nabývá platnosti a účinnosti dnem jejího podpisu oběma smluvními</w:t>
      </w:r>
      <w:r>
        <w:rPr>
          <w:spacing w:val="-23"/>
        </w:rPr>
        <w:t xml:space="preserve"> </w:t>
      </w:r>
      <w:r>
        <w:t>stranami.</w:t>
      </w:r>
    </w:p>
    <w:p w14:paraId="676B58ED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ind w:left="748" w:right="206" w:hanging="428"/>
      </w:pPr>
      <w:r>
        <w:t xml:space="preserve">Smlouva se uzavírá na dobu </w:t>
      </w:r>
      <w:r>
        <w:rPr>
          <w:b/>
        </w:rPr>
        <w:t>určitou, a to do 31. 12. 2024</w:t>
      </w:r>
      <w:r>
        <w:t>. Licence je uživateli udělena na dobu trvání této smlouvy.</w:t>
      </w:r>
    </w:p>
    <w:p w14:paraId="1C3F5ABC" w14:textId="77777777" w:rsidR="008A533F" w:rsidRDefault="006D00EA">
      <w:pPr>
        <w:pStyle w:val="Nadpis1"/>
        <w:numPr>
          <w:ilvl w:val="1"/>
          <w:numId w:val="4"/>
        </w:numPr>
        <w:tabs>
          <w:tab w:val="left" w:pos="746"/>
        </w:tabs>
        <w:ind w:left="745" w:right="115"/>
        <w:jc w:val="both"/>
      </w:pPr>
      <w:bookmarkStart w:id="6" w:name="4.3._Smlouva_bude_automaticky_ukončena_i"/>
      <w:bookmarkEnd w:id="6"/>
      <w:r>
        <w:t>Smlouva bude automaticky ukončena i v případě, kdy b</w:t>
      </w:r>
      <w:r>
        <w:t>ude vysoutěžena a uzavřena nová Rámcová smlouva pro celý resort Ministerstva spravedlnosti, kdy vysoutěžené ceny dodávaného zboží budou za stejné služby nebo lepší nižší než ceny vysoutěžené Krajským soudem v Ústí nad Labem. V takovém případě</w:t>
      </w:r>
      <w:r>
        <w:rPr>
          <w:spacing w:val="-3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ukončena</w:t>
      </w:r>
      <w:r>
        <w:rPr>
          <w:spacing w:val="-2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doručení</w:t>
      </w:r>
      <w:r>
        <w:rPr>
          <w:spacing w:val="-3"/>
        </w:rPr>
        <w:t xml:space="preserve"> </w:t>
      </w:r>
      <w:r>
        <w:t>oznámení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vzniku</w:t>
      </w:r>
      <w:r>
        <w:rPr>
          <w:spacing w:val="-2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skutečnosti</w:t>
      </w:r>
      <w:r>
        <w:rPr>
          <w:spacing w:val="-32"/>
        </w:rPr>
        <w:t xml:space="preserve"> </w:t>
      </w:r>
      <w:r>
        <w:t>poskytovateli.</w:t>
      </w:r>
    </w:p>
    <w:p w14:paraId="4588A195" w14:textId="77777777" w:rsidR="008A533F" w:rsidRDefault="008A533F">
      <w:pPr>
        <w:pStyle w:val="Zkladntext"/>
        <w:spacing w:before="6"/>
        <w:rPr>
          <w:rFonts w:ascii="Garamond"/>
          <w:sz w:val="23"/>
        </w:rPr>
      </w:pPr>
    </w:p>
    <w:p w14:paraId="25ABAF51" w14:textId="77777777" w:rsidR="008A533F" w:rsidRDefault="006D00EA">
      <w:pPr>
        <w:pStyle w:val="Nadpis2"/>
        <w:numPr>
          <w:ilvl w:val="0"/>
          <w:numId w:val="4"/>
        </w:numPr>
        <w:tabs>
          <w:tab w:val="left" w:pos="745"/>
          <w:tab w:val="left" w:pos="746"/>
        </w:tabs>
        <w:spacing w:before="1"/>
        <w:ind w:hanging="426"/>
      </w:pPr>
      <w:bookmarkStart w:id="7" w:name="5._Školení_a_podpora_uživatelů"/>
      <w:bookmarkEnd w:id="7"/>
      <w:r>
        <w:t>Školení a podpora</w:t>
      </w:r>
      <w:r>
        <w:rPr>
          <w:spacing w:val="-5"/>
        </w:rPr>
        <w:t xml:space="preserve"> </w:t>
      </w:r>
      <w:r>
        <w:t>uživatelů</w:t>
      </w:r>
    </w:p>
    <w:p w14:paraId="46717644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8"/>
        </w:tabs>
        <w:spacing w:before="2" w:line="237" w:lineRule="auto"/>
        <w:ind w:left="747" w:right="156"/>
      </w:pPr>
      <w:r>
        <w:t>Poskytovatel</w:t>
      </w:r>
      <w:r>
        <w:rPr>
          <w:spacing w:val="-18"/>
        </w:rPr>
        <w:t xml:space="preserve"> </w:t>
      </w:r>
      <w:r>
        <w:t>pořádá</w:t>
      </w:r>
      <w:r>
        <w:rPr>
          <w:spacing w:val="-18"/>
        </w:rPr>
        <w:t xml:space="preserve"> </w:t>
      </w:r>
      <w:r>
        <w:t>školení</w:t>
      </w:r>
      <w:r>
        <w:rPr>
          <w:spacing w:val="-18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užívání</w:t>
      </w:r>
      <w:r>
        <w:rPr>
          <w:spacing w:val="-18"/>
        </w:rPr>
        <w:t xml:space="preserve"> </w:t>
      </w:r>
      <w:r>
        <w:t>Beck-online</w:t>
      </w:r>
      <w:r>
        <w:rPr>
          <w:spacing w:val="-18"/>
        </w:rPr>
        <w:t xml:space="preserve"> </w:t>
      </w:r>
      <w:r>
        <w:t>výlučně</w:t>
      </w:r>
      <w:r>
        <w:rPr>
          <w:spacing w:val="-17"/>
        </w:rPr>
        <w:t xml:space="preserve"> </w:t>
      </w:r>
      <w:r>
        <w:t>prostřednictvím</w:t>
      </w:r>
      <w:r>
        <w:rPr>
          <w:spacing w:val="-18"/>
        </w:rPr>
        <w:t xml:space="preserve"> </w:t>
      </w:r>
      <w:r>
        <w:t>svých</w:t>
      </w:r>
      <w:r>
        <w:rPr>
          <w:spacing w:val="-22"/>
        </w:rPr>
        <w:t xml:space="preserve"> </w:t>
      </w:r>
      <w:r>
        <w:t>vyškolených</w:t>
      </w:r>
      <w:r>
        <w:rPr>
          <w:spacing w:val="-18"/>
        </w:rPr>
        <w:t xml:space="preserve"> </w:t>
      </w:r>
      <w:r>
        <w:t>lektorů</w:t>
      </w:r>
      <w:r>
        <w:rPr>
          <w:spacing w:val="-18"/>
        </w:rPr>
        <w:t xml:space="preserve"> </w:t>
      </w:r>
      <w:r>
        <w:t>(dále jen</w:t>
      </w:r>
      <w:r>
        <w:rPr>
          <w:spacing w:val="-3"/>
        </w:rPr>
        <w:t xml:space="preserve"> </w:t>
      </w:r>
      <w:r>
        <w:t>„</w:t>
      </w:r>
      <w:r>
        <w:rPr>
          <w:b/>
        </w:rPr>
        <w:t>školení</w:t>
      </w:r>
      <w:r>
        <w:t>“).</w:t>
      </w:r>
    </w:p>
    <w:p w14:paraId="09D2DF41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8"/>
          <w:tab w:val="left" w:pos="1465"/>
          <w:tab w:val="left" w:pos="1906"/>
          <w:tab w:val="left" w:pos="2751"/>
          <w:tab w:val="left" w:pos="3130"/>
          <w:tab w:val="left" w:pos="4515"/>
          <w:tab w:val="left" w:pos="5182"/>
          <w:tab w:val="left" w:pos="5504"/>
          <w:tab w:val="left" w:pos="6440"/>
          <w:tab w:val="left" w:pos="7361"/>
          <w:tab w:val="left" w:pos="7949"/>
          <w:tab w:val="left" w:pos="9144"/>
          <w:tab w:val="left" w:pos="9584"/>
        </w:tabs>
        <w:spacing w:before="1"/>
        <w:ind w:left="748" w:right="142" w:hanging="426"/>
      </w:pPr>
      <w:r>
        <w:t>Účast</w:t>
      </w:r>
      <w:r>
        <w:tab/>
        <w:t>na</w:t>
      </w:r>
      <w:r>
        <w:tab/>
        <w:t>školení</w:t>
      </w:r>
      <w:r>
        <w:tab/>
        <w:t>je</w:t>
      </w:r>
      <w:r>
        <w:tab/>
      </w:r>
      <w:r>
        <w:t>zpoplatněna.</w:t>
      </w:r>
      <w:r>
        <w:tab/>
        <w:t>Cena</w:t>
      </w:r>
      <w:r>
        <w:tab/>
        <w:t>a</w:t>
      </w:r>
      <w:r>
        <w:tab/>
        <w:t>aktuální</w:t>
      </w:r>
      <w:r>
        <w:tab/>
        <w:t>termíny</w:t>
      </w:r>
      <w:r>
        <w:tab/>
        <w:t>jsou</w:t>
      </w:r>
      <w:r>
        <w:tab/>
        <w:t>zveřejněny</w:t>
      </w:r>
      <w:r>
        <w:tab/>
        <w:t>na</w:t>
      </w:r>
      <w:r>
        <w:tab/>
      </w:r>
      <w:r>
        <w:rPr>
          <w:spacing w:val="-7"/>
        </w:rPr>
        <w:t>stránce</w:t>
      </w:r>
      <w:hyperlink r:id="rId10">
        <w:r>
          <w:rPr>
            <w:color w:val="0561C1"/>
            <w:spacing w:val="-7"/>
            <w:u w:val="single" w:color="0561C1"/>
          </w:rPr>
          <w:t xml:space="preserve"> </w:t>
        </w:r>
        <w:r>
          <w:rPr>
            <w:color w:val="0561C1"/>
            <w:u w:val="single" w:color="0561C1"/>
          </w:rPr>
          <w:t>www.beck-online.cz</w:t>
        </w:r>
        <w:r>
          <w:t>.</w:t>
        </w:r>
      </w:hyperlink>
    </w:p>
    <w:p w14:paraId="79CB7E33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spacing w:before="1"/>
        <w:ind w:left="748" w:right="299"/>
      </w:pPr>
      <w:r>
        <w:t>V případě zájmu uživatele lze se zástupcem poskytovatele dohodnout individuálně školení mimo veřejné termíny.</w:t>
      </w:r>
    </w:p>
    <w:p w14:paraId="0EB57692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ind w:left="748" w:right="154" w:hanging="426"/>
      </w:pPr>
      <w:r>
        <w:t>Úvodní</w:t>
      </w:r>
      <w:r>
        <w:rPr>
          <w:spacing w:val="-7"/>
        </w:rPr>
        <w:t xml:space="preserve"> </w:t>
      </w:r>
      <w:r>
        <w:t>zaškolení</w:t>
      </w:r>
      <w:r>
        <w:rPr>
          <w:spacing w:val="-9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povinně</w:t>
      </w:r>
      <w:r>
        <w:rPr>
          <w:spacing w:val="-6"/>
        </w:rPr>
        <w:t xml:space="preserve"> </w:t>
      </w:r>
      <w:r>
        <w:t>absolvovat</w:t>
      </w:r>
      <w:r>
        <w:rPr>
          <w:spacing w:val="-8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osoby</w:t>
      </w:r>
      <w:r>
        <w:rPr>
          <w:spacing w:val="-8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režimu</w:t>
      </w:r>
      <w:r>
        <w:rPr>
          <w:spacing w:val="-7"/>
        </w:rPr>
        <w:t xml:space="preserve"> </w:t>
      </w:r>
      <w:r>
        <w:t>pilotního</w:t>
      </w:r>
      <w:r>
        <w:rPr>
          <w:spacing w:val="-5"/>
        </w:rPr>
        <w:t xml:space="preserve"> </w:t>
      </w:r>
      <w:r>
        <w:t>provozu,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nejpozději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tří měsíců od začátku předplaceného období. Toto zaškolení provede poskytovatel</w:t>
      </w:r>
      <w:r>
        <w:rPr>
          <w:spacing w:val="-23"/>
        </w:rPr>
        <w:t xml:space="preserve"> </w:t>
      </w:r>
      <w:r>
        <w:t>zdarma.</w:t>
      </w:r>
    </w:p>
    <w:p w14:paraId="6292853F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9"/>
        </w:tabs>
        <w:ind w:left="748" w:hanging="428"/>
      </w:pPr>
      <w:r>
        <w:t>Uživatel a poskytovatel se dohodli na uskutečnění dvou bilančních schůzek v průběhu</w:t>
      </w:r>
      <w:r>
        <w:rPr>
          <w:spacing w:val="-11"/>
        </w:rPr>
        <w:t xml:space="preserve"> </w:t>
      </w:r>
      <w:proofErr w:type="spellStart"/>
      <w:r>
        <w:t>pilotníhoprovozu</w:t>
      </w:r>
      <w:proofErr w:type="spellEnd"/>
      <w:r>
        <w:t>.</w:t>
      </w:r>
    </w:p>
    <w:p w14:paraId="2A0EA34C" w14:textId="77777777" w:rsidR="008A533F" w:rsidRDefault="008A533F">
      <w:pPr>
        <w:pStyle w:val="Zkladntext"/>
        <w:spacing w:before="11"/>
        <w:rPr>
          <w:sz w:val="21"/>
        </w:rPr>
      </w:pPr>
    </w:p>
    <w:p w14:paraId="0E9B532F" w14:textId="77777777" w:rsidR="008A533F" w:rsidRDefault="006D00EA">
      <w:pPr>
        <w:pStyle w:val="Nadpis2"/>
        <w:numPr>
          <w:ilvl w:val="0"/>
          <w:numId w:val="4"/>
        </w:numPr>
        <w:tabs>
          <w:tab w:val="left" w:pos="749"/>
        </w:tabs>
        <w:ind w:left="748" w:hanging="429"/>
        <w:jc w:val="both"/>
      </w:pPr>
      <w:bookmarkStart w:id="8" w:name="6._Odpovědnost_poskytovatele_za_škodu"/>
      <w:bookmarkEnd w:id="8"/>
      <w:r>
        <w:t>Odpovědnost poskytovatele za</w:t>
      </w:r>
      <w:r>
        <w:rPr>
          <w:spacing w:val="-10"/>
        </w:rPr>
        <w:t xml:space="preserve"> </w:t>
      </w:r>
      <w:r>
        <w:t>škodu</w:t>
      </w:r>
    </w:p>
    <w:p w14:paraId="77D2EADE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ind w:left="745" w:right="112"/>
        <w:jc w:val="both"/>
      </w:pPr>
      <w:r>
        <w:t xml:space="preserve">Smluvní strany sjednávají, že </w:t>
      </w:r>
      <w:r>
        <w:t>poskytovatel uživateli odpovídá pouze za takovou majetkovou újmu (škodu), která</w:t>
      </w:r>
      <w:r>
        <w:rPr>
          <w:spacing w:val="-9"/>
        </w:rPr>
        <w:t xml:space="preserve"> </w:t>
      </w:r>
      <w:r>
        <w:t>vznikne</w:t>
      </w:r>
      <w:r>
        <w:rPr>
          <w:spacing w:val="-6"/>
        </w:rPr>
        <w:t xml:space="preserve"> </w:t>
      </w:r>
      <w:r>
        <w:t>zaviněným</w:t>
      </w:r>
      <w:r>
        <w:rPr>
          <w:spacing w:val="-2"/>
        </w:rPr>
        <w:t xml:space="preserve"> </w:t>
      </w:r>
      <w:r>
        <w:t>porušením</w:t>
      </w:r>
      <w:r>
        <w:rPr>
          <w:spacing w:val="-3"/>
        </w:rPr>
        <w:t xml:space="preserve"> </w:t>
      </w:r>
      <w:r>
        <w:t>této</w:t>
      </w:r>
      <w:r>
        <w:rPr>
          <w:spacing w:val="-5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strany</w:t>
      </w:r>
      <w:r>
        <w:rPr>
          <w:spacing w:val="-4"/>
        </w:rPr>
        <w:t xml:space="preserve"> </w:t>
      </w:r>
      <w:r>
        <w:t>poskytovatele.</w:t>
      </w:r>
      <w:r>
        <w:rPr>
          <w:spacing w:val="-5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náhrady</w:t>
      </w:r>
      <w:r>
        <w:rPr>
          <w:spacing w:val="-3"/>
        </w:rPr>
        <w:t xml:space="preserve"> </w:t>
      </w:r>
      <w:r>
        <w:t>škody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 xml:space="preserve">omezena na částku rovnající </w:t>
      </w:r>
      <w:proofErr w:type="gramStart"/>
      <w:r>
        <w:t>se  odměně</w:t>
      </w:r>
      <w:proofErr w:type="gramEnd"/>
      <w:r>
        <w:t xml:space="preserve">  poskytovatele  z této  smlouvy  za  předplatné  </w:t>
      </w:r>
      <w:r>
        <w:t>období  (jak  je  vymezeno  v Příloze), ve kterém došlo k porušení smlouvy. Smluvní strany sjednávají, že jakékoli nároky vzniklé v případě, že by Beck-online neodpovídal sjednaným vlastnostem, budou považovány výlučně za nárok na náhradu</w:t>
      </w:r>
      <w:r>
        <w:rPr>
          <w:spacing w:val="-2"/>
        </w:rPr>
        <w:t xml:space="preserve"> </w:t>
      </w:r>
      <w:r>
        <w:t>škody.</w:t>
      </w:r>
    </w:p>
    <w:p w14:paraId="71893AB6" w14:textId="77777777" w:rsidR="008A533F" w:rsidRDefault="008A533F">
      <w:pPr>
        <w:pStyle w:val="Zkladntext"/>
        <w:spacing w:before="12"/>
        <w:rPr>
          <w:sz w:val="21"/>
        </w:rPr>
      </w:pPr>
    </w:p>
    <w:p w14:paraId="389E3FE5" w14:textId="77777777" w:rsidR="008A533F" w:rsidRDefault="006D00EA">
      <w:pPr>
        <w:pStyle w:val="Nadpis2"/>
        <w:numPr>
          <w:ilvl w:val="0"/>
          <w:numId w:val="4"/>
        </w:numPr>
        <w:tabs>
          <w:tab w:val="left" w:pos="745"/>
          <w:tab w:val="left" w:pos="746"/>
        </w:tabs>
        <w:ind w:hanging="426"/>
      </w:pPr>
      <w:bookmarkStart w:id="9" w:name="7._Závěrečná_ustanovení"/>
      <w:bookmarkEnd w:id="9"/>
      <w:r>
        <w:t>Závěrečná</w:t>
      </w:r>
      <w:r>
        <w:rPr>
          <w:spacing w:val="-4"/>
        </w:rPr>
        <w:t xml:space="preserve"> </w:t>
      </w:r>
      <w:r>
        <w:t>ustanovení</w:t>
      </w:r>
    </w:p>
    <w:p w14:paraId="2A05FDB3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ind w:left="745" w:right="266"/>
      </w:pPr>
      <w:r>
        <w:t xml:space="preserve">Tato smlouva je uzavřena písemně ve dvou (2) vyhotoveních, z nichž poskytovatel a uživatel </w:t>
      </w:r>
      <w:proofErr w:type="gramStart"/>
      <w:r>
        <w:t>obdrží</w:t>
      </w:r>
      <w:proofErr w:type="gramEnd"/>
      <w:r>
        <w:t xml:space="preserve"> každý po jednom</w:t>
      </w:r>
      <w:r>
        <w:rPr>
          <w:spacing w:val="-1"/>
        </w:rPr>
        <w:t xml:space="preserve"> </w:t>
      </w:r>
      <w:r>
        <w:t>(1).</w:t>
      </w:r>
    </w:p>
    <w:p w14:paraId="42E276C5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ind w:left="745" w:hanging="426"/>
      </w:pPr>
      <w:r>
        <w:t>Nevykonání kteréhokoliv práva dle této smlouvy nelze vykládat jako vzdání se takovéhoto</w:t>
      </w:r>
      <w:r>
        <w:rPr>
          <w:spacing w:val="-32"/>
        </w:rPr>
        <w:t xml:space="preserve"> </w:t>
      </w:r>
      <w:r>
        <w:t>práva.</w:t>
      </w:r>
    </w:p>
    <w:p w14:paraId="04F34CFF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ind w:left="745" w:hanging="426"/>
      </w:pPr>
      <w:r>
        <w:t>Práva a povinnosti vyplývající z této smlouvy přecházejí na právní nástupce smluvních</w:t>
      </w:r>
      <w:r>
        <w:rPr>
          <w:spacing w:val="-24"/>
        </w:rPr>
        <w:t xml:space="preserve"> </w:t>
      </w:r>
      <w:r>
        <w:t>stran.</w:t>
      </w:r>
    </w:p>
    <w:p w14:paraId="04DD758F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746"/>
        </w:tabs>
        <w:spacing w:before="80"/>
        <w:ind w:left="745" w:hanging="426"/>
      </w:pPr>
      <w:r>
        <w:t>Tuto smlouvu je možné změnit nebo doplnit pouze uzavřením číslovaných písemných</w:t>
      </w:r>
      <w:r>
        <w:rPr>
          <w:spacing w:val="-22"/>
        </w:rPr>
        <w:t xml:space="preserve"> </w:t>
      </w:r>
      <w:r>
        <w:t>dodatků.</w:t>
      </w:r>
    </w:p>
    <w:p w14:paraId="3EF394CA" w14:textId="77777777" w:rsidR="008A533F" w:rsidRDefault="006D00EA">
      <w:pPr>
        <w:pStyle w:val="Nadpis1"/>
        <w:numPr>
          <w:ilvl w:val="1"/>
          <w:numId w:val="4"/>
        </w:numPr>
        <w:tabs>
          <w:tab w:val="left" w:pos="748"/>
        </w:tabs>
        <w:spacing w:before="5"/>
        <w:ind w:left="747" w:right="114"/>
        <w:jc w:val="both"/>
      </w:pPr>
      <w:bookmarkStart w:id="10" w:name="7.5._Smluvní_strany_souhlasí_s_uveřejněn"/>
      <w:bookmarkEnd w:id="10"/>
      <w:r>
        <w:t>Smluvní</w:t>
      </w:r>
      <w:r>
        <w:rPr>
          <w:spacing w:val="-13"/>
        </w:rPr>
        <w:t xml:space="preserve"> </w:t>
      </w:r>
      <w:r>
        <w:t>strany</w:t>
      </w:r>
      <w:r>
        <w:rPr>
          <w:spacing w:val="-14"/>
        </w:rPr>
        <w:t xml:space="preserve"> </w:t>
      </w:r>
      <w:r>
        <w:t>souhlasí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uveřejněním</w:t>
      </w:r>
      <w:r>
        <w:rPr>
          <w:spacing w:val="-13"/>
        </w:rPr>
        <w:t xml:space="preserve"> </w:t>
      </w:r>
      <w:r>
        <w:t>celé</w:t>
      </w:r>
      <w:r>
        <w:rPr>
          <w:spacing w:val="-11"/>
        </w:rPr>
        <w:t xml:space="preserve"> </w:t>
      </w:r>
      <w:r>
        <w:t>této</w:t>
      </w:r>
      <w:r>
        <w:rPr>
          <w:spacing w:val="-12"/>
        </w:rPr>
        <w:t xml:space="preserve"> </w:t>
      </w:r>
      <w:r>
        <w:t>smlouvy</w:t>
      </w:r>
      <w:r>
        <w:rPr>
          <w:spacing w:val="-12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plném</w:t>
      </w:r>
      <w:r>
        <w:rPr>
          <w:spacing w:val="-12"/>
        </w:rPr>
        <w:t xml:space="preserve"> </w:t>
      </w:r>
      <w:r>
        <w:t>znění</w:t>
      </w:r>
      <w:r>
        <w:rPr>
          <w:spacing w:val="-13"/>
        </w:rPr>
        <w:t xml:space="preserve"> </w:t>
      </w:r>
      <w:r>
        <w:t>včetně</w:t>
      </w:r>
      <w:r>
        <w:rPr>
          <w:spacing w:val="-11"/>
        </w:rPr>
        <w:t xml:space="preserve"> </w:t>
      </w:r>
      <w:r>
        <w:t>příloh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dobu</w:t>
      </w:r>
      <w:r>
        <w:rPr>
          <w:spacing w:val="-12"/>
        </w:rPr>
        <w:t xml:space="preserve"> </w:t>
      </w:r>
      <w:r>
        <w:t>neurčitou v registru smluv podle z. č. 340/2015 Sb., o zvláštních podmínkách účinnosti některých smluv, uveřejňování těchto smluv a o registru smluv (zákon o registru smluv). Uživatel se zavazuje smlouvu dle předmětného zákona</w:t>
      </w:r>
      <w:r>
        <w:rPr>
          <w:spacing w:val="-6"/>
        </w:rPr>
        <w:t xml:space="preserve"> </w:t>
      </w:r>
      <w:r>
        <w:t>uveřejn</w:t>
      </w:r>
      <w:r>
        <w:t>it.</w:t>
      </w:r>
    </w:p>
    <w:p w14:paraId="219FD8CF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828"/>
        </w:tabs>
        <w:spacing w:before="79"/>
        <w:ind w:left="827" w:right="118" w:hanging="36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Tato smlouva nabývá platnosti dnem podpisu smluvních stran a účinnosti dnem uveřejnění v registru smluv dle odst. 7.5 tohoto</w:t>
      </w:r>
      <w:r>
        <w:rPr>
          <w:rFonts w:ascii="Garamond" w:hAnsi="Garamond"/>
          <w:spacing w:val="-4"/>
          <w:sz w:val="24"/>
        </w:rPr>
        <w:t xml:space="preserve"> </w:t>
      </w:r>
      <w:r>
        <w:rPr>
          <w:rFonts w:ascii="Garamond" w:hAnsi="Garamond"/>
          <w:sz w:val="24"/>
        </w:rPr>
        <w:t>článku.</w:t>
      </w:r>
    </w:p>
    <w:p w14:paraId="0C4D455C" w14:textId="77777777" w:rsidR="008A533F" w:rsidRDefault="006D00EA">
      <w:pPr>
        <w:pStyle w:val="Odstavecseseznamem"/>
        <w:numPr>
          <w:ilvl w:val="1"/>
          <w:numId w:val="4"/>
        </w:numPr>
        <w:tabs>
          <w:tab w:val="left" w:pos="828"/>
        </w:tabs>
        <w:ind w:left="827" w:right="113" w:hanging="36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 ohledem na účinnost nařízení Evropského parlamentu a rady (EU) 2016/679 o ochraně fyzických osob</w:t>
      </w:r>
      <w:r>
        <w:rPr>
          <w:rFonts w:ascii="Garamond" w:hAnsi="Garamond"/>
          <w:spacing w:val="37"/>
          <w:sz w:val="24"/>
        </w:rPr>
        <w:t xml:space="preserve"> </w:t>
      </w:r>
      <w:r>
        <w:rPr>
          <w:rFonts w:ascii="Garamond" w:hAnsi="Garamond"/>
          <w:sz w:val="24"/>
        </w:rPr>
        <w:t>v</w:t>
      </w:r>
      <w:r>
        <w:rPr>
          <w:rFonts w:ascii="Garamond" w:hAnsi="Garamond"/>
          <w:spacing w:val="36"/>
          <w:sz w:val="24"/>
        </w:rPr>
        <w:t xml:space="preserve"> </w:t>
      </w:r>
      <w:r>
        <w:rPr>
          <w:rFonts w:ascii="Garamond" w:hAnsi="Garamond"/>
          <w:sz w:val="24"/>
        </w:rPr>
        <w:t>souvislosti</w:t>
      </w:r>
      <w:r>
        <w:rPr>
          <w:rFonts w:ascii="Garamond" w:hAnsi="Garamond"/>
          <w:spacing w:val="34"/>
          <w:sz w:val="24"/>
        </w:rPr>
        <w:t xml:space="preserve"> </w:t>
      </w:r>
      <w:r>
        <w:rPr>
          <w:rFonts w:ascii="Garamond" w:hAnsi="Garamond"/>
          <w:sz w:val="24"/>
        </w:rPr>
        <w:t>se</w:t>
      </w:r>
      <w:r>
        <w:rPr>
          <w:rFonts w:ascii="Garamond" w:hAnsi="Garamond"/>
          <w:spacing w:val="39"/>
          <w:sz w:val="24"/>
        </w:rPr>
        <w:t xml:space="preserve"> </w:t>
      </w:r>
      <w:r>
        <w:rPr>
          <w:rFonts w:ascii="Garamond" w:hAnsi="Garamond"/>
          <w:sz w:val="24"/>
        </w:rPr>
        <w:t>zpr</w:t>
      </w:r>
      <w:r>
        <w:rPr>
          <w:rFonts w:ascii="Garamond" w:hAnsi="Garamond"/>
          <w:sz w:val="24"/>
        </w:rPr>
        <w:t>acováním</w:t>
      </w:r>
      <w:r>
        <w:rPr>
          <w:rFonts w:ascii="Garamond" w:hAnsi="Garamond"/>
          <w:spacing w:val="36"/>
          <w:sz w:val="24"/>
        </w:rPr>
        <w:t xml:space="preserve"> </w:t>
      </w:r>
      <w:r>
        <w:rPr>
          <w:rFonts w:ascii="Garamond" w:hAnsi="Garamond"/>
          <w:sz w:val="24"/>
        </w:rPr>
        <w:t>osobních</w:t>
      </w:r>
      <w:r>
        <w:rPr>
          <w:rFonts w:ascii="Garamond" w:hAnsi="Garamond"/>
          <w:spacing w:val="35"/>
          <w:sz w:val="24"/>
        </w:rPr>
        <w:t xml:space="preserve"> </w:t>
      </w:r>
      <w:r>
        <w:rPr>
          <w:rFonts w:ascii="Garamond" w:hAnsi="Garamond"/>
          <w:sz w:val="24"/>
        </w:rPr>
        <w:t>údajů</w:t>
      </w:r>
      <w:r>
        <w:rPr>
          <w:rFonts w:ascii="Garamond" w:hAnsi="Garamond"/>
          <w:spacing w:val="36"/>
          <w:sz w:val="24"/>
        </w:rPr>
        <w:t xml:space="preserve"> </w:t>
      </w:r>
      <w:r>
        <w:rPr>
          <w:rFonts w:ascii="Garamond" w:hAnsi="Garamond"/>
          <w:sz w:val="24"/>
        </w:rPr>
        <w:t>a</w:t>
      </w:r>
      <w:r>
        <w:rPr>
          <w:rFonts w:ascii="Garamond" w:hAnsi="Garamond"/>
          <w:spacing w:val="42"/>
          <w:sz w:val="24"/>
        </w:rPr>
        <w:t xml:space="preserve"> </w:t>
      </w:r>
      <w:r>
        <w:rPr>
          <w:rFonts w:ascii="Garamond" w:hAnsi="Garamond"/>
          <w:sz w:val="24"/>
        </w:rPr>
        <w:t>o</w:t>
      </w:r>
      <w:r>
        <w:rPr>
          <w:rFonts w:ascii="Garamond" w:hAnsi="Garamond"/>
          <w:spacing w:val="36"/>
          <w:sz w:val="24"/>
        </w:rPr>
        <w:t xml:space="preserve"> </w:t>
      </w:r>
      <w:r>
        <w:rPr>
          <w:rFonts w:ascii="Garamond" w:hAnsi="Garamond"/>
          <w:sz w:val="24"/>
        </w:rPr>
        <w:t>volném</w:t>
      </w:r>
      <w:r>
        <w:rPr>
          <w:rFonts w:ascii="Garamond" w:hAnsi="Garamond"/>
          <w:spacing w:val="33"/>
          <w:sz w:val="24"/>
        </w:rPr>
        <w:t xml:space="preserve"> </w:t>
      </w:r>
      <w:r>
        <w:rPr>
          <w:rFonts w:ascii="Garamond" w:hAnsi="Garamond"/>
          <w:sz w:val="24"/>
        </w:rPr>
        <w:t>pohybu</w:t>
      </w:r>
      <w:r>
        <w:rPr>
          <w:rFonts w:ascii="Garamond" w:hAnsi="Garamond"/>
          <w:spacing w:val="39"/>
          <w:sz w:val="24"/>
        </w:rPr>
        <w:t xml:space="preserve"> </w:t>
      </w:r>
      <w:r>
        <w:rPr>
          <w:rFonts w:ascii="Garamond" w:hAnsi="Garamond"/>
          <w:sz w:val="24"/>
        </w:rPr>
        <w:t>těchto</w:t>
      </w:r>
      <w:r>
        <w:rPr>
          <w:rFonts w:ascii="Garamond" w:hAnsi="Garamond"/>
          <w:spacing w:val="37"/>
          <w:sz w:val="24"/>
        </w:rPr>
        <w:t xml:space="preserve"> </w:t>
      </w:r>
      <w:r>
        <w:rPr>
          <w:rFonts w:ascii="Garamond" w:hAnsi="Garamond"/>
          <w:sz w:val="24"/>
        </w:rPr>
        <w:t>údajů</w:t>
      </w:r>
      <w:r>
        <w:rPr>
          <w:rFonts w:ascii="Garamond" w:hAnsi="Garamond"/>
          <w:spacing w:val="34"/>
          <w:sz w:val="24"/>
        </w:rPr>
        <w:t xml:space="preserve"> </w:t>
      </w:r>
      <w:r>
        <w:rPr>
          <w:rFonts w:ascii="Garamond" w:hAnsi="Garamond"/>
          <w:sz w:val="24"/>
        </w:rPr>
        <w:t>a</w:t>
      </w:r>
      <w:r>
        <w:rPr>
          <w:rFonts w:ascii="Garamond" w:hAnsi="Garamond"/>
          <w:spacing w:val="42"/>
          <w:sz w:val="24"/>
        </w:rPr>
        <w:t xml:space="preserve"> </w:t>
      </w:r>
      <w:r>
        <w:rPr>
          <w:rFonts w:ascii="Garamond" w:hAnsi="Garamond"/>
          <w:sz w:val="24"/>
        </w:rPr>
        <w:t>o</w:t>
      </w:r>
      <w:r>
        <w:rPr>
          <w:rFonts w:ascii="Garamond" w:hAnsi="Garamond"/>
          <w:spacing w:val="36"/>
          <w:sz w:val="24"/>
        </w:rPr>
        <w:t xml:space="preserve"> </w:t>
      </w:r>
      <w:r>
        <w:rPr>
          <w:rFonts w:ascii="Garamond" w:hAnsi="Garamond"/>
          <w:sz w:val="24"/>
        </w:rPr>
        <w:t>zrušení</w:t>
      </w:r>
    </w:p>
    <w:p w14:paraId="0B6A8AD4" w14:textId="77777777" w:rsidR="008A533F" w:rsidRDefault="008A533F">
      <w:pPr>
        <w:jc w:val="both"/>
        <w:rPr>
          <w:rFonts w:ascii="Garamond" w:hAnsi="Garamond"/>
          <w:sz w:val="24"/>
        </w:rPr>
        <w:sectPr w:rsidR="008A533F">
          <w:pgSz w:w="11920" w:h="16850"/>
          <w:pgMar w:top="1320" w:right="860" w:bottom="740" w:left="680" w:header="763" w:footer="549" w:gutter="0"/>
          <w:cols w:space="708"/>
        </w:sectPr>
      </w:pPr>
    </w:p>
    <w:p w14:paraId="115CA788" w14:textId="77777777" w:rsidR="008A533F" w:rsidRDefault="006D00EA">
      <w:pPr>
        <w:spacing w:before="90"/>
        <w:ind w:left="827" w:right="112"/>
        <w:jc w:val="both"/>
        <w:rPr>
          <w:rFonts w:ascii="Garamond" w:hAnsi="Garamond"/>
          <w:sz w:val="24"/>
        </w:rPr>
      </w:pPr>
      <w:bookmarkStart w:id="11" w:name="JUDr._Lenka_Ceplová"/>
      <w:bookmarkStart w:id="12" w:name="Nakladatelství_C.H.Beck,_s.r.o._Krajský_"/>
      <w:bookmarkEnd w:id="11"/>
      <w:bookmarkEnd w:id="12"/>
      <w:r>
        <w:rPr>
          <w:rFonts w:ascii="Garamond" w:hAnsi="Garamond"/>
          <w:sz w:val="24"/>
        </w:rPr>
        <w:lastRenderedPageBreak/>
        <w:t>směrnice 95/46/ES, obě smluvní strany souhlasí se shromažďováním, zpracováním a uchováváním osobních údajů druhou smluvní stranou, a to v rozsahu nezbytném pro realizaci smlouvy o pilotním provozu užívání systému Beck-online. Smluvní strany současně bere n</w:t>
      </w:r>
      <w:r>
        <w:rPr>
          <w:rFonts w:ascii="Garamond" w:hAnsi="Garamond"/>
          <w:sz w:val="24"/>
        </w:rPr>
        <w:t>a vědomí, že po skončení smluvního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vztahu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budou</w:t>
      </w:r>
      <w:r>
        <w:rPr>
          <w:rFonts w:ascii="Garamond" w:hAnsi="Garamond"/>
          <w:spacing w:val="-17"/>
          <w:sz w:val="24"/>
        </w:rPr>
        <w:t xml:space="preserve"> </w:t>
      </w:r>
      <w:r>
        <w:rPr>
          <w:rFonts w:ascii="Garamond" w:hAnsi="Garamond"/>
          <w:sz w:val="24"/>
        </w:rPr>
        <w:t>jimi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poskytnuté</w:t>
      </w:r>
      <w:r>
        <w:rPr>
          <w:rFonts w:ascii="Garamond" w:hAnsi="Garamond"/>
          <w:spacing w:val="-17"/>
          <w:sz w:val="24"/>
        </w:rPr>
        <w:t xml:space="preserve"> </w:t>
      </w:r>
      <w:r>
        <w:rPr>
          <w:rFonts w:ascii="Garamond" w:hAnsi="Garamond"/>
          <w:sz w:val="24"/>
        </w:rPr>
        <w:t>osobní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údaje,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včetně</w:t>
      </w:r>
      <w:r>
        <w:rPr>
          <w:rFonts w:ascii="Garamond" w:hAnsi="Garamond"/>
          <w:spacing w:val="-17"/>
          <w:sz w:val="24"/>
        </w:rPr>
        <w:t xml:space="preserve"> </w:t>
      </w:r>
      <w:r>
        <w:rPr>
          <w:rFonts w:ascii="Garamond" w:hAnsi="Garamond"/>
          <w:sz w:val="24"/>
        </w:rPr>
        <w:t>listin,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jež</w:t>
      </w:r>
      <w:r>
        <w:rPr>
          <w:rFonts w:ascii="Garamond" w:hAnsi="Garamond"/>
          <w:spacing w:val="-17"/>
          <w:sz w:val="24"/>
        </w:rPr>
        <w:t xml:space="preserve"> </w:t>
      </w:r>
      <w:r>
        <w:rPr>
          <w:rFonts w:ascii="Garamond" w:hAnsi="Garamond"/>
          <w:sz w:val="24"/>
        </w:rPr>
        <w:t>je</w:t>
      </w:r>
      <w:r>
        <w:rPr>
          <w:rFonts w:ascii="Garamond" w:hAnsi="Garamond"/>
          <w:spacing w:val="-17"/>
          <w:sz w:val="24"/>
        </w:rPr>
        <w:t xml:space="preserve"> </w:t>
      </w:r>
      <w:r>
        <w:rPr>
          <w:rFonts w:ascii="Garamond" w:hAnsi="Garamond"/>
          <w:sz w:val="24"/>
        </w:rPr>
        <w:t>obsahují</w:t>
      </w:r>
      <w:r>
        <w:rPr>
          <w:rFonts w:ascii="Garamond" w:hAnsi="Garamond"/>
          <w:spacing w:val="-18"/>
          <w:sz w:val="24"/>
        </w:rPr>
        <w:t xml:space="preserve"> </w:t>
      </w:r>
      <w:r>
        <w:rPr>
          <w:rFonts w:ascii="Garamond" w:hAnsi="Garamond"/>
          <w:sz w:val="24"/>
        </w:rPr>
        <w:t>uchovávány</w:t>
      </w:r>
      <w:r>
        <w:rPr>
          <w:rFonts w:ascii="Garamond" w:hAnsi="Garamond"/>
          <w:spacing w:val="-17"/>
          <w:sz w:val="24"/>
        </w:rPr>
        <w:t xml:space="preserve"> </w:t>
      </w:r>
      <w:r>
        <w:rPr>
          <w:rFonts w:ascii="Garamond" w:hAnsi="Garamond"/>
          <w:sz w:val="24"/>
        </w:rPr>
        <w:t>druhou smluvní stranou po dobu deseti let, přičemž po uplynutí této lhůty s nimi bude naloženo v souladu s výše uvedeným nařízením a zák</w:t>
      </w:r>
      <w:r>
        <w:rPr>
          <w:rFonts w:ascii="Garamond" w:hAnsi="Garamond"/>
          <w:sz w:val="24"/>
        </w:rPr>
        <w:t>onem o ochraně osobních</w:t>
      </w:r>
      <w:r>
        <w:rPr>
          <w:rFonts w:ascii="Garamond" w:hAnsi="Garamond"/>
          <w:spacing w:val="-19"/>
          <w:sz w:val="24"/>
        </w:rPr>
        <w:t xml:space="preserve"> </w:t>
      </w:r>
      <w:r>
        <w:rPr>
          <w:rFonts w:ascii="Garamond" w:hAnsi="Garamond"/>
          <w:sz w:val="24"/>
        </w:rPr>
        <w:t>údajů.</w:t>
      </w:r>
    </w:p>
    <w:p w14:paraId="2A93CEF2" w14:textId="77777777" w:rsidR="008A533F" w:rsidRDefault="008A533F">
      <w:pPr>
        <w:pStyle w:val="Zkladntext"/>
        <w:rPr>
          <w:rFonts w:ascii="Garamond"/>
          <w:sz w:val="26"/>
        </w:rPr>
      </w:pPr>
    </w:p>
    <w:p w14:paraId="0376D8C8" w14:textId="77777777" w:rsidR="008A533F" w:rsidRDefault="008A533F">
      <w:pPr>
        <w:pStyle w:val="Zkladntext"/>
        <w:rPr>
          <w:rFonts w:ascii="Garamond"/>
          <w:sz w:val="26"/>
        </w:rPr>
      </w:pPr>
    </w:p>
    <w:p w14:paraId="01673359" w14:textId="77777777" w:rsidR="008A533F" w:rsidRDefault="006D00EA">
      <w:pPr>
        <w:pStyle w:val="Zkladntext"/>
        <w:tabs>
          <w:tab w:val="left" w:pos="5425"/>
        </w:tabs>
        <w:spacing w:before="162"/>
        <w:ind w:left="323"/>
      </w:pPr>
      <w:r>
        <w:pict w14:anchorId="39A28463">
          <v:rect id="_x0000_s1052" style="position:absolute;left:0;text-align:left;margin-left:31.25pt;margin-top:53.75pt;width:185.25pt;height:86.4pt;z-index:-251938816;mso-position-horizontal-relative:page" fillcolor="black" stroked="f">
            <w10:wrap anchorx="page"/>
          </v:rect>
        </w:pict>
      </w:r>
      <w:r>
        <w:t>V Praze</w:t>
      </w:r>
      <w:r>
        <w:rPr>
          <w:spacing w:val="-2"/>
        </w:rPr>
        <w:t xml:space="preserve"> </w:t>
      </w:r>
      <w:r>
        <w:t>dne</w:t>
      </w:r>
      <w:r>
        <w:rPr>
          <w:spacing w:val="-4"/>
        </w:rPr>
        <w:t xml:space="preserve"> </w:t>
      </w:r>
      <w:r>
        <w:t>……………</w:t>
      </w:r>
      <w:r>
        <w:tab/>
        <w:t>V Ústí nad Labem dne</w:t>
      </w:r>
      <w:r>
        <w:rPr>
          <w:spacing w:val="-7"/>
        </w:rPr>
        <w:t xml:space="preserve"> </w:t>
      </w:r>
      <w:r>
        <w:t>…</w:t>
      </w:r>
      <w:proofErr w:type="gramStart"/>
      <w:r>
        <w:t>…….</w:t>
      </w:r>
      <w:proofErr w:type="gramEnd"/>
      <w:r>
        <w:t>.</w:t>
      </w:r>
    </w:p>
    <w:p w14:paraId="6F2983C5" w14:textId="77777777" w:rsidR="008A533F" w:rsidRDefault="008A533F">
      <w:pPr>
        <w:pStyle w:val="Zkladntext"/>
        <w:rPr>
          <w:sz w:val="20"/>
        </w:rPr>
      </w:pPr>
    </w:p>
    <w:p w14:paraId="26B0FD60" w14:textId="77777777" w:rsidR="008A533F" w:rsidRDefault="008A533F">
      <w:pPr>
        <w:pStyle w:val="Zkladntext"/>
        <w:rPr>
          <w:sz w:val="20"/>
        </w:rPr>
      </w:pPr>
    </w:p>
    <w:p w14:paraId="6EF524F6" w14:textId="77777777" w:rsidR="008A533F" w:rsidRDefault="008A533F">
      <w:pPr>
        <w:pStyle w:val="Zkladntext"/>
        <w:rPr>
          <w:sz w:val="20"/>
        </w:rPr>
      </w:pPr>
    </w:p>
    <w:p w14:paraId="4D97F072" w14:textId="77777777" w:rsidR="008A533F" w:rsidRDefault="006D00EA">
      <w:pPr>
        <w:pStyle w:val="Zkladntext"/>
        <w:spacing w:before="11"/>
        <w:rPr>
          <w:sz w:val="17"/>
        </w:rPr>
      </w:pPr>
      <w:r>
        <w:pict w14:anchorId="2ABD95A5">
          <v:group id="_x0000_s1038" style="position:absolute;margin-left:304.25pt;margin-top:12.9pt;width:183.55pt;height:59.4pt;z-index:-251653120;mso-wrap-distance-left:0;mso-wrap-distance-right:0;mso-position-horizontal-relative:page" coordorigin="6085,258" coordsize="3671,1188">
            <v:shape id="_x0000_s1051" style="position:absolute;left:7370;top:292;width:586;height:567" coordorigin="7371,292" coordsize="586,567" o:spt="100" adj="0,,0" path="m7474,758r-52,33l7389,824r-17,28l7371,858r13,l7403,828r31,-35l7474,758xm7637,292r-16,l7609,299r-6,19l7601,338r,31l7602,381r2,15l7610,428r3,17l7617,461r4,17l7612,510r-24,62l7552,650r-42,83l7464,807r-43,51l7443,858r6,-5l7487,805r45,-72l7538,732r-6,l7575,653r29,-61l7622,546r10,-35l7653,511r-13,-35l7644,445r-12,l7625,418r-5,-25l7618,369r-1,-22l7617,338r2,-16l7622,306r8,-11l7644,295r-7,-3xm7692,680r-47,12l7588,710r-56,22l7538,732r51,-16l7651,701r41,-7l7692,680xm7653,511r-21,l7665,577r27,35l7692,581r-14,-21l7656,519r-3,-8xm7650,341r-3,18l7638,411r-6,34l7644,445r1,-4l7648,408r2,-67xm7644,295r-14,l7636,299r7,7l7648,316r2,14l7653,308r-5,-12l7644,295xm7910,711r-57,l7858,713r10,3l7955,716r,-1l7937,715r-24,-3l7910,711xm7956,711r-1,l7952,713r-7,2l7955,715r1,-4xe" fillcolor="#ffd7d7" stroked="f">
              <v:stroke joinstyle="round"/>
              <v:formulas/>
              <v:path arrowok="t" o:connecttype="segments"/>
            </v:shape>
            <v:line id="_x0000_s1050" style="position:absolute" from="6980,857" to="7672,857" strokeweight=".1pt"/>
            <v:line id="_x0000_s1049" style="position:absolute" from="7000,854" to="7672,854" strokeweight=".18pt"/>
            <v:rect id="_x0000_s1048" style="position:absolute;left:6097;top:258;width:1336;height:328" fillcolor="black" stroked="f"/>
            <v:rect id="_x0000_s1047" style="position:absolute;left:7672;top:272;width:1396;height:164" fillcolor="black" stroked="f"/>
            <v:rect id="_x0000_s1046" style="position:absolute;left:7672;top:418;width:838;height:149" fillcolor="black" stroked="f"/>
            <v:rect id="_x0000_s1045" style="position:absolute;left:6097;top:548;width:883;height:328" fillcolor="black" stroked="f"/>
            <v:rect id="_x0000_s1044" style="position:absolute;left:7672;top:567;width:1074;height:164" fillcolor="black" stroked="f"/>
            <v:line id="_x0000_s1043" style="position:absolute" from="8875,860" to="9286,860" strokeweight=".2pt"/>
            <v:line id="_x0000_s1042" style="position:absolute" from="8604,855" to="9286,855" strokeweight=".3pt"/>
            <v:rect id="_x0000_s1041" style="position:absolute;left:7671;top:735;width:913;height:143" fillcolor="black" stroked="f"/>
            <v:rect id="_x0000_s1040" style="position:absolute;left:6085;top:878;width:2770;height:272" fillcolor="black" stroked="f"/>
            <v:rect id="_x0000_s1039" style="position:absolute;left:6085;top:1149;width:3671;height:296" fillcolor="black" stroked="f"/>
            <w10:wrap type="topAndBottom" anchorx="page"/>
          </v:group>
        </w:pict>
      </w:r>
    </w:p>
    <w:p w14:paraId="58F021A6" w14:textId="77777777" w:rsidR="008A533F" w:rsidRDefault="008A533F">
      <w:pPr>
        <w:rPr>
          <w:sz w:val="17"/>
        </w:rPr>
        <w:sectPr w:rsidR="008A533F">
          <w:pgSz w:w="11920" w:h="16850"/>
          <w:pgMar w:top="1320" w:right="860" w:bottom="740" w:left="680" w:header="763" w:footer="549" w:gutter="0"/>
          <w:cols w:space="708"/>
        </w:sectPr>
      </w:pPr>
    </w:p>
    <w:p w14:paraId="0F47CE26" w14:textId="77777777" w:rsidR="008A533F" w:rsidRDefault="006D00EA">
      <w:pPr>
        <w:pStyle w:val="Nadpis2"/>
        <w:spacing w:before="88"/>
        <w:ind w:left="323" w:firstLine="0"/>
      </w:pPr>
      <w:bookmarkStart w:id="13" w:name="PŘÍLOHA:_Rozsah_licence_v_průběhu_pilotn"/>
      <w:bookmarkEnd w:id="13"/>
      <w:r>
        <w:lastRenderedPageBreak/>
        <w:t>PŘÍLOHA: Rozsah licence v průběhu pilotního provozu</w:t>
      </w:r>
    </w:p>
    <w:p w14:paraId="50BC5069" w14:textId="77777777" w:rsidR="008A533F" w:rsidRDefault="008A533F">
      <w:pPr>
        <w:pStyle w:val="Zkladntext"/>
        <w:spacing w:before="7"/>
        <w:rPr>
          <w:b/>
        </w:rPr>
      </w:pPr>
    </w:p>
    <w:p w14:paraId="6365A65B" w14:textId="77777777" w:rsidR="008A533F" w:rsidRDefault="006D00EA">
      <w:pPr>
        <w:pStyle w:val="Odstavecseseznamem"/>
        <w:numPr>
          <w:ilvl w:val="0"/>
          <w:numId w:val="3"/>
        </w:numPr>
        <w:tabs>
          <w:tab w:val="left" w:pos="745"/>
          <w:tab w:val="left" w:pos="746"/>
        </w:tabs>
        <w:spacing w:line="265" w:lineRule="exact"/>
        <w:ind w:hanging="426"/>
        <w:rPr>
          <w:b/>
        </w:rPr>
      </w:pPr>
      <w:r>
        <w:rPr>
          <w:b/>
        </w:rPr>
        <w:t>Specifikace obsahu a počtu</w:t>
      </w:r>
      <w:r>
        <w:rPr>
          <w:b/>
          <w:spacing w:val="-10"/>
        </w:rPr>
        <w:t xml:space="preserve"> </w:t>
      </w:r>
      <w:r>
        <w:rPr>
          <w:b/>
        </w:rPr>
        <w:t>licencí</w:t>
      </w:r>
    </w:p>
    <w:p w14:paraId="4DABE592" w14:textId="77777777" w:rsidR="008A533F" w:rsidRDefault="006D00EA">
      <w:pPr>
        <w:pStyle w:val="Zkladntext"/>
        <w:ind w:left="745" w:right="780"/>
      </w:pPr>
      <w:r>
        <w:t>Prostřednictvím uživatelského účtu bude uživatel oprávněn přistupovat a užívat výlučně následující databáze (moduly) Beck-online:</w:t>
      </w:r>
    </w:p>
    <w:p w14:paraId="5692FD2F" w14:textId="77777777" w:rsidR="008A533F" w:rsidRDefault="008A533F">
      <w:pPr>
        <w:pStyle w:val="Zkladntext"/>
        <w:rPr>
          <w:sz w:val="20"/>
        </w:rPr>
      </w:pPr>
    </w:p>
    <w:p w14:paraId="6007EA89" w14:textId="77777777" w:rsidR="008A533F" w:rsidRDefault="008A533F">
      <w:pPr>
        <w:pStyle w:val="Zkladntext"/>
        <w:rPr>
          <w:sz w:val="20"/>
        </w:rPr>
      </w:pPr>
    </w:p>
    <w:p w14:paraId="2ABD6A47" w14:textId="77777777" w:rsidR="008A533F" w:rsidRDefault="008A533F">
      <w:pPr>
        <w:pStyle w:val="Zkladntext"/>
        <w:spacing w:before="7"/>
        <w:rPr>
          <w:sz w:val="23"/>
        </w:rPr>
      </w:pPr>
    </w:p>
    <w:tbl>
      <w:tblPr>
        <w:tblStyle w:val="TableNormal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3281"/>
      </w:tblGrid>
      <w:tr w:rsidR="008A533F" w14:paraId="6AF0BEA0" w14:textId="77777777">
        <w:trPr>
          <w:trHeight w:val="245"/>
        </w:trPr>
        <w:tc>
          <w:tcPr>
            <w:tcW w:w="3281" w:type="dxa"/>
          </w:tcPr>
          <w:p w14:paraId="3FA2FDD6" w14:textId="77777777" w:rsidR="008A533F" w:rsidRDefault="006D00EA">
            <w:pPr>
              <w:pStyle w:val="TableParagraph"/>
              <w:tabs>
                <w:tab w:val="left" w:pos="3281"/>
              </w:tabs>
              <w:spacing w:line="225" w:lineRule="exact"/>
              <w:ind w:left="58" w:right="-15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Modul</w:t>
            </w:r>
            <w:r>
              <w:rPr>
                <w:b/>
                <w:u w:val="single"/>
              </w:rPr>
              <w:tab/>
            </w:r>
          </w:p>
        </w:tc>
      </w:tr>
      <w:tr w:rsidR="008A533F" w14:paraId="677144F8" w14:textId="77777777">
        <w:trPr>
          <w:trHeight w:val="271"/>
        </w:trPr>
        <w:tc>
          <w:tcPr>
            <w:tcW w:w="3281" w:type="dxa"/>
          </w:tcPr>
          <w:p w14:paraId="30CDEFB2" w14:textId="77777777" w:rsidR="008A533F" w:rsidRDefault="006D00EA">
            <w:pPr>
              <w:pStyle w:val="TableParagraph"/>
              <w:spacing w:line="250" w:lineRule="exact"/>
            </w:pPr>
            <w:r>
              <w:t>Beck-online PRO</w:t>
            </w:r>
          </w:p>
        </w:tc>
      </w:tr>
      <w:tr w:rsidR="008A533F" w14:paraId="01C9BA1F" w14:textId="77777777">
        <w:trPr>
          <w:trHeight w:val="267"/>
        </w:trPr>
        <w:tc>
          <w:tcPr>
            <w:tcW w:w="3281" w:type="dxa"/>
          </w:tcPr>
          <w:p w14:paraId="7F6FDEF8" w14:textId="77777777" w:rsidR="008A533F" w:rsidRDefault="006D00EA">
            <w:pPr>
              <w:pStyle w:val="TableParagraph"/>
              <w:spacing w:line="248" w:lineRule="exact"/>
            </w:pPr>
            <w:r>
              <w:t>Daňové právo</w:t>
            </w:r>
          </w:p>
        </w:tc>
      </w:tr>
      <w:tr w:rsidR="008A533F" w14:paraId="1F5DA4C9" w14:textId="77777777">
        <w:trPr>
          <w:trHeight w:val="266"/>
        </w:trPr>
        <w:tc>
          <w:tcPr>
            <w:tcW w:w="3281" w:type="dxa"/>
          </w:tcPr>
          <w:p w14:paraId="32F5EBA3" w14:textId="77777777" w:rsidR="008A533F" w:rsidRDefault="006D00EA">
            <w:pPr>
              <w:pStyle w:val="TableParagraph"/>
            </w:pPr>
            <w:r>
              <w:t>Duševní vlastnictví</w:t>
            </w:r>
          </w:p>
        </w:tc>
      </w:tr>
      <w:tr w:rsidR="008A533F" w14:paraId="752BB405" w14:textId="77777777">
        <w:trPr>
          <w:trHeight w:val="267"/>
        </w:trPr>
        <w:tc>
          <w:tcPr>
            <w:tcW w:w="3281" w:type="dxa"/>
          </w:tcPr>
          <w:p w14:paraId="668771F5" w14:textId="77777777" w:rsidR="008A533F" w:rsidRDefault="006D00EA">
            <w:pPr>
              <w:pStyle w:val="TableParagraph"/>
              <w:spacing w:line="248" w:lineRule="exact"/>
            </w:pPr>
            <w:r>
              <w:t>Finanční právo</w:t>
            </w:r>
          </w:p>
        </w:tc>
      </w:tr>
      <w:tr w:rsidR="008A533F" w14:paraId="062E6342" w14:textId="77777777">
        <w:trPr>
          <w:trHeight w:val="267"/>
        </w:trPr>
        <w:tc>
          <w:tcPr>
            <w:tcW w:w="3281" w:type="dxa"/>
          </w:tcPr>
          <w:p w14:paraId="28A612DD" w14:textId="77777777" w:rsidR="008A533F" w:rsidRDefault="006D00EA">
            <w:pPr>
              <w:pStyle w:val="TableParagraph"/>
              <w:spacing w:line="247" w:lineRule="exact"/>
            </w:pPr>
            <w:r>
              <w:t>Justiční a procesní právo PLUS</w:t>
            </w:r>
          </w:p>
        </w:tc>
      </w:tr>
      <w:tr w:rsidR="008A533F" w14:paraId="42F7ED0C" w14:textId="77777777">
        <w:trPr>
          <w:trHeight w:val="268"/>
        </w:trPr>
        <w:tc>
          <w:tcPr>
            <w:tcW w:w="3281" w:type="dxa"/>
          </w:tcPr>
          <w:p w14:paraId="3CA28C94" w14:textId="77777777" w:rsidR="008A533F" w:rsidRDefault="006D00EA">
            <w:pPr>
              <w:pStyle w:val="TableParagraph"/>
              <w:spacing w:line="249" w:lineRule="exact"/>
            </w:pPr>
            <w:r>
              <w:t>Občanské právo PLUS</w:t>
            </w:r>
          </w:p>
        </w:tc>
      </w:tr>
      <w:tr w:rsidR="008A533F" w14:paraId="0BCCCECD" w14:textId="77777777">
        <w:trPr>
          <w:trHeight w:val="267"/>
        </w:trPr>
        <w:tc>
          <w:tcPr>
            <w:tcW w:w="3281" w:type="dxa"/>
          </w:tcPr>
          <w:p w14:paraId="3C4DB2B0" w14:textId="77777777" w:rsidR="008A533F" w:rsidRDefault="006D00EA">
            <w:pPr>
              <w:pStyle w:val="TableParagraph"/>
              <w:spacing w:line="248" w:lineRule="exact"/>
            </w:pPr>
            <w:r>
              <w:t>Obchodní korporace PLUS</w:t>
            </w:r>
          </w:p>
        </w:tc>
      </w:tr>
      <w:tr w:rsidR="008A533F" w14:paraId="15527DBD" w14:textId="77777777">
        <w:trPr>
          <w:trHeight w:val="267"/>
        </w:trPr>
        <w:tc>
          <w:tcPr>
            <w:tcW w:w="3281" w:type="dxa"/>
          </w:tcPr>
          <w:p w14:paraId="4B263F2D" w14:textId="77777777" w:rsidR="008A533F" w:rsidRDefault="006D00EA">
            <w:pPr>
              <w:pStyle w:val="TableParagraph"/>
              <w:spacing w:line="247" w:lineRule="exact"/>
            </w:pPr>
            <w:r>
              <w:t>Pracovní a sociální právo PLUS</w:t>
            </w:r>
          </w:p>
        </w:tc>
      </w:tr>
      <w:tr w:rsidR="008A533F" w14:paraId="76B3C5D7" w14:textId="77777777">
        <w:trPr>
          <w:trHeight w:val="268"/>
        </w:trPr>
        <w:tc>
          <w:tcPr>
            <w:tcW w:w="3281" w:type="dxa"/>
          </w:tcPr>
          <w:p w14:paraId="18AE6DB7" w14:textId="77777777" w:rsidR="008A533F" w:rsidRDefault="006D00EA">
            <w:pPr>
              <w:pStyle w:val="TableParagraph"/>
              <w:spacing w:line="249" w:lineRule="exact"/>
            </w:pPr>
            <w:r>
              <w:t>Soutěžní právo</w:t>
            </w:r>
          </w:p>
        </w:tc>
      </w:tr>
      <w:tr w:rsidR="008A533F" w14:paraId="1797CB95" w14:textId="77777777">
        <w:trPr>
          <w:trHeight w:val="268"/>
        </w:trPr>
        <w:tc>
          <w:tcPr>
            <w:tcW w:w="3281" w:type="dxa"/>
          </w:tcPr>
          <w:p w14:paraId="69B9CA6E" w14:textId="77777777" w:rsidR="008A533F" w:rsidRDefault="006D00EA">
            <w:pPr>
              <w:pStyle w:val="TableParagraph"/>
              <w:spacing w:line="249" w:lineRule="exact"/>
            </w:pPr>
            <w:r>
              <w:t>Správní a ústavní právo</w:t>
            </w:r>
          </w:p>
        </w:tc>
      </w:tr>
      <w:tr w:rsidR="008A533F" w14:paraId="3A3668F7" w14:textId="77777777">
        <w:trPr>
          <w:trHeight w:val="266"/>
        </w:trPr>
        <w:tc>
          <w:tcPr>
            <w:tcW w:w="3281" w:type="dxa"/>
          </w:tcPr>
          <w:p w14:paraId="3569E301" w14:textId="77777777" w:rsidR="008A533F" w:rsidRDefault="006D00EA">
            <w:pPr>
              <w:pStyle w:val="TableParagraph"/>
            </w:pPr>
            <w:r>
              <w:t xml:space="preserve">Správní </w:t>
            </w:r>
            <w:proofErr w:type="gramStart"/>
            <w:r>
              <w:t>právo - obce</w:t>
            </w:r>
            <w:proofErr w:type="gramEnd"/>
            <w:r>
              <w:t xml:space="preserve"> a kraje</w:t>
            </w:r>
          </w:p>
        </w:tc>
      </w:tr>
      <w:tr w:rsidR="008A533F" w14:paraId="5C22F179" w14:textId="77777777">
        <w:trPr>
          <w:trHeight w:val="266"/>
        </w:trPr>
        <w:tc>
          <w:tcPr>
            <w:tcW w:w="3281" w:type="dxa"/>
          </w:tcPr>
          <w:p w14:paraId="5465B022" w14:textId="77777777" w:rsidR="008A533F" w:rsidRDefault="006D00EA">
            <w:pPr>
              <w:pStyle w:val="TableParagraph"/>
            </w:pPr>
            <w:r>
              <w:t xml:space="preserve">Správní </w:t>
            </w:r>
            <w:proofErr w:type="gramStart"/>
            <w:r>
              <w:t>právo - stavební</w:t>
            </w:r>
            <w:proofErr w:type="gramEnd"/>
            <w:r>
              <w:t xml:space="preserve"> právo</w:t>
            </w:r>
          </w:p>
        </w:tc>
      </w:tr>
      <w:tr w:rsidR="008A533F" w14:paraId="05E1B40C" w14:textId="77777777">
        <w:trPr>
          <w:trHeight w:val="259"/>
        </w:trPr>
        <w:tc>
          <w:tcPr>
            <w:tcW w:w="3281" w:type="dxa"/>
          </w:tcPr>
          <w:p w14:paraId="4396A917" w14:textId="77777777" w:rsidR="008A533F" w:rsidRDefault="006D00EA">
            <w:pPr>
              <w:pStyle w:val="TableParagraph"/>
              <w:spacing w:line="239" w:lineRule="exact"/>
            </w:pPr>
            <w:r>
              <w:t xml:space="preserve">Správní </w:t>
            </w:r>
            <w:proofErr w:type="gramStart"/>
            <w:r>
              <w:t>právo - zvláštní</w:t>
            </w:r>
            <w:proofErr w:type="gramEnd"/>
            <w:r>
              <w:t xml:space="preserve"> předpisy</w:t>
            </w:r>
          </w:p>
        </w:tc>
      </w:tr>
      <w:tr w:rsidR="008A533F" w14:paraId="209C4EFB" w14:textId="77777777">
        <w:trPr>
          <w:trHeight w:val="235"/>
        </w:trPr>
        <w:tc>
          <w:tcPr>
            <w:tcW w:w="3281" w:type="dxa"/>
          </w:tcPr>
          <w:p w14:paraId="3EC4D7EC" w14:textId="77777777" w:rsidR="008A533F" w:rsidRDefault="006D00EA">
            <w:pPr>
              <w:pStyle w:val="TableParagraph"/>
              <w:spacing w:line="215" w:lineRule="exact"/>
            </w:pPr>
            <w:r>
              <w:t>Trestní právo PLUS</w:t>
            </w:r>
          </w:p>
        </w:tc>
      </w:tr>
    </w:tbl>
    <w:p w14:paraId="278EA949" w14:textId="77777777" w:rsidR="008A533F" w:rsidRDefault="008A533F">
      <w:pPr>
        <w:pStyle w:val="Zkladntext"/>
        <w:rPr>
          <w:sz w:val="20"/>
        </w:rPr>
      </w:pPr>
    </w:p>
    <w:p w14:paraId="27010E8B" w14:textId="77777777" w:rsidR="008A533F" w:rsidRDefault="008A533F">
      <w:pPr>
        <w:pStyle w:val="Zkladntext"/>
        <w:spacing w:before="10"/>
        <w:rPr>
          <w:sz w:val="17"/>
        </w:rPr>
      </w:pPr>
    </w:p>
    <w:p w14:paraId="6E97A6BC" w14:textId="77777777" w:rsidR="008A533F" w:rsidRDefault="006D00EA">
      <w:pPr>
        <w:pStyle w:val="Zkladntext"/>
        <w:spacing w:before="1" w:line="254" w:lineRule="auto"/>
        <w:ind w:left="745"/>
      </w:pPr>
      <w:r>
        <w:t>Oprávnění</w:t>
      </w:r>
      <w:r>
        <w:rPr>
          <w:spacing w:val="-16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přístupu</w:t>
      </w:r>
      <w:r>
        <w:rPr>
          <w:spacing w:val="-14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Beck-online</w:t>
      </w:r>
      <w:r>
        <w:rPr>
          <w:spacing w:val="-12"/>
        </w:rPr>
        <w:t xml:space="preserve"> </w:t>
      </w:r>
      <w:r>
        <w:t>budou</w:t>
      </w:r>
      <w:r>
        <w:rPr>
          <w:spacing w:val="-16"/>
        </w:rPr>
        <w:t xml:space="preserve"> </w:t>
      </w:r>
      <w:r>
        <w:t>mít</w:t>
      </w:r>
      <w:r>
        <w:rPr>
          <w:spacing w:val="-15"/>
        </w:rPr>
        <w:t xml:space="preserve"> </w:t>
      </w:r>
      <w:r>
        <w:t>všichni</w:t>
      </w:r>
      <w:r>
        <w:rPr>
          <w:spacing w:val="-15"/>
        </w:rPr>
        <w:t xml:space="preserve"> </w:t>
      </w:r>
      <w:r>
        <w:t>zaměstnanci</w:t>
      </w:r>
      <w:r>
        <w:rPr>
          <w:spacing w:val="-15"/>
        </w:rPr>
        <w:t xml:space="preserve"> </w:t>
      </w:r>
      <w:r>
        <w:t>uživatele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okresních</w:t>
      </w:r>
      <w:r>
        <w:rPr>
          <w:spacing w:val="-14"/>
        </w:rPr>
        <w:t xml:space="preserve"> </w:t>
      </w:r>
      <w:r>
        <w:t>soudů</w:t>
      </w:r>
      <w:r>
        <w:rPr>
          <w:spacing w:val="-15"/>
        </w:rPr>
        <w:t xml:space="preserve"> </w:t>
      </w:r>
      <w:r>
        <w:t>spadajících do jeho</w:t>
      </w:r>
      <w:r>
        <w:rPr>
          <w:spacing w:val="1"/>
        </w:rPr>
        <w:t xml:space="preserve"> </w:t>
      </w:r>
      <w:r>
        <w:t>působnosti.</w:t>
      </w:r>
    </w:p>
    <w:p w14:paraId="4AE47BFF" w14:textId="77777777" w:rsidR="008A533F" w:rsidRDefault="008A533F">
      <w:pPr>
        <w:pStyle w:val="Zkladntext"/>
      </w:pPr>
    </w:p>
    <w:p w14:paraId="3A75CFA9" w14:textId="77777777" w:rsidR="008A533F" w:rsidRDefault="008A533F">
      <w:pPr>
        <w:pStyle w:val="Zkladntext"/>
      </w:pPr>
    </w:p>
    <w:p w14:paraId="54AC610F" w14:textId="77777777" w:rsidR="008A533F" w:rsidRDefault="008A533F">
      <w:pPr>
        <w:pStyle w:val="Zkladntext"/>
        <w:spacing w:before="3"/>
        <w:rPr>
          <w:sz w:val="16"/>
        </w:rPr>
      </w:pPr>
    </w:p>
    <w:p w14:paraId="74144E0B" w14:textId="77777777" w:rsidR="008A533F" w:rsidRDefault="006D00EA">
      <w:pPr>
        <w:pStyle w:val="Nadpis2"/>
        <w:numPr>
          <w:ilvl w:val="0"/>
          <w:numId w:val="3"/>
        </w:numPr>
        <w:tabs>
          <w:tab w:val="left" w:pos="745"/>
          <w:tab w:val="left" w:pos="746"/>
        </w:tabs>
        <w:ind w:hanging="426"/>
      </w:pPr>
      <w:bookmarkStart w:id="14" w:name="B._Předplatné_období_a_odměna"/>
      <w:bookmarkEnd w:id="14"/>
      <w:r>
        <w:t>Předplatné období a</w:t>
      </w:r>
      <w:r>
        <w:rPr>
          <w:spacing w:val="-2"/>
        </w:rPr>
        <w:t xml:space="preserve"> </w:t>
      </w:r>
      <w:r>
        <w:t>odměna</w:t>
      </w:r>
    </w:p>
    <w:p w14:paraId="4A02F4C8" w14:textId="77777777" w:rsidR="008A533F" w:rsidRDefault="006D00EA">
      <w:pPr>
        <w:spacing w:before="1"/>
        <w:ind w:left="748" w:right="207" w:hanging="3"/>
        <w:rPr>
          <w:b/>
        </w:rPr>
      </w:pPr>
      <w:r>
        <w:t xml:space="preserve">Odměna je sjednána vždy pro období dvanácti po sobě jdoucích kalendářních měsíců (dále jen </w:t>
      </w:r>
      <w:r>
        <w:rPr>
          <w:b/>
        </w:rPr>
        <w:t>„období“</w:t>
      </w:r>
      <w:r>
        <w:t xml:space="preserve">). První období se sjednává od </w:t>
      </w:r>
      <w:r>
        <w:rPr>
          <w:b/>
        </w:rPr>
        <w:t xml:space="preserve">1. 7. 2023 </w:t>
      </w:r>
      <w:r>
        <w:t xml:space="preserve">do </w:t>
      </w:r>
      <w:r>
        <w:rPr>
          <w:b/>
        </w:rPr>
        <w:t>31. 12. 2024.</w:t>
      </w:r>
    </w:p>
    <w:p w14:paraId="6E756F00" w14:textId="77777777" w:rsidR="008A533F" w:rsidRDefault="006D00EA">
      <w:pPr>
        <w:pStyle w:val="Zkladntext"/>
        <w:ind w:left="748" w:right="570" w:hanging="3"/>
      </w:pPr>
      <w:r>
        <w:t xml:space="preserve">Odměna za celé období pilotního provozu činí </w:t>
      </w:r>
      <w:r>
        <w:rPr>
          <w:b/>
        </w:rPr>
        <w:t xml:space="preserve">1 275 000 Kč bez DPH </w:t>
      </w:r>
      <w:r>
        <w:t xml:space="preserve">(dále jen </w:t>
      </w:r>
      <w:r>
        <w:rPr>
          <w:b/>
        </w:rPr>
        <w:t>„odměna“</w:t>
      </w:r>
      <w:r>
        <w:t>). Uživatel se</w:t>
      </w:r>
      <w:r>
        <w:t xml:space="preserve"> zavazuje zároveň s odměnou uhradit DPH v zákonné výši.</w:t>
      </w:r>
    </w:p>
    <w:p w14:paraId="2A3044BE" w14:textId="77777777" w:rsidR="008A533F" w:rsidRDefault="008A533F">
      <w:pPr>
        <w:pStyle w:val="Zkladntext"/>
        <w:spacing w:before="7"/>
      </w:pPr>
    </w:p>
    <w:p w14:paraId="18C9FCAD" w14:textId="77777777" w:rsidR="008A533F" w:rsidRDefault="006D00EA">
      <w:pPr>
        <w:pStyle w:val="Zkladntext"/>
        <w:spacing w:before="1" w:line="268" w:lineRule="exact"/>
        <w:ind w:left="748"/>
      </w:pPr>
      <w:r>
        <w:t>Odměna bude fakturována na dvě části</w:t>
      </w:r>
    </w:p>
    <w:p w14:paraId="17EF2F8C" w14:textId="77777777" w:rsidR="008A533F" w:rsidRDefault="006D00EA">
      <w:pPr>
        <w:pStyle w:val="Odstavecseseznamem"/>
        <w:numPr>
          <w:ilvl w:val="0"/>
          <w:numId w:val="2"/>
        </w:numPr>
        <w:tabs>
          <w:tab w:val="left" w:pos="1107"/>
          <w:tab w:val="left" w:pos="1108"/>
        </w:tabs>
        <w:spacing w:line="264" w:lineRule="exact"/>
      </w:pPr>
      <w:r>
        <w:t>První</w:t>
      </w:r>
      <w:r>
        <w:rPr>
          <w:spacing w:val="18"/>
        </w:rPr>
        <w:t xml:space="preserve"> </w:t>
      </w:r>
      <w:r>
        <w:t>faktura</w:t>
      </w:r>
      <w:r>
        <w:rPr>
          <w:spacing w:val="16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výši</w:t>
      </w:r>
      <w:r>
        <w:rPr>
          <w:spacing w:val="18"/>
        </w:rPr>
        <w:t xml:space="preserve"> </w:t>
      </w:r>
      <w:r>
        <w:t>425</w:t>
      </w:r>
      <w:r>
        <w:rPr>
          <w:spacing w:val="-4"/>
        </w:rPr>
        <w:t xml:space="preserve"> </w:t>
      </w:r>
      <w:r>
        <w:t>000</w:t>
      </w:r>
      <w:r>
        <w:rPr>
          <w:spacing w:val="19"/>
        </w:rPr>
        <w:t xml:space="preserve"> </w:t>
      </w:r>
      <w:r>
        <w:t>Kč</w:t>
      </w:r>
      <w:r>
        <w:rPr>
          <w:spacing w:val="22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období</w:t>
      </w:r>
      <w:r>
        <w:rPr>
          <w:spacing w:val="19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7.</w:t>
      </w:r>
      <w:r>
        <w:rPr>
          <w:spacing w:val="16"/>
        </w:rPr>
        <w:t xml:space="preserve"> </w:t>
      </w:r>
      <w:r>
        <w:t>2023</w:t>
      </w:r>
      <w:r>
        <w:rPr>
          <w:spacing w:val="19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31.</w:t>
      </w:r>
      <w:r>
        <w:rPr>
          <w:spacing w:val="19"/>
        </w:rPr>
        <w:t xml:space="preserve"> </w:t>
      </w:r>
      <w:r>
        <w:t>12.</w:t>
      </w:r>
      <w:r>
        <w:rPr>
          <w:spacing w:val="18"/>
        </w:rPr>
        <w:t xml:space="preserve"> </w:t>
      </w:r>
      <w:r>
        <w:t>2023</w:t>
      </w:r>
      <w:r>
        <w:rPr>
          <w:spacing w:val="23"/>
        </w:rPr>
        <w:t xml:space="preserve"> </w:t>
      </w:r>
      <w:r>
        <w:t>bude</w:t>
      </w:r>
      <w:r>
        <w:rPr>
          <w:spacing w:val="19"/>
        </w:rPr>
        <w:t xml:space="preserve"> </w:t>
      </w:r>
      <w:r>
        <w:t>ponížena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již</w:t>
      </w:r>
      <w:r>
        <w:rPr>
          <w:spacing w:val="20"/>
        </w:rPr>
        <w:t xml:space="preserve"> </w:t>
      </w:r>
      <w:r>
        <w:t>zaplacené</w:t>
      </w:r>
    </w:p>
    <w:p w14:paraId="4DFFD843" w14:textId="77777777" w:rsidR="008A533F" w:rsidRDefault="006D00EA">
      <w:pPr>
        <w:pStyle w:val="Zkladntext"/>
        <w:spacing w:line="265" w:lineRule="exact"/>
        <w:ind w:left="1107"/>
      </w:pPr>
      <w:r>
        <w:t>předplatné ve výši 213 250 Kč.</w:t>
      </w:r>
    </w:p>
    <w:p w14:paraId="6B186A57" w14:textId="77777777" w:rsidR="008A533F" w:rsidRDefault="006D00EA">
      <w:pPr>
        <w:pStyle w:val="Odstavecseseznamem"/>
        <w:numPr>
          <w:ilvl w:val="0"/>
          <w:numId w:val="2"/>
        </w:numPr>
        <w:tabs>
          <w:tab w:val="left" w:pos="1107"/>
          <w:tab w:val="left" w:pos="1108"/>
        </w:tabs>
      </w:pPr>
      <w:r>
        <w:t>Druhá faktura ve výši 850 000 Kč za období 1. 1. 2024 – 31. 12.</w:t>
      </w:r>
      <w:r>
        <w:rPr>
          <w:spacing w:val="-38"/>
        </w:rPr>
        <w:t xml:space="preserve"> </w:t>
      </w:r>
      <w:r>
        <w:t>2024.</w:t>
      </w:r>
    </w:p>
    <w:p w14:paraId="22B469F1" w14:textId="77777777" w:rsidR="008A533F" w:rsidRDefault="008A533F">
      <w:pPr>
        <w:pStyle w:val="Zkladntext"/>
      </w:pPr>
    </w:p>
    <w:p w14:paraId="7E511066" w14:textId="77777777" w:rsidR="008A533F" w:rsidRDefault="008A533F">
      <w:pPr>
        <w:pStyle w:val="Zkladntext"/>
      </w:pPr>
    </w:p>
    <w:p w14:paraId="06EF0EB2" w14:textId="77777777" w:rsidR="008A533F" w:rsidRDefault="008A533F">
      <w:pPr>
        <w:pStyle w:val="Zkladntext"/>
        <w:spacing w:before="7"/>
        <w:rPr>
          <w:sz w:val="29"/>
        </w:rPr>
      </w:pPr>
    </w:p>
    <w:p w14:paraId="1C137D09" w14:textId="77777777" w:rsidR="008A533F" w:rsidRDefault="006D00EA">
      <w:pPr>
        <w:pStyle w:val="Nadpis2"/>
        <w:numPr>
          <w:ilvl w:val="0"/>
          <w:numId w:val="3"/>
        </w:numPr>
        <w:tabs>
          <w:tab w:val="left" w:pos="747"/>
          <w:tab w:val="left" w:pos="748"/>
        </w:tabs>
        <w:ind w:left="747" w:hanging="428"/>
      </w:pPr>
      <w:bookmarkStart w:id="15" w:name="C._Jmenný_seznam_osob_oprávněných_hlásit"/>
      <w:bookmarkEnd w:id="15"/>
      <w:r>
        <w:t>Jmenný seznam osob oprávněných hlásit změny rozsahu uživatelských práv (zrušení,</w:t>
      </w:r>
      <w:r>
        <w:rPr>
          <w:spacing w:val="-23"/>
        </w:rPr>
        <w:t xml:space="preserve"> </w:t>
      </w:r>
      <w:r>
        <w:t>zřízení)</w:t>
      </w:r>
    </w:p>
    <w:p w14:paraId="32B088DA" w14:textId="77777777" w:rsidR="008A533F" w:rsidRDefault="008A533F">
      <w:pPr>
        <w:pStyle w:val="Zkladntext"/>
        <w:spacing w:before="3"/>
        <w:rPr>
          <w:b/>
        </w:rPr>
      </w:pPr>
    </w:p>
    <w:p w14:paraId="397EF115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2325"/>
        <w:rPr>
          <w:rFonts w:ascii="Symbol" w:hAnsi="Symbol"/>
        </w:rPr>
      </w:pPr>
      <w:r>
        <w:pict w14:anchorId="46229FF3">
          <v:rect id="_x0000_s1037" style="position:absolute;left:0;text-align:left;margin-left:139.3pt;margin-top:13.8pt;width:322.45pt;height:15.5pt;z-index:-251937792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>Krajský soud v Ústí n. L.</w:t>
      </w:r>
      <w:r>
        <w:rPr>
          <w:rFonts w:ascii="Garamond" w:hAnsi="Garamond"/>
          <w:sz w:val="24"/>
        </w:rPr>
        <w:t xml:space="preserve">, Národního </w:t>
      </w:r>
      <w:proofErr w:type="spellStart"/>
      <w:r>
        <w:rPr>
          <w:rFonts w:ascii="Garamond" w:hAnsi="Garamond"/>
          <w:sz w:val="24"/>
        </w:rPr>
        <w:t>doboje</w:t>
      </w:r>
      <w:proofErr w:type="spellEnd"/>
      <w:r>
        <w:rPr>
          <w:rFonts w:ascii="Garamond" w:hAnsi="Garamond"/>
          <w:sz w:val="24"/>
        </w:rPr>
        <w:t xml:space="preserve"> 1274/26, 400 03 Ústí nad Labem,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  <w:r>
        <w:rPr>
          <w:rFonts w:ascii="Garamond" w:hAnsi="Garamond"/>
          <w:sz w:val="24"/>
        </w:rPr>
        <w:t>:</w:t>
      </w:r>
    </w:p>
    <w:p w14:paraId="55F37CF5" w14:textId="77777777" w:rsidR="008A533F" w:rsidRDefault="008A533F">
      <w:pPr>
        <w:pStyle w:val="Zkladntext"/>
        <w:spacing w:before="10"/>
        <w:rPr>
          <w:rFonts w:ascii="Garamond"/>
          <w:sz w:val="23"/>
        </w:rPr>
      </w:pPr>
    </w:p>
    <w:p w14:paraId="790DA408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2303"/>
        <w:rPr>
          <w:rFonts w:ascii="Symbol" w:hAnsi="Symbol"/>
        </w:rPr>
      </w:pPr>
      <w:r>
        <w:pict w14:anchorId="395F1248">
          <v:rect id="_x0000_s1036" style="position:absolute;left:0;text-align:left;margin-left:139.3pt;margin-top:13.8pt;width:324.6pt;height:15.5pt;z-index:-251936768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>Krajský soud v Ústí n. L. – pobočka Liberec</w:t>
      </w:r>
      <w:r>
        <w:rPr>
          <w:rFonts w:ascii="Garamond" w:hAnsi="Garamond"/>
          <w:sz w:val="24"/>
        </w:rPr>
        <w:t>, U Soudu 540/3, 460 72 Liberec,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osoba:</w:t>
      </w:r>
    </w:p>
    <w:p w14:paraId="1B5ACFBA" w14:textId="77777777" w:rsidR="008A533F" w:rsidRDefault="008A533F">
      <w:pPr>
        <w:pStyle w:val="Zkladntext"/>
        <w:spacing w:before="1"/>
        <w:rPr>
          <w:rFonts w:ascii="Garamond"/>
          <w:sz w:val="24"/>
        </w:rPr>
      </w:pPr>
    </w:p>
    <w:p w14:paraId="05DFE020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3415"/>
        <w:rPr>
          <w:rFonts w:ascii="Symbol" w:hAnsi="Symbol"/>
        </w:rPr>
      </w:pPr>
      <w:r>
        <w:pict w14:anchorId="0F4D284E">
          <v:rect id="_x0000_s1035" style="position:absolute;left:0;text-align:left;margin-left:139.4pt;margin-top:13.8pt;width:281.4pt;height:15.5pt;z-index:-251935744;mso-position-horizontal-relative:page" fillcolor="black" stroked="f">
            <w10:wrap anchorx="page"/>
          </v:rect>
        </w:pict>
      </w:r>
      <w:bookmarkStart w:id="16" w:name="_Okresní_soud_v_Chomutově,_Na_Příkopech"/>
      <w:bookmarkEnd w:id="16"/>
      <w:r>
        <w:rPr>
          <w:rFonts w:ascii="Garamond" w:hAnsi="Garamond"/>
          <w:b/>
          <w:sz w:val="24"/>
        </w:rPr>
        <w:t xml:space="preserve">Okresní soud v Chomutově, </w:t>
      </w:r>
      <w:r>
        <w:rPr>
          <w:rFonts w:ascii="Garamond" w:hAnsi="Garamond"/>
          <w:sz w:val="24"/>
        </w:rPr>
        <w:t>Na Příkopech 663, 430 14 Chomutov,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osoba:</w:t>
      </w:r>
    </w:p>
    <w:p w14:paraId="78A5DF06" w14:textId="77777777" w:rsidR="008A533F" w:rsidRDefault="008A533F">
      <w:pPr>
        <w:rPr>
          <w:rFonts w:ascii="Symbol" w:hAnsi="Symbol"/>
        </w:rPr>
        <w:sectPr w:rsidR="008A533F">
          <w:pgSz w:w="11920" w:h="16850"/>
          <w:pgMar w:top="1320" w:right="860" w:bottom="740" w:left="680" w:header="763" w:footer="549" w:gutter="0"/>
          <w:cols w:space="708"/>
        </w:sectPr>
      </w:pPr>
    </w:p>
    <w:p w14:paraId="0E69DA40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spacing w:before="91"/>
        <w:ind w:left="575" w:right="4674" w:hanging="423"/>
        <w:rPr>
          <w:rFonts w:ascii="Symbol" w:hAnsi="Symbol"/>
        </w:rPr>
      </w:pPr>
      <w:r>
        <w:lastRenderedPageBreak/>
        <w:pict w14:anchorId="1E0FEB24">
          <v:rect id="_x0000_s1034" style="position:absolute;left:0;text-align:left;margin-left:142.4pt;margin-top:18.35pt;width:298.65pt;height:15.5pt;z-index:-251934720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>Okresní soud v Lounech</w:t>
      </w:r>
      <w:r>
        <w:rPr>
          <w:rFonts w:ascii="Garamond" w:hAnsi="Garamond"/>
          <w:sz w:val="24"/>
        </w:rPr>
        <w:t>, Sladkovského 1132, 440 29,</w:t>
      </w:r>
      <w:bookmarkStart w:id="17" w:name="kontaktní_osoba:_Petr_Jakubec,_pjakubec@"/>
      <w:bookmarkEnd w:id="17"/>
      <w:r>
        <w:rPr>
          <w:rFonts w:ascii="Garamond" w:hAnsi="Garamond"/>
          <w:sz w:val="24"/>
        </w:rPr>
        <w:t xml:space="preserve">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osoba:</w:t>
      </w:r>
    </w:p>
    <w:p w14:paraId="0DE6807A" w14:textId="77777777" w:rsidR="008A533F" w:rsidRDefault="008A533F">
      <w:pPr>
        <w:pStyle w:val="Zkladntext"/>
        <w:spacing w:before="1"/>
        <w:rPr>
          <w:rFonts w:ascii="Garamond"/>
          <w:sz w:val="24"/>
        </w:rPr>
      </w:pPr>
    </w:p>
    <w:p w14:paraId="5EDB76C6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3263" w:hanging="363"/>
        <w:rPr>
          <w:rFonts w:ascii="Symbol" w:hAnsi="Symbol"/>
        </w:rPr>
      </w:pPr>
      <w:r>
        <w:pict w14:anchorId="63BC7D65">
          <v:rect id="_x0000_s1033" style="position:absolute;left:0;text-align:left;margin-left:136.75pt;margin-top:13.8pt;width:322.65pt;height:15.5pt;z-index:-251933696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 xml:space="preserve">Okresní soud v Litoměřicích, </w:t>
      </w:r>
      <w:r>
        <w:rPr>
          <w:rFonts w:ascii="Garamond" w:hAnsi="Garamond"/>
          <w:sz w:val="24"/>
        </w:rPr>
        <w:t>Na Valech 525/12, 412 97 Litoměřice,</w:t>
      </w:r>
      <w:bookmarkStart w:id="18" w:name="kontaktní_osoba_Jiří_Opočenský,_JOpocens"/>
      <w:bookmarkEnd w:id="18"/>
      <w:r>
        <w:rPr>
          <w:rFonts w:ascii="Garamond" w:hAnsi="Garamond"/>
          <w:sz w:val="24"/>
        </w:rPr>
        <w:t xml:space="preserve">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</w:p>
    <w:p w14:paraId="24687B73" w14:textId="77777777" w:rsidR="008A533F" w:rsidRDefault="008A533F">
      <w:pPr>
        <w:pStyle w:val="Zkladntext"/>
        <w:spacing w:before="1"/>
        <w:rPr>
          <w:rFonts w:ascii="Garamond"/>
          <w:sz w:val="24"/>
        </w:rPr>
      </w:pPr>
    </w:p>
    <w:p w14:paraId="5754A55F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4987" w:hanging="363"/>
        <w:rPr>
          <w:rFonts w:ascii="Symbol" w:hAnsi="Symbol"/>
        </w:rPr>
      </w:pPr>
      <w:r>
        <w:pict w14:anchorId="51238A2B">
          <v:rect id="_x0000_s1032" style="position:absolute;left:0;text-align:left;margin-left:136.75pt;margin-top:13.8pt;width:275.65pt;height:15.5pt;z-index:-251932672;mso-position-horizontal-relative:page" fillcolor="black" stroked="f">
            <w10:wrap anchorx="page"/>
          </v:rect>
        </w:pict>
      </w:r>
      <w:bookmarkStart w:id="19" w:name="kontaktní_osoba_Ing._Petr_Šic,_PSic@osou"/>
      <w:bookmarkEnd w:id="19"/>
      <w:r>
        <w:rPr>
          <w:rFonts w:ascii="Garamond" w:hAnsi="Garamond"/>
          <w:b/>
          <w:sz w:val="24"/>
        </w:rPr>
        <w:t>Okresní soud v Mostě</w:t>
      </w:r>
      <w:r>
        <w:rPr>
          <w:rFonts w:ascii="Garamond" w:hAnsi="Garamond"/>
          <w:sz w:val="24"/>
        </w:rPr>
        <w:t>, Moskevská 2, 434 74 Most,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</w:p>
    <w:p w14:paraId="655908FF" w14:textId="77777777" w:rsidR="008A533F" w:rsidRDefault="008A533F">
      <w:pPr>
        <w:pStyle w:val="Zkladntext"/>
        <w:spacing w:before="8"/>
        <w:rPr>
          <w:rFonts w:ascii="Garamond"/>
          <w:sz w:val="24"/>
        </w:rPr>
      </w:pPr>
    </w:p>
    <w:p w14:paraId="23BB1686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4317" w:hanging="363"/>
        <w:rPr>
          <w:rFonts w:ascii="Symbol" w:hAnsi="Symbol"/>
        </w:rPr>
      </w:pPr>
      <w:r>
        <w:pict w14:anchorId="5B7884D6">
          <v:rect id="_x0000_s1031" style="position:absolute;left:0;text-align:left;margin-left:136.75pt;margin-top:13.8pt;width:290.25pt;height:15.5pt;z-index:-251931648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 xml:space="preserve">Okresní soud v Teplicích, </w:t>
      </w:r>
      <w:r>
        <w:rPr>
          <w:rFonts w:ascii="Garamond" w:hAnsi="Garamond"/>
          <w:sz w:val="24"/>
        </w:rPr>
        <w:t>U Soudu 1450, 416 64 Teplice,</w:t>
      </w:r>
      <w:bookmarkStart w:id="20" w:name="kontaktní_osoba_Jiří_Mikulec,_JMikulec@o"/>
      <w:bookmarkEnd w:id="20"/>
      <w:r>
        <w:rPr>
          <w:rFonts w:ascii="Garamond" w:hAnsi="Garamond"/>
          <w:sz w:val="24"/>
        </w:rPr>
        <w:t xml:space="preserve">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</w:p>
    <w:p w14:paraId="5B5BDE22" w14:textId="77777777" w:rsidR="008A533F" w:rsidRDefault="008A533F">
      <w:pPr>
        <w:pStyle w:val="Zkladntext"/>
        <w:spacing w:before="3"/>
        <w:rPr>
          <w:rFonts w:ascii="Garamond"/>
          <w:sz w:val="23"/>
        </w:rPr>
      </w:pPr>
    </w:p>
    <w:p w14:paraId="6E6594D1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ind w:right="2615"/>
        <w:rPr>
          <w:rFonts w:ascii="Symbol" w:hAnsi="Symbol"/>
        </w:rPr>
      </w:pPr>
      <w:r>
        <w:pict w14:anchorId="398CF131">
          <v:rect id="_x0000_s1030" style="position:absolute;left:0;text-align:left;margin-left:136.75pt;margin-top:13.65pt;width:296.05pt;height:15.5pt;z-index:-251930624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>Okresní soud v Ústí nad Labem</w:t>
      </w:r>
      <w:r>
        <w:rPr>
          <w:rFonts w:ascii="Garamond" w:hAnsi="Garamond"/>
          <w:sz w:val="24"/>
        </w:rPr>
        <w:t>, Kramoly 641/37, 401 24 Ústí nad Labem,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</w:p>
    <w:p w14:paraId="4A0B074B" w14:textId="77777777" w:rsidR="008A533F" w:rsidRDefault="008A533F">
      <w:pPr>
        <w:pStyle w:val="Zkladntext"/>
        <w:spacing w:before="8"/>
        <w:rPr>
          <w:rFonts w:ascii="Garamond"/>
          <w:sz w:val="23"/>
        </w:rPr>
      </w:pPr>
    </w:p>
    <w:p w14:paraId="24239B58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spacing w:line="242" w:lineRule="auto"/>
        <w:ind w:right="4183" w:hanging="363"/>
        <w:rPr>
          <w:rFonts w:ascii="Symbol" w:hAnsi="Symbol"/>
        </w:rPr>
      </w:pPr>
      <w:r>
        <w:pict w14:anchorId="6F0DAA68">
          <v:rect id="_x0000_s1029" style="position:absolute;left:0;text-align:left;margin-left:139.4pt;margin-top:13.9pt;width:293.85pt;height:15.5pt;z-index:-251929600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 xml:space="preserve">Okresní soud v Děčíně, </w:t>
      </w:r>
      <w:r>
        <w:rPr>
          <w:rFonts w:ascii="Garamond" w:hAnsi="Garamond"/>
          <w:sz w:val="24"/>
        </w:rPr>
        <w:t>Masarykovo nám. 1, 470 52 Děčín,</w:t>
      </w:r>
      <w:bookmarkStart w:id="21" w:name="kontaktní_osoba:_Martin_Vítek,_MVitek@ks"/>
      <w:bookmarkEnd w:id="21"/>
      <w:r>
        <w:rPr>
          <w:rFonts w:ascii="Garamond" w:hAnsi="Garamond"/>
          <w:sz w:val="24"/>
        </w:rPr>
        <w:t xml:space="preserve">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osoba:</w:t>
      </w:r>
    </w:p>
    <w:p w14:paraId="050B434F" w14:textId="77777777" w:rsidR="008A533F" w:rsidRDefault="008A533F">
      <w:pPr>
        <w:pStyle w:val="Zkladntext"/>
        <w:spacing w:before="9"/>
        <w:rPr>
          <w:rFonts w:ascii="Garamond"/>
          <w:sz w:val="23"/>
        </w:rPr>
      </w:pPr>
    </w:p>
    <w:p w14:paraId="1C21D3FD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spacing w:before="1"/>
        <w:ind w:right="3892" w:hanging="363"/>
        <w:rPr>
          <w:rFonts w:ascii="Symbol" w:hAnsi="Symbol"/>
        </w:rPr>
      </w:pPr>
      <w:r>
        <w:pict w14:anchorId="7A4F4E2A">
          <v:rect id="_x0000_s1028" style="position:absolute;left:0;text-align:left;margin-left:136.75pt;margin-top:13.85pt;width:328.65pt;height:15.5pt;z-index:-251928576;mso-position-horizontal-relative:page" fillcolor="black" stroked="f">
            <w10:wrap anchorx="page"/>
          </v:rect>
        </w:pict>
      </w:r>
      <w:bookmarkStart w:id="22" w:name="kontaktní_osoba_Vojtěch_Loužecký,_VLouze"/>
      <w:bookmarkEnd w:id="22"/>
      <w:r>
        <w:rPr>
          <w:rFonts w:ascii="Garamond" w:hAnsi="Garamond"/>
          <w:b/>
          <w:sz w:val="24"/>
        </w:rPr>
        <w:t>Ok</w:t>
      </w:r>
      <w:r>
        <w:rPr>
          <w:rFonts w:ascii="Garamond" w:hAnsi="Garamond"/>
          <w:b/>
          <w:sz w:val="24"/>
        </w:rPr>
        <w:t>resní soud v České Lípě</w:t>
      </w:r>
      <w:r>
        <w:rPr>
          <w:rFonts w:ascii="Garamond" w:hAnsi="Garamond"/>
          <w:sz w:val="24"/>
        </w:rPr>
        <w:t>, Děčínská 390, 470 52 Česká</w:t>
      </w:r>
      <w:r>
        <w:rPr>
          <w:rFonts w:ascii="Garamond" w:hAnsi="Garamond"/>
          <w:spacing w:val="-38"/>
          <w:sz w:val="24"/>
        </w:rPr>
        <w:t xml:space="preserve"> </w:t>
      </w:r>
      <w:r>
        <w:rPr>
          <w:rFonts w:ascii="Garamond" w:hAnsi="Garamond"/>
          <w:sz w:val="24"/>
        </w:rPr>
        <w:t>Lípa,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</w:p>
    <w:p w14:paraId="58CE63C8" w14:textId="77777777" w:rsidR="008A533F" w:rsidRDefault="008A533F">
      <w:pPr>
        <w:pStyle w:val="Zkladntext"/>
        <w:spacing w:before="9"/>
        <w:rPr>
          <w:rFonts w:ascii="Garamond"/>
          <w:sz w:val="23"/>
        </w:rPr>
      </w:pPr>
    </w:p>
    <w:p w14:paraId="00D6C574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515"/>
          <w:tab w:val="left" w:pos="516"/>
        </w:tabs>
        <w:spacing w:before="1"/>
        <w:ind w:right="4425" w:hanging="363"/>
        <w:rPr>
          <w:rFonts w:ascii="Symbol" w:hAnsi="Symbol"/>
        </w:rPr>
      </w:pPr>
      <w:r>
        <w:pict w14:anchorId="4F76A129">
          <v:rect id="_x0000_s1027" style="position:absolute;left:0;text-align:left;margin-left:139.4pt;margin-top:13.85pt;width:303.6pt;height:15.5pt;z-index:-251927552;mso-position-horizontal-relative:page" fillcolor="black" stroked="f">
            <w10:wrap anchorx="page"/>
          </v:rect>
        </w:pict>
      </w:r>
      <w:bookmarkStart w:id="23" w:name="kontaktní_osoba:_Martin_Havlišta,_mhavli"/>
      <w:bookmarkEnd w:id="23"/>
      <w:r>
        <w:rPr>
          <w:rFonts w:ascii="Garamond" w:hAnsi="Garamond"/>
          <w:b/>
          <w:sz w:val="24"/>
        </w:rPr>
        <w:t>Okresní soud v Liberci</w:t>
      </w:r>
      <w:r>
        <w:rPr>
          <w:rFonts w:ascii="Garamond" w:hAnsi="Garamond"/>
          <w:sz w:val="24"/>
        </w:rPr>
        <w:t>, U Soudu 540/3, 460 72 Liberec,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osoba:</w:t>
      </w:r>
    </w:p>
    <w:p w14:paraId="4A61A5CB" w14:textId="77777777" w:rsidR="008A533F" w:rsidRDefault="008A533F">
      <w:pPr>
        <w:pStyle w:val="Zkladntext"/>
        <w:spacing w:before="2"/>
        <w:rPr>
          <w:rFonts w:ascii="Garamond"/>
          <w:sz w:val="24"/>
        </w:rPr>
      </w:pPr>
    </w:p>
    <w:p w14:paraId="1F222E7F" w14:textId="77777777" w:rsidR="008A533F" w:rsidRDefault="006D00EA">
      <w:pPr>
        <w:pStyle w:val="Odstavecseseznamem"/>
        <w:numPr>
          <w:ilvl w:val="0"/>
          <w:numId w:val="1"/>
        </w:numPr>
        <w:tabs>
          <w:tab w:val="left" w:pos="467"/>
          <w:tab w:val="left" w:pos="468"/>
        </w:tabs>
        <w:ind w:left="467" w:right="2141"/>
        <w:rPr>
          <w:rFonts w:ascii="Symbol" w:hAnsi="Symbol"/>
          <w:sz w:val="24"/>
        </w:rPr>
      </w:pPr>
      <w:r>
        <w:pict w14:anchorId="15117E22">
          <v:rect id="_x0000_s1026" style="position:absolute;left:0;text-align:left;margin-left:134.35pt;margin-top:14.8pt;width:324.1pt;height:15.5pt;z-index:-251926528;mso-position-horizontal-relative:page" fillcolor="black" stroked="f">
            <w10:wrap anchorx="page"/>
          </v:rect>
        </w:pict>
      </w:r>
      <w:r>
        <w:rPr>
          <w:rFonts w:ascii="Garamond" w:hAnsi="Garamond"/>
          <w:b/>
          <w:sz w:val="24"/>
        </w:rPr>
        <w:t>Okresní soud v Jablonci nad Nisou</w:t>
      </w:r>
      <w:r>
        <w:rPr>
          <w:rFonts w:ascii="Garamond" w:hAnsi="Garamond"/>
          <w:sz w:val="24"/>
        </w:rPr>
        <w:t>, Mírové nám. 5, 466 59, Jablonec nad Nisou, kontaktní</w:t>
      </w:r>
      <w:r>
        <w:rPr>
          <w:rFonts w:ascii="Garamond" w:hAnsi="Garamond"/>
          <w:spacing w:val="-1"/>
          <w:sz w:val="24"/>
        </w:rPr>
        <w:t xml:space="preserve"> </w:t>
      </w:r>
      <w:r>
        <w:rPr>
          <w:rFonts w:ascii="Garamond" w:hAnsi="Garamond"/>
          <w:sz w:val="24"/>
        </w:rPr>
        <w:t>osoba</w:t>
      </w:r>
    </w:p>
    <w:sectPr w:rsidR="008A533F">
      <w:pgSz w:w="11920" w:h="16850"/>
      <w:pgMar w:top="1320" w:right="860" w:bottom="740" w:left="680" w:header="763" w:footer="5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9EF0F" w14:textId="77777777" w:rsidR="00000000" w:rsidRDefault="006D00EA">
      <w:r>
        <w:separator/>
      </w:r>
    </w:p>
  </w:endnote>
  <w:endnote w:type="continuationSeparator" w:id="0">
    <w:p w14:paraId="5583F55E" w14:textId="77777777" w:rsidR="00000000" w:rsidRDefault="006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13AD" w14:textId="77777777" w:rsidR="008A533F" w:rsidRDefault="006D00EA">
    <w:pPr>
      <w:pStyle w:val="Zkladntext"/>
      <w:spacing w:line="14" w:lineRule="auto"/>
      <w:rPr>
        <w:sz w:val="20"/>
      </w:rPr>
    </w:pPr>
    <w:r>
      <w:pict w14:anchorId="7B760CC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2.95pt;margin-top:803.6pt;width:21.65pt;height:12.1pt;z-index:-251941888;mso-position-horizontal-relative:page;mso-position-vertical-relative:page" filled="f" stroked="f">
          <v:textbox inset="0,0,0,0">
            <w:txbxContent>
              <w:p w14:paraId="75D6FD78" w14:textId="77777777" w:rsidR="008A533F" w:rsidRDefault="006D00EA">
                <w:pPr>
                  <w:spacing w:before="14"/>
                  <w:ind w:left="60"/>
                  <w:rPr>
                    <w:rFonts w:ascii="Arial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/ 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A8D4" w14:textId="77777777" w:rsidR="00000000" w:rsidRDefault="006D00EA">
      <w:r>
        <w:separator/>
      </w:r>
    </w:p>
  </w:footnote>
  <w:footnote w:type="continuationSeparator" w:id="0">
    <w:p w14:paraId="1DAD8CC3" w14:textId="77777777" w:rsidR="00000000" w:rsidRDefault="006D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EEAF" w14:textId="77777777" w:rsidR="008A533F" w:rsidRDefault="006D00EA">
    <w:pPr>
      <w:pStyle w:val="Zkladntext"/>
      <w:spacing w:line="14" w:lineRule="auto"/>
      <w:rPr>
        <w:sz w:val="20"/>
      </w:rPr>
    </w:pPr>
    <w:r>
      <w:pict w14:anchorId="315F1D3F">
        <v:line id="_x0000_s2052" style="position:absolute;z-index:-251944960;mso-position-horizontal-relative:page;mso-position-vertical-relative:page" from="49.45pt,51.7pt" to="546.7pt,51.7pt" strokeweight=".5pt">
          <w10:wrap anchorx="page" anchory="page"/>
        </v:line>
      </w:pict>
    </w:r>
    <w:r>
      <w:pict w14:anchorId="28F1CF0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15pt;margin-top:37.15pt;width:307.95pt;height:13.05pt;z-index:-251943936;mso-position-horizontal-relative:page;mso-position-vertical-relative:page" filled="f" stroked="f">
          <v:textbox inset="0,0,0,0">
            <w:txbxContent>
              <w:p w14:paraId="7AD5F175" w14:textId="77777777" w:rsidR="008A533F" w:rsidRDefault="006D00EA">
                <w:pPr>
                  <w:pStyle w:val="Zkladntext"/>
                  <w:spacing w:line="245" w:lineRule="exact"/>
                  <w:ind w:left="20"/>
                  <w:rPr>
                    <w:rFonts w:ascii="Calibri Light" w:hAnsi="Calibri Light"/>
                  </w:rPr>
                </w:pPr>
                <w:r>
                  <w:rPr>
                    <w:rFonts w:ascii="Calibri Light" w:hAnsi="Calibri Light"/>
                  </w:rPr>
                  <w:t>SMLOUVA O PILOTNÍM PROVOZU UŽÍVÁNÍ SYSTÉMU BECK-ONLINE Č.</w:t>
                </w:r>
              </w:p>
            </w:txbxContent>
          </v:textbox>
          <w10:wrap anchorx="page" anchory="page"/>
        </v:shape>
      </w:pict>
    </w:r>
    <w:r>
      <w:pict w14:anchorId="5F9F4063">
        <v:shape id="_x0000_s2050" type="#_x0000_t202" style="position:absolute;margin-left:437.5pt;margin-top:37.15pt;width:109.9pt;height:13.05pt;z-index:-251942912;mso-position-horizontal-relative:page;mso-position-vertical-relative:page" filled="f" stroked="f">
          <v:textbox inset="0,0,0,0">
            <w:txbxContent>
              <w:p w14:paraId="2DFDF90B" w14:textId="77777777" w:rsidR="008A533F" w:rsidRDefault="006D00EA">
                <w:pPr>
                  <w:pStyle w:val="Zkladntext"/>
                  <w:spacing w:line="245" w:lineRule="exact"/>
                  <w:ind w:left="20"/>
                  <w:rPr>
                    <w:rFonts w:ascii="Calibri Light"/>
                  </w:rPr>
                </w:pPr>
                <w:r>
                  <w:rPr>
                    <w:rFonts w:ascii="Calibri Light"/>
                  </w:rPr>
                  <w:t>SML_100890_20230701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5FD8"/>
    <w:multiLevelType w:val="hybridMultilevel"/>
    <w:tmpl w:val="3EBC3252"/>
    <w:lvl w:ilvl="0" w:tplc="E12CFE46">
      <w:numFmt w:val="bullet"/>
      <w:lvlText w:val="-"/>
      <w:lvlJc w:val="left"/>
      <w:pPr>
        <w:ind w:left="1107" w:hanging="363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46885684">
      <w:numFmt w:val="bullet"/>
      <w:lvlText w:val="•"/>
      <w:lvlJc w:val="left"/>
      <w:pPr>
        <w:ind w:left="2027" w:hanging="363"/>
      </w:pPr>
      <w:rPr>
        <w:rFonts w:hint="default"/>
        <w:lang w:val="cs-CZ" w:eastAsia="cs-CZ" w:bidi="cs-CZ"/>
      </w:rPr>
    </w:lvl>
    <w:lvl w:ilvl="2" w:tplc="92D0BD6A">
      <w:numFmt w:val="bullet"/>
      <w:lvlText w:val="•"/>
      <w:lvlJc w:val="left"/>
      <w:pPr>
        <w:ind w:left="2954" w:hanging="363"/>
      </w:pPr>
      <w:rPr>
        <w:rFonts w:hint="default"/>
        <w:lang w:val="cs-CZ" w:eastAsia="cs-CZ" w:bidi="cs-CZ"/>
      </w:rPr>
    </w:lvl>
    <w:lvl w:ilvl="3" w:tplc="3272896C">
      <w:numFmt w:val="bullet"/>
      <w:lvlText w:val="•"/>
      <w:lvlJc w:val="left"/>
      <w:pPr>
        <w:ind w:left="3881" w:hanging="363"/>
      </w:pPr>
      <w:rPr>
        <w:rFonts w:hint="default"/>
        <w:lang w:val="cs-CZ" w:eastAsia="cs-CZ" w:bidi="cs-CZ"/>
      </w:rPr>
    </w:lvl>
    <w:lvl w:ilvl="4" w:tplc="896EE180">
      <w:numFmt w:val="bullet"/>
      <w:lvlText w:val="•"/>
      <w:lvlJc w:val="left"/>
      <w:pPr>
        <w:ind w:left="4808" w:hanging="363"/>
      </w:pPr>
      <w:rPr>
        <w:rFonts w:hint="default"/>
        <w:lang w:val="cs-CZ" w:eastAsia="cs-CZ" w:bidi="cs-CZ"/>
      </w:rPr>
    </w:lvl>
    <w:lvl w:ilvl="5" w:tplc="AA087E22">
      <w:numFmt w:val="bullet"/>
      <w:lvlText w:val="•"/>
      <w:lvlJc w:val="left"/>
      <w:pPr>
        <w:ind w:left="5735" w:hanging="363"/>
      </w:pPr>
      <w:rPr>
        <w:rFonts w:hint="default"/>
        <w:lang w:val="cs-CZ" w:eastAsia="cs-CZ" w:bidi="cs-CZ"/>
      </w:rPr>
    </w:lvl>
    <w:lvl w:ilvl="6" w:tplc="52C48EF0">
      <w:numFmt w:val="bullet"/>
      <w:lvlText w:val="•"/>
      <w:lvlJc w:val="left"/>
      <w:pPr>
        <w:ind w:left="6662" w:hanging="363"/>
      </w:pPr>
      <w:rPr>
        <w:rFonts w:hint="default"/>
        <w:lang w:val="cs-CZ" w:eastAsia="cs-CZ" w:bidi="cs-CZ"/>
      </w:rPr>
    </w:lvl>
    <w:lvl w:ilvl="7" w:tplc="F36E89C6">
      <w:numFmt w:val="bullet"/>
      <w:lvlText w:val="•"/>
      <w:lvlJc w:val="left"/>
      <w:pPr>
        <w:ind w:left="7589" w:hanging="363"/>
      </w:pPr>
      <w:rPr>
        <w:rFonts w:hint="default"/>
        <w:lang w:val="cs-CZ" w:eastAsia="cs-CZ" w:bidi="cs-CZ"/>
      </w:rPr>
    </w:lvl>
    <w:lvl w:ilvl="8" w:tplc="FF32CBC2">
      <w:numFmt w:val="bullet"/>
      <w:lvlText w:val="•"/>
      <w:lvlJc w:val="left"/>
      <w:pPr>
        <w:ind w:left="8516" w:hanging="363"/>
      </w:pPr>
      <w:rPr>
        <w:rFonts w:hint="default"/>
        <w:lang w:val="cs-CZ" w:eastAsia="cs-CZ" w:bidi="cs-CZ"/>
      </w:rPr>
    </w:lvl>
  </w:abstractNum>
  <w:abstractNum w:abstractNumId="1" w15:restartNumberingAfterBreak="0">
    <w:nsid w:val="2AEA0415"/>
    <w:multiLevelType w:val="hybridMultilevel"/>
    <w:tmpl w:val="71741032"/>
    <w:lvl w:ilvl="0" w:tplc="9D4026E4">
      <w:numFmt w:val="bullet"/>
      <w:lvlText w:val=""/>
      <w:lvlJc w:val="left"/>
      <w:pPr>
        <w:ind w:left="515" w:hanging="360"/>
      </w:pPr>
      <w:rPr>
        <w:rFonts w:hint="default"/>
        <w:w w:val="105"/>
        <w:lang w:val="cs-CZ" w:eastAsia="cs-CZ" w:bidi="cs-CZ"/>
      </w:rPr>
    </w:lvl>
    <w:lvl w:ilvl="1" w:tplc="80DC031A">
      <w:numFmt w:val="bullet"/>
      <w:lvlText w:val="•"/>
      <w:lvlJc w:val="left"/>
      <w:pPr>
        <w:ind w:left="1505" w:hanging="360"/>
      </w:pPr>
      <w:rPr>
        <w:rFonts w:hint="default"/>
        <w:lang w:val="cs-CZ" w:eastAsia="cs-CZ" w:bidi="cs-CZ"/>
      </w:rPr>
    </w:lvl>
    <w:lvl w:ilvl="2" w:tplc="7A5A6742">
      <w:numFmt w:val="bullet"/>
      <w:lvlText w:val="•"/>
      <w:lvlJc w:val="left"/>
      <w:pPr>
        <w:ind w:left="2490" w:hanging="360"/>
      </w:pPr>
      <w:rPr>
        <w:rFonts w:hint="default"/>
        <w:lang w:val="cs-CZ" w:eastAsia="cs-CZ" w:bidi="cs-CZ"/>
      </w:rPr>
    </w:lvl>
    <w:lvl w:ilvl="3" w:tplc="E6E0E470">
      <w:numFmt w:val="bullet"/>
      <w:lvlText w:val="•"/>
      <w:lvlJc w:val="left"/>
      <w:pPr>
        <w:ind w:left="3475" w:hanging="360"/>
      </w:pPr>
      <w:rPr>
        <w:rFonts w:hint="default"/>
        <w:lang w:val="cs-CZ" w:eastAsia="cs-CZ" w:bidi="cs-CZ"/>
      </w:rPr>
    </w:lvl>
    <w:lvl w:ilvl="4" w:tplc="46D030B2">
      <w:numFmt w:val="bullet"/>
      <w:lvlText w:val="•"/>
      <w:lvlJc w:val="left"/>
      <w:pPr>
        <w:ind w:left="4460" w:hanging="360"/>
      </w:pPr>
      <w:rPr>
        <w:rFonts w:hint="default"/>
        <w:lang w:val="cs-CZ" w:eastAsia="cs-CZ" w:bidi="cs-CZ"/>
      </w:rPr>
    </w:lvl>
    <w:lvl w:ilvl="5" w:tplc="734828A6">
      <w:numFmt w:val="bullet"/>
      <w:lvlText w:val="•"/>
      <w:lvlJc w:val="left"/>
      <w:pPr>
        <w:ind w:left="5445" w:hanging="360"/>
      </w:pPr>
      <w:rPr>
        <w:rFonts w:hint="default"/>
        <w:lang w:val="cs-CZ" w:eastAsia="cs-CZ" w:bidi="cs-CZ"/>
      </w:rPr>
    </w:lvl>
    <w:lvl w:ilvl="6" w:tplc="D472A6EE">
      <w:numFmt w:val="bullet"/>
      <w:lvlText w:val="•"/>
      <w:lvlJc w:val="left"/>
      <w:pPr>
        <w:ind w:left="6430" w:hanging="360"/>
      </w:pPr>
      <w:rPr>
        <w:rFonts w:hint="default"/>
        <w:lang w:val="cs-CZ" w:eastAsia="cs-CZ" w:bidi="cs-CZ"/>
      </w:rPr>
    </w:lvl>
    <w:lvl w:ilvl="7" w:tplc="A65E0DCC">
      <w:numFmt w:val="bullet"/>
      <w:lvlText w:val="•"/>
      <w:lvlJc w:val="left"/>
      <w:pPr>
        <w:ind w:left="7415" w:hanging="360"/>
      </w:pPr>
      <w:rPr>
        <w:rFonts w:hint="default"/>
        <w:lang w:val="cs-CZ" w:eastAsia="cs-CZ" w:bidi="cs-CZ"/>
      </w:rPr>
    </w:lvl>
    <w:lvl w:ilvl="8" w:tplc="946A3970">
      <w:numFmt w:val="bullet"/>
      <w:lvlText w:val="•"/>
      <w:lvlJc w:val="left"/>
      <w:pPr>
        <w:ind w:left="8400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1CB482A"/>
    <w:multiLevelType w:val="hybridMultilevel"/>
    <w:tmpl w:val="5DF87602"/>
    <w:lvl w:ilvl="0" w:tplc="A87A043E">
      <w:start w:val="1"/>
      <w:numFmt w:val="upperLetter"/>
      <w:lvlText w:val="%1."/>
      <w:lvlJc w:val="left"/>
      <w:pPr>
        <w:ind w:left="745" w:hanging="4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 w:tplc="1592BF34">
      <w:numFmt w:val="bullet"/>
      <w:lvlText w:val="•"/>
      <w:lvlJc w:val="left"/>
      <w:pPr>
        <w:ind w:left="1703" w:hanging="425"/>
      </w:pPr>
      <w:rPr>
        <w:rFonts w:hint="default"/>
        <w:lang w:val="cs-CZ" w:eastAsia="cs-CZ" w:bidi="cs-CZ"/>
      </w:rPr>
    </w:lvl>
    <w:lvl w:ilvl="2" w:tplc="D1D2EC7E">
      <w:numFmt w:val="bullet"/>
      <w:lvlText w:val="•"/>
      <w:lvlJc w:val="left"/>
      <w:pPr>
        <w:ind w:left="2666" w:hanging="425"/>
      </w:pPr>
      <w:rPr>
        <w:rFonts w:hint="default"/>
        <w:lang w:val="cs-CZ" w:eastAsia="cs-CZ" w:bidi="cs-CZ"/>
      </w:rPr>
    </w:lvl>
    <w:lvl w:ilvl="3" w:tplc="34ACFD94">
      <w:numFmt w:val="bullet"/>
      <w:lvlText w:val="•"/>
      <w:lvlJc w:val="left"/>
      <w:pPr>
        <w:ind w:left="3629" w:hanging="425"/>
      </w:pPr>
      <w:rPr>
        <w:rFonts w:hint="default"/>
        <w:lang w:val="cs-CZ" w:eastAsia="cs-CZ" w:bidi="cs-CZ"/>
      </w:rPr>
    </w:lvl>
    <w:lvl w:ilvl="4" w:tplc="99E8C5F0">
      <w:numFmt w:val="bullet"/>
      <w:lvlText w:val="•"/>
      <w:lvlJc w:val="left"/>
      <w:pPr>
        <w:ind w:left="4592" w:hanging="425"/>
      </w:pPr>
      <w:rPr>
        <w:rFonts w:hint="default"/>
        <w:lang w:val="cs-CZ" w:eastAsia="cs-CZ" w:bidi="cs-CZ"/>
      </w:rPr>
    </w:lvl>
    <w:lvl w:ilvl="5" w:tplc="08CE3B2C">
      <w:numFmt w:val="bullet"/>
      <w:lvlText w:val="•"/>
      <w:lvlJc w:val="left"/>
      <w:pPr>
        <w:ind w:left="5555" w:hanging="425"/>
      </w:pPr>
      <w:rPr>
        <w:rFonts w:hint="default"/>
        <w:lang w:val="cs-CZ" w:eastAsia="cs-CZ" w:bidi="cs-CZ"/>
      </w:rPr>
    </w:lvl>
    <w:lvl w:ilvl="6" w:tplc="7A081812">
      <w:numFmt w:val="bullet"/>
      <w:lvlText w:val="•"/>
      <w:lvlJc w:val="left"/>
      <w:pPr>
        <w:ind w:left="6518" w:hanging="425"/>
      </w:pPr>
      <w:rPr>
        <w:rFonts w:hint="default"/>
        <w:lang w:val="cs-CZ" w:eastAsia="cs-CZ" w:bidi="cs-CZ"/>
      </w:rPr>
    </w:lvl>
    <w:lvl w:ilvl="7" w:tplc="E60E2986">
      <w:numFmt w:val="bullet"/>
      <w:lvlText w:val="•"/>
      <w:lvlJc w:val="left"/>
      <w:pPr>
        <w:ind w:left="7481" w:hanging="425"/>
      </w:pPr>
      <w:rPr>
        <w:rFonts w:hint="default"/>
        <w:lang w:val="cs-CZ" w:eastAsia="cs-CZ" w:bidi="cs-CZ"/>
      </w:rPr>
    </w:lvl>
    <w:lvl w:ilvl="8" w:tplc="80802596">
      <w:numFmt w:val="bullet"/>
      <w:lvlText w:val="•"/>
      <w:lvlJc w:val="left"/>
      <w:pPr>
        <w:ind w:left="8444" w:hanging="425"/>
      </w:pPr>
      <w:rPr>
        <w:rFonts w:hint="default"/>
        <w:lang w:val="cs-CZ" w:eastAsia="cs-CZ" w:bidi="cs-CZ"/>
      </w:rPr>
    </w:lvl>
  </w:abstractNum>
  <w:abstractNum w:abstractNumId="3" w15:restartNumberingAfterBreak="0">
    <w:nsid w:val="69AB0583"/>
    <w:multiLevelType w:val="multilevel"/>
    <w:tmpl w:val="279ABBBA"/>
    <w:lvl w:ilvl="0">
      <w:start w:val="1"/>
      <w:numFmt w:val="decimal"/>
      <w:lvlText w:val="%1."/>
      <w:lvlJc w:val="left"/>
      <w:pPr>
        <w:ind w:left="745" w:hanging="425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44" w:hanging="425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cs-CZ" w:eastAsia="cs-CZ" w:bidi="cs-CZ"/>
      </w:rPr>
    </w:lvl>
    <w:lvl w:ilvl="2">
      <w:numFmt w:val="bullet"/>
      <w:lvlText w:val="•"/>
      <w:lvlJc w:val="left"/>
      <w:pPr>
        <w:ind w:left="2666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629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59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555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518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481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444" w:hanging="425"/>
      </w:pPr>
      <w:rPr>
        <w:rFonts w:hint="default"/>
        <w:lang w:val="cs-CZ" w:eastAsia="cs-CZ" w:bidi="cs-CZ"/>
      </w:rPr>
    </w:lvl>
  </w:abstractNum>
  <w:num w:numId="1" w16cid:durableId="2096435121">
    <w:abstractNumId w:val="1"/>
  </w:num>
  <w:num w:numId="2" w16cid:durableId="614556065">
    <w:abstractNumId w:val="0"/>
  </w:num>
  <w:num w:numId="3" w16cid:durableId="1126317588">
    <w:abstractNumId w:val="2"/>
  </w:num>
  <w:num w:numId="4" w16cid:durableId="1566405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pJsBIuaiFjerUY7PgMOluC9Fep8FQBpzrd7ft/6K1vJxl5O58Fv9zlhuuih1I+SbmQL99Mz53ovUiVGtWC+xQ==" w:salt="Shz7zTCcpgumLiEOrFGx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33F"/>
    <w:rsid w:val="006D00EA"/>
    <w:rsid w:val="008A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B284AB"/>
  <w15:docId w15:val="{68027C39-481E-4B1D-86BC-83927F76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827" w:right="112" w:hanging="425"/>
      <w:jc w:val="both"/>
      <w:outlineLvl w:val="0"/>
    </w:pPr>
    <w:rPr>
      <w:rFonts w:ascii="Garamond" w:eastAsia="Garamond" w:hAnsi="Garamond" w:cs="Garamond"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745" w:hanging="42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45" w:hanging="425"/>
    </w:pPr>
  </w:style>
  <w:style w:type="paragraph" w:customStyle="1" w:styleId="TableParagraph">
    <w:name w:val="Table Paragraph"/>
    <w:basedOn w:val="Normln"/>
    <w:uiPriority w:val="1"/>
    <w:qFormat/>
    <w:pPr>
      <w:spacing w:line="24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ck-online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eck-online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XlvEYfaT1Ng/vfa+rWJfcGKN6VDvFpzGgXp1fCGALTw=</DigestValue>
    </Reference>
    <Reference Type="http://www.w3.org/2000/09/xmldsig#Object" URI="#idOfficeObject">
      <DigestMethod Algorithm="http://www.w3.org/2001/04/xmlenc#sha256"/>
      <DigestValue>VAdPAJxlOI4/XgZW/p9LOd1HCCUIujcbDQyoI2Eovw4=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aNzL76WdkOGmXbtdhb4tPHGXJU0jXw8D0n5j5QiNWn0=</DigestValue>
    </Reference>
  </SignedInfo>
  <SignatureValue>D0hh6xOJvJp/nzPdOux4t8YAi1wE250UElT6R/XnxBrdRuqfwdEhU3cwCmjQe2x8SFXuDTIw6Q6U
y7gvyyfmN0ZYBREQo0HCeGYLp66XQPyRcYO+haO+G3+3VtLfvB4hXhnXGXDF2kt0y0lq1DQur18B
usG1KBvp8kcTNhfSyyM6qNIV4cUvJckhS7lq5lwWBM9C1imzFRJ7M6daid5L5suR4ofqQsqBJamL
OPT/V9Fn2iZkybpg3fPiKtZRZFrKAjRZ4J3d4xNf9zYre8m9c2TFcywSLn6vZ55yaeTC8GT7/9fD
QgQ6WQa7N4gSrFuVLA2KF6wHTxkQciecjBNDdg==</SignatureValue>
  <KeyInfo>
    <X509Data>
      <X509Certificate>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S1o5LvSnz6EvK0V4sZ9DUO7M6OyQQt8dPOEvfaEc1S4=</DigestValue>
      </Reference>
      <Reference URI="/word/document.xml?ContentType=application/vnd.openxmlformats-officedocument.wordprocessingml.document.main+xml">
        <DigestMethod Algorithm="http://www.w3.org/2001/04/xmlenc#sha256"/>
        <DigestValue>7Fg0HG8DVccPjgc8xHhplZ2CWFA6yE7VCQk/Jph/GxY=</DigestValue>
      </Reference>
      <Reference URI="/word/endnotes.xml?ContentType=application/vnd.openxmlformats-officedocument.wordprocessingml.endnotes+xml">
        <DigestMethod Algorithm="http://www.w3.org/2001/04/xmlenc#sha256"/>
        <DigestValue>dBauDGVKDjTNQBrvbcAW9IuGynZ8dcqP5XhRDo0vLa0=</DigestValue>
      </Reference>
      <Reference URI="/word/fontTable.xml?ContentType=application/vnd.openxmlformats-officedocument.wordprocessingml.fontTable+xml">
        <DigestMethod Algorithm="http://www.w3.org/2001/04/xmlenc#sha256"/>
        <DigestValue>6zvKG5ODcsPLzQu1CpwwCwvHqx2uy1+O1d+hesfHhxA=</DigestValue>
      </Reference>
      <Reference URI="/word/footer1.xml?ContentType=application/vnd.openxmlformats-officedocument.wordprocessingml.footer+xml">
        <DigestMethod Algorithm="http://www.w3.org/2001/04/xmlenc#sha256"/>
        <DigestValue>MRT7d0FLihDOTFx9WoTQwFxlKhjQsMumt0jl+QyxySE=</DigestValue>
      </Reference>
      <Reference URI="/word/footnotes.xml?ContentType=application/vnd.openxmlformats-officedocument.wordprocessingml.footnotes+xml">
        <DigestMethod Algorithm="http://www.w3.org/2001/04/xmlenc#sha256"/>
        <DigestValue>wu4vbZm8cluyLWnHLwPelwVk41MHNw0omL7QMu6aqZw=</DigestValue>
      </Reference>
      <Reference URI="/word/header1.xml?ContentType=application/vnd.openxmlformats-officedocument.wordprocessingml.header+xml">
        <DigestMethod Algorithm="http://www.w3.org/2001/04/xmlenc#sha256"/>
        <DigestValue>BqCVgBaET4oRTlyJ/8N5Rw5TrQOFrpYlGcwp4HPOLr8=</DigestValue>
      </Reference>
      <Reference URI="/word/numbering.xml?ContentType=application/vnd.openxmlformats-officedocument.wordprocessingml.numbering+xml">
        <DigestMethod Algorithm="http://www.w3.org/2001/04/xmlenc#sha256"/>
        <DigestValue>QHkBRBxh+BVRkfQyXSeoAfMOkQXIAiWc0Q9A/AA/Nbg=</DigestValue>
      </Reference>
      <Reference URI="/word/settings.xml?ContentType=application/vnd.openxmlformats-officedocument.wordprocessingml.settings+xml">
        <DigestMethod Algorithm="http://www.w3.org/2001/04/xmlenc#sha256"/>
        <DigestValue>jlXgz+GKxBegvWpjEtPYUZeqIysCfJMk2MNdJb2M7vI=</DigestValue>
      </Reference>
      <Reference URI="/word/styles.xml?ContentType=application/vnd.openxmlformats-officedocument.wordprocessingml.styles+xml">
        <DigestMethod Algorithm="http://www.w3.org/2001/04/xmlenc#sha256"/>
        <DigestValue>cyON6T4I18E0oWXhcEPex+pq1F+P1SA8el24nGlycI0=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2023-06-23T10:49:18Z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2023-06-23T10:49:18Z</xd:SigningTime>
          <xd:SigningCertificate>
            <xd:Cert>
              <xd:CertDigest>
                <DigestMethod Algorithm="http://www.w3.org/2001/04/xmlenc#sha256"/>
                <DigestValue>/NZnp319ZSYb08KBpNp/bQ0cwgXfzo2/2lzQT9CA0U8=</DigestValue>
              </xd:CertDigest>
              <xd:IssuerSerial>
                <X509IssuerName>CN=PostSignum Qualified CA 4, O="Česká pošta, s.p.", OID.2.5.4.97=NTRCZ-47114983, C=CZ</X509IssuerName>
                <X509SerialNumber>22693481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1438</Words>
  <Characters>8489</Characters>
  <Application>Microsoft Office Word</Application>
  <DocSecurity>8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Staňková</dc:creator>
  <cp:lastModifiedBy>Šrámková Romana</cp:lastModifiedBy>
  <cp:revision>2</cp:revision>
  <dcterms:created xsi:type="dcterms:W3CDTF">2023-06-23T10:44:00Z</dcterms:created>
  <dcterms:modified xsi:type="dcterms:W3CDTF">2023-06-23T10:49:00Z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2023-06-23T00:00:00Z</vt:filetime>
  </property>
</Properties>
</file>