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Smlouvy - nepravidelný úklid</w:t>
      </w:r>
    </w:p>
    <w:tbl>
      <w:tblPr>
        <w:tblOverlap w:val="never"/>
        <w:jc w:val="center"/>
        <w:tblLayout w:type="fixed"/>
      </w:tblPr>
      <w:tblGrid>
        <w:gridCol w:w="984"/>
        <w:gridCol w:w="4829"/>
        <w:gridCol w:w="965"/>
        <w:gridCol w:w="2146"/>
        <w:gridCol w:w="1354"/>
        <w:gridCol w:w="1747"/>
        <w:gridCol w:w="2141"/>
      </w:tblGrid>
      <w:tr>
        <w:trPr>
          <w:trHeight w:val="14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 položky: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Úklidové práce a služby nad rámec přílohy č. 1 "Legenda místnosti a prostor":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Měrná jednotka: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= Cena v Kč bez DPH za 1 měrnou Jednotku (1 kg / 1 m2 / 1 hod / 1 ks):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Max. přípustná cena v Kč bez DPH za 1 měrnou Jednotku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Předpokládané množstí za 1 měsíc;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 Kč bez DPH za předpokládané množství za 1 měsíc;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Praní záclon a závěsů vč. Svěšování a navěšování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koberců suchou cestou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koberců mokrou cestou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horizontálních žaluzií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1400,00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vertikálních žaluzií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Mytí oken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čalounění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Praní lůžkovin, utěrek, ručníků atd.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po malířích, stěhování a údržbářských pracích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 Kč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Generální úklid kanceláří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hrubého znečištění v důsledku havárie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Stálá služba při mimořádných akcích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Stírání regálů do výše 2,5m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Stírání regálů do výše nad 2,5m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odklízení sněhu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2 800,00 Kč</w:t>
            </w:r>
          </w:p>
        </w:tc>
      </w:tr>
      <w:tr>
        <w:trPr>
          <w:trHeight w:val="264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nepravidelného úklidu / 1 měsíc: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24 310,00 Kč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Vysvětlivky: (m2-metr čtvereční; kg-kilogram; hod-hodina;ks-kus)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6901" w:h="12000" w:orient="landscape"/>
      <w:pgMar w:top="1263" w:left="1241" w:right="1495" w:bottom="1263" w:header="83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5287010</wp:posOffset>
              </wp:positionH>
              <wp:positionV relativeFrom="page">
                <wp:posOffset>6831330</wp:posOffset>
              </wp:positionV>
              <wp:extent cx="39370" cy="977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30000000000001pt;margin-top:537.89999999999998pt;width:3.1000000000000001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