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F400" w14:textId="77777777" w:rsidR="000004F8" w:rsidRDefault="000004F8" w:rsidP="000004F8">
      <w:pPr>
        <w:pStyle w:val="Zhlav"/>
        <w:jc w:val="center"/>
        <w:rPr>
          <w:b/>
          <w:bCs/>
          <w:sz w:val="32"/>
          <w:szCs w:val="32"/>
        </w:rPr>
      </w:pPr>
      <w:r w:rsidRPr="008C74DB">
        <w:rPr>
          <w:b/>
          <w:bCs/>
          <w:sz w:val="32"/>
          <w:szCs w:val="32"/>
        </w:rPr>
        <w:t>DOHODA O UZNÁNÍ DLUHU</w:t>
      </w:r>
    </w:p>
    <w:p w14:paraId="6D1B8FD2" w14:textId="77777777" w:rsidR="000004F8" w:rsidRPr="00CE3182" w:rsidRDefault="000004F8" w:rsidP="000004F8">
      <w:pPr>
        <w:pStyle w:val="Zhlav"/>
        <w:jc w:val="center"/>
        <w:rPr>
          <w:i/>
          <w:iCs/>
        </w:rPr>
      </w:pPr>
      <w:r w:rsidRPr="00CE3182">
        <w:rPr>
          <w:i/>
          <w:iCs/>
        </w:rPr>
        <w:t>dle § 2053 a násl. zákona č. 89/2012 Sb., občanský zákoník ve znění pozdějších předpisů</w:t>
      </w:r>
    </w:p>
    <w:p w14:paraId="556953BD" w14:textId="77777777" w:rsidR="000004F8" w:rsidRDefault="000004F8" w:rsidP="000004F8">
      <w:pPr>
        <w:pStyle w:val="Zhlav"/>
        <w:jc w:val="center"/>
        <w:rPr>
          <w:b/>
          <w:bCs/>
          <w:sz w:val="32"/>
          <w:szCs w:val="32"/>
        </w:rPr>
      </w:pPr>
    </w:p>
    <w:p w14:paraId="44BE5B97" w14:textId="77777777" w:rsidR="000004F8" w:rsidRPr="008C74DB" w:rsidRDefault="000004F8" w:rsidP="000004F8">
      <w:pPr>
        <w:pStyle w:val="Zhlav"/>
        <w:jc w:val="center"/>
        <w:rPr>
          <w:b/>
          <w:bCs/>
          <w:sz w:val="32"/>
          <w:szCs w:val="32"/>
        </w:rPr>
      </w:pPr>
    </w:p>
    <w:p w14:paraId="55CC9934" w14:textId="77777777" w:rsidR="000004F8" w:rsidRPr="00CE3182" w:rsidRDefault="000004F8" w:rsidP="000004F8">
      <w:pPr>
        <w:pStyle w:val="Zhlav"/>
        <w:rPr>
          <w:b/>
          <w:bCs/>
        </w:rPr>
      </w:pPr>
      <w:r w:rsidRPr="00CE3182">
        <w:rPr>
          <w:b/>
          <w:bCs/>
        </w:rPr>
        <w:t>Technologie hlavního města Prahy, a.s.</w:t>
      </w:r>
    </w:p>
    <w:p w14:paraId="251E4891" w14:textId="77777777" w:rsidR="002C693E" w:rsidRDefault="002C693E" w:rsidP="000004F8">
      <w:pPr>
        <w:pStyle w:val="Zhlav"/>
      </w:pPr>
      <w:r>
        <w:t>se sídlem: Dělnická 213/12, 170 00 Praha 7</w:t>
      </w:r>
    </w:p>
    <w:p w14:paraId="15D2B300" w14:textId="77777777" w:rsidR="000004F8" w:rsidRDefault="000004F8" w:rsidP="000004F8">
      <w:pPr>
        <w:pStyle w:val="Zhlav"/>
      </w:pPr>
      <w:r>
        <w:t>IČO: 25672541</w:t>
      </w:r>
    </w:p>
    <w:p w14:paraId="4F29D60C" w14:textId="77777777" w:rsidR="002C693E" w:rsidRDefault="00E97370" w:rsidP="000004F8">
      <w:pPr>
        <w:pStyle w:val="Zhlav"/>
      </w:pPr>
      <w:r>
        <w:t>Zapsaná v obchodním rejstříku vedeném Městským osudem v Praze, oddíl B, vložka 5402</w:t>
      </w:r>
      <w:r w:rsidR="002C693E">
        <w:t xml:space="preserve"> </w:t>
      </w:r>
    </w:p>
    <w:p w14:paraId="13057C67" w14:textId="77777777" w:rsidR="000004F8" w:rsidRDefault="000004F8" w:rsidP="000004F8">
      <w:pPr>
        <w:pStyle w:val="Zhlav"/>
      </w:pPr>
      <w:r>
        <w:t>bankovní spojení: 115-5836140217/0100</w:t>
      </w:r>
    </w:p>
    <w:p w14:paraId="5482406D" w14:textId="151AF671" w:rsidR="000004F8" w:rsidRDefault="000004F8" w:rsidP="000004F8">
      <w:pPr>
        <w:pStyle w:val="Zhlav"/>
      </w:pPr>
      <w:r>
        <w:t xml:space="preserve">zastoupená: Tomášem Jílkem, předsedou představenstva a </w:t>
      </w:r>
      <w:r w:rsidR="00691AE7">
        <w:t xml:space="preserve">Libor </w:t>
      </w:r>
      <w:proofErr w:type="spellStart"/>
      <w:proofErr w:type="gramStart"/>
      <w:r w:rsidR="00691AE7">
        <w:t>Fiala</w:t>
      </w:r>
      <w:r>
        <w:t>,</w:t>
      </w:r>
      <w:r w:rsidR="00691AE7">
        <w:t>člen</w:t>
      </w:r>
      <w:proofErr w:type="spellEnd"/>
      <w:proofErr w:type="gramEnd"/>
      <w:r w:rsidR="00691AE7">
        <w:t xml:space="preserve"> </w:t>
      </w:r>
      <w:r>
        <w:t xml:space="preserve">představenstva </w:t>
      </w:r>
    </w:p>
    <w:p w14:paraId="23EE7A9A" w14:textId="77777777" w:rsidR="000004F8" w:rsidRDefault="000004F8" w:rsidP="000004F8">
      <w:pPr>
        <w:pStyle w:val="Zhlav"/>
      </w:pPr>
      <w:r>
        <w:t>(dále jen „</w:t>
      </w:r>
      <w:r w:rsidRPr="00C350B4">
        <w:rPr>
          <w:b/>
          <w:bCs/>
        </w:rPr>
        <w:t>věřitel</w:t>
      </w:r>
      <w:r>
        <w:t>“)</w:t>
      </w:r>
    </w:p>
    <w:p w14:paraId="0EE23A18" w14:textId="77777777" w:rsidR="000004F8" w:rsidRDefault="000004F8" w:rsidP="000004F8">
      <w:pPr>
        <w:pStyle w:val="Zhlav"/>
      </w:pPr>
    </w:p>
    <w:p w14:paraId="17DB5D86" w14:textId="77777777" w:rsidR="000004F8" w:rsidRDefault="000004F8" w:rsidP="000004F8">
      <w:pPr>
        <w:pStyle w:val="Zhlav"/>
      </w:pPr>
      <w:r w:rsidRPr="00F10769">
        <w:t xml:space="preserve">Ev. č. dohody: </w:t>
      </w:r>
      <w:r w:rsidR="00F10769" w:rsidRPr="00F10769">
        <w:t>122</w:t>
      </w:r>
      <w:r w:rsidRPr="00F10769">
        <w:t>/2</w:t>
      </w:r>
      <w:r w:rsidR="00F10769" w:rsidRPr="00F10769">
        <w:t>1</w:t>
      </w:r>
    </w:p>
    <w:p w14:paraId="559F9700" w14:textId="77777777" w:rsidR="000004F8" w:rsidRDefault="000004F8" w:rsidP="000004F8">
      <w:pPr>
        <w:pStyle w:val="Zhlav"/>
      </w:pPr>
    </w:p>
    <w:p w14:paraId="6670B31D" w14:textId="77777777" w:rsidR="000004F8" w:rsidRDefault="000004F8" w:rsidP="000004F8">
      <w:pPr>
        <w:pStyle w:val="Zhlav"/>
      </w:pPr>
      <w:r>
        <w:t xml:space="preserve">a </w:t>
      </w:r>
    </w:p>
    <w:p w14:paraId="0C9450C1" w14:textId="77777777" w:rsidR="000004F8" w:rsidRDefault="000004F8" w:rsidP="000004F8">
      <w:pPr>
        <w:pStyle w:val="Zhlav"/>
      </w:pPr>
    </w:p>
    <w:p w14:paraId="30EAC133" w14:textId="77777777" w:rsidR="000004F8" w:rsidRPr="000004F8" w:rsidRDefault="000004F8" w:rsidP="000004F8">
      <w:pPr>
        <w:pStyle w:val="Bezmezer"/>
        <w:rPr>
          <w:b/>
          <w:bCs/>
        </w:rPr>
      </w:pPr>
      <w:r w:rsidRPr="000004F8">
        <w:rPr>
          <w:b/>
          <w:bCs/>
        </w:rPr>
        <w:t>Energovod CZ, a.s.</w:t>
      </w:r>
    </w:p>
    <w:p w14:paraId="39028723" w14:textId="77777777" w:rsidR="000004F8" w:rsidRDefault="000004F8" w:rsidP="000004F8">
      <w:pPr>
        <w:pStyle w:val="Bezmezer"/>
      </w:pPr>
      <w:r>
        <w:t xml:space="preserve">Se sídlem: </w:t>
      </w:r>
      <w:r w:rsidRPr="000004F8">
        <w:t>Novodvorská 1010/4</w:t>
      </w:r>
      <w:r>
        <w:t xml:space="preserve">, </w:t>
      </w:r>
      <w:r w:rsidRPr="000004F8">
        <w:t>142 00 Praha 4 – Lhotka</w:t>
      </w:r>
    </w:p>
    <w:p w14:paraId="310719BD" w14:textId="77777777" w:rsidR="00E97370" w:rsidRDefault="00E97370" w:rsidP="000004F8">
      <w:pPr>
        <w:pStyle w:val="Bezmezer"/>
      </w:pPr>
      <w:r>
        <w:t xml:space="preserve">IČO: </w:t>
      </w:r>
      <w:r w:rsidRPr="00E97370">
        <w:t>04155637</w:t>
      </w:r>
      <w:r>
        <w:t xml:space="preserve"> </w:t>
      </w:r>
    </w:p>
    <w:p w14:paraId="78734132" w14:textId="77777777" w:rsidR="00F46D12" w:rsidRDefault="00F46D12" w:rsidP="000004F8">
      <w:pPr>
        <w:pStyle w:val="Bezmezer"/>
      </w:pPr>
      <w:r w:rsidRPr="00F46D12">
        <w:t>Zapsaná v obchodním rejstříku vedeném Městským osudem v Praze, oddíl B, vložka 20697</w:t>
      </w:r>
      <w:r>
        <w:t xml:space="preserve"> </w:t>
      </w:r>
    </w:p>
    <w:p w14:paraId="78991DB0" w14:textId="77777777" w:rsidR="000004F8" w:rsidRDefault="000004F8" w:rsidP="000004F8">
      <w:pPr>
        <w:pStyle w:val="Bezmezer"/>
      </w:pPr>
      <w:r>
        <w:t>Bankovní spojení:</w:t>
      </w:r>
      <w:r w:rsidR="00E97370">
        <w:t xml:space="preserve"> </w:t>
      </w:r>
      <w:r w:rsidR="008F1021">
        <w:t>123-1958430257/0100</w:t>
      </w:r>
    </w:p>
    <w:p w14:paraId="2514D2F7" w14:textId="77777777" w:rsidR="000004F8" w:rsidRPr="000004F8" w:rsidRDefault="000004F8" w:rsidP="000004F8">
      <w:pPr>
        <w:pStyle w:val="Bezmezer"/>
      </w:pPr>
      <w:r>
        <w:t>Zastoupená:</w:t>
      </w:r>
      <w:r w:rsidR="00F10769">
        <w:t xml:space="preserve"> Maratem </w:t>
      </w:r>
      <w:proofErr w:type="spellStart"/>
      <w:r w:rsidR="00F10769">
        <w:t>Saberem</w:t>
      </w:r>
      <w:proofErr w:type="spellEnd"/>
      <w:r w:rsidR="00F46D12">
        <w:t xml:space="preserve">, </w:t>
      </w:r>
      <w:r w:rsidR="00F10769">
        <w:t>předsedou představenstva a Ladislavem Beranem</w:t>
      </w:r>
      <w:r w:rsidR="00F46D12">
        <w:t xml:space="preserve">, </w:t>
      </w:r>
      <w:r w:rsidR="00F10769">
        <w:t>místopředsedou představenstva</w:t>
      </w:r>
    </w:p>
    <w:p w14:paraId="2AEE021B" w14:textId="77777777" w:rsidR="000004F8" w:rsidRDefault="000004F8" w:rsidP="000004F8">
      <w:pPr>
        <w:pStyle w:val="Zhlav"/>
      </w:pPr>
      <w:r>
        <w:t>(dále jen „</w:t>
      </w:r>
      <w:r w:rsidRPr="00C350B4">
        <w:rPr>
          <w:b/>
          <w:bCs/>
        </w:rPr>
        <w:t>dlužník</w:t>
      </w:r>
      <w:r>
        <w:t>“)</w:t>
      </w:r>
    </w:p>
    <w:p w14:paraId="07D39E61" w14:textId="77777777" w:rsidR="000004F8" w:rsidRDefault="000004F8" w:rsidP="000004F8">
      <w:pPr>
        <w:pStyle w:val="Zhlav"/>
      </w:pPr>
    </w:p>
    <w:p w14:paraId="5C6F972C" w14:textId="77777777" w:rsidR="00E8243F" w:rsidRDefault="00E8243F" w:rsidP="00E8243F">
      <w:pPr>
        <w:pStyle w:val="Zhlav"/>
        <w:jc w:val="center"/>
      </w:pPr>
      <w:r>
        <w:t xml:space="preserve">Společně též jako smluvní strany nebo účastníci Dohody </w:t>
      </w:r>
    </w:p>
    <w:p w14:paraId="40076C12" w14:textId="77777777" w:rsidR="000004F8" w:rsidRDefault="000004F8" w:rsidP="00E8243F">
      <w:pPr>
        <w:pStyle w:val="Zhlav"/>
        <w:jc w:val="center"/>
      </w:pPr>
      <w:r>
        <w:t>uzavírají níže uvedeného dne, měsíce a roku tuto dohodu následujícího znění</w:t>
      </w:r>
    </w:p>
    <w:p w14:paraId="77C9B664" w14:textId="77777777" w:rsidR="000004F8" w:rsidRDefault="000004F8" w:rsidP="000004F8">
      <w:pPr>
        <w:pStyle w:val="Zhlav"/>
        <w:jc w:val="center"/>
      </w:pPr>
      <w:r>
        <w:t>(dále jen „</w:t>
      </w:r>
      <w:r w:rsidR="00E8243F">
        <w:rPr>
          <w:b/>
          <w:bCs/>
        </w:rPr>
        <w:t>D</w:t>
      </w:r>
      <w:r w:rsidRPr="00B958F5">
        <w:rPr>
          <w:b/>
          <w:bCs/>
        </w:rPr>
        <w:t>ohoda</w:t>
      </w:r>
      <w:r>
        <w:t>“)</w:t>
      </w:r>
    </w:p>
    <w:p w14:paraId="106721F4" w14:textId="77777777" w:rsidR="000004F8" w:rsidRDefault="000004F8" w:rsidP="000004F8">
      <w:pPr>
        <w:pStyle w:val="Zhlav"/>
      </w:pPr>
    </w:p>
    <w:p w14:paraId="5F8E386C" w14:textId="77777777" w:rsidR="000004F8" w:rsidRDefault="000004F8" w:rsidP="000004F8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C350B4">
        <w:rPr>
          <w:b/>
          <w:bCs/>
        </w:rPr>
        <w:t>Ú</w:t>
      </w:r>
      <w:r>
        <w:rPr>
          <w:b/>
          <w:bCs/>
        </w:rPr>
        <w:t xml:space="preserve">VODNÍ USTANOVENÍ </w:t>
      </w:r>
      <w:r w:rsidRPr="00C350B4">
        <w:rPr>
          <w:b/>
          <w:bCs/>
        </w:rPr>
        <w:t xml:space="preserve"> </w:t>
      </w:r>
    </w:p>
    <w:p w14:paraId="6E177C92" w14:textId="77777777" w:rsidR="00A30CC9" w:rsidRPr="00C350B4" w:rsidRDefault="00A30CC9" w:rsidP="00A30CC9">
      <w:pPr>
        <w:pStyle w:val="Bezmezer"/>
        <w:ind w:left="360"/>
        <w:jc w:val="both"/>
        <w:rPr>
          <w:b/>
          <w:bCs/>
        </w:rPr>
      </w:pPr>
    </w:p>
    <w:p w14:paraId="1612D81D" w14:textId="77777777" w:rsidR="000004F8" w:rsidRDefault="000004F8" w:rsidP="00692BDC">
      <w:pPr>
        <w:pStyle w:val="Bezmezer"/>
        <w:numPr>
          <w:ilvl w:val="1"/>
          <w:numId w:val="1"/>
        </w:numPr>
        <w:jc w:val="both"/>
      </w:pPr>
      <w:r>
        <w:t xml:space="preserve">Účastníci dohody činí nesporným, </w:t>
      </w:r>
      <w:r w:rsidR="00742ECA">
        <w:t>že</w:t>
      </w:r>
    </w:p>
    <w:p w14:paraId="6BF999BD" w14:textId="77777777" w:rsidR="00F46D12" w:rsidRDefault="00F46D12" w:rsidP="00F46D12">
      <w:pPr>
        <w:pStyle w:val="Bezmezer"/>
        <w:ind w:left="858"/>
        <w:jc w:val="both"/>
      </w:pPr>
    </w:p>
    <w:p w14:paraId="618BD341" w14:textId="77777777" w:rsidR="00F46D12" w:rsidRDefault="000004F8" w:rsidP="00F46D12">
      <w:pPr>
        <w:pStyle w:val="Bezmezer"/>
        <w:numPr>
          <w:ilvl w:val="1"/>
          <w:numId w:val="5"/>
        </w:numPr>
        <w:jc w:val="both"/>
      </w:pPr>
      <w:r>
        <w:t>Strany uzavřely dne 16.7.2021</w:t>
      </w:r>
      <w:r w:rsidR="00F10769">
        <w:t xml:space="preserve"> Rámcovou dohodu </w:t>
      </w:r>
      <w:r>
        <w:t>na Výrobu a dodávky vybraných prvků městského mobiliáře</w:t>
      </w:r>
      <w:r w:rsidR="00F46D12">
        <w:t xml:space="preserve">, č. rámcové dohody věřitele THMP: 122/21, č.  rámcové dohody dlužníka: </w:t>
      </w:r>
      <w:r w:rsidR="00F46D12" w:rsidRPr="00F46D12">
        <w:t>2421690027</w:t>
      </w:r>
      <w:r w:rsidR="00F46D12">
        <w:t xml:space="preserve"> </w:t>
      </w:r>
      <w:r w:rsidR="006F68D6">
        <w:t xml:space="preserve">vč. </w:t>
      </w:r>
      <w:r w:rsidR="00B55C0F">
        <w:t>v</w:t>
      </w:r>
      <w:r w:rsidR="006F68D6">
        <w:t>šech jejích dodatků</w:t>
      </w:r>
      <w:r w:rsidR="00F46D12">
        <w:t xml:space="preserve"> (dále jen „</w:t>
      </w:r>
      <w:r w:rsidR="00F46D12" w:rsidRPr="00F46D12">
        <w:rPr>
          <w:b/>
          <w:bCs/>
        </w:rPr>
        <w:t>Rámcová dohoda</w:t>
      </w:r>
      <w:r w:rsidR="00F46D12">
        <w:t>“)</w:t>
      </w:r>
      <w:r w:rsidR="006F68D6">
        <w:t>;</w:t>
      </w:r>
      <w:r>
        <w:t xml:space="preserve"> </w:t>
      </w:r>
    </w:p>
    <w:p w14:paraId="4C345E85" w14:textId="77777777" w:rsidR="00F46D12" w:rsidRDefault="00F46D12" w:rsidP="008F1021">
      <w:pPr>
        <w:pStyle w:val="Bezmezer"/>
        <w:ind w:left="786"/>
        <w:jc w:val="both"/>
      </w:pPr>
    </w:p>
    <w:p w14:paraId="101B0277" w14:textId="5046F02B" w:rsidR="00F46D12" w:rsidRDefault="00742ECA" w:rsidP="008F1021">
      <w:pPr>
        <w:pStyle w:val="Bezmezer"/>
        <w:numPr>
          <w:ilvl w:val="1"/>
          <w:numId w:val="5"/>
        </w:numPr>
        <w:jc w:val="both"/>
      </w:pPr>
      <w:r>
        <w:t>D</w:t>
      </w:r>
      <w:r w:rsidR="000004F8">
        <w:t>ošlo k prodlení v dodávkách vybraných prvků městského mobiliáře</w:t>
      </w:r>
      <w:r w:rsidR="00F10769">
        <w:t xml:space="preserve"> dle uzavřené Rámcové dohody</w:t>
      </w:r>
      <w:r w:rsidR="000004F8">
        <w:t xml:space="preserve">, jak bylo </w:t>
      </w:r>
      <w:r w:rsidR="006F68D6">
        <w:t>specifikován</w:t>
      </w:r>
      <w:r w:rsidR="000004F8">
        <w:t xml:space="preserve">o dopisem </w:t>
      </w:r>
      <w:r w:rsidR="000004F8" w:rsidRPr="008F1021">
        <w:t xml:space="preserve">ze dne </w:t>
      </w:r>
      <w:r w:rsidR="00E506DD">
        <w:t>16</w:t>
      </w:r>
      <w:r w:rsidR="008F1021" w:rsidRPr="008F1021">
        <w:t>.</w:t>
      </w:r>
      <w:r w:rsidR="00E506DD">
        <w:t xml:space="preserve"> 6</w:t>
      </w:r>
      <w:r w:rsidR="008F1021" w:rsidRPr="008F1021">
        <w:t>.</w:t>
      </w:r>
      <w:r w:rsidR="00F10769" w:rsidRPr="008F1021">
        <w:t>2023</w:t>
      </w:r>
      <w:r w:rsidR="006F68D6">
        <w:t>;</w:t>
      </w:r>
    </w:p>
    <w:p w14:paraId="27876B94" w14:textId="77777777" w:rsidR="007A01D3" w:rsidRDefault="007A01D3" w:rsidP="007A01D3">
      <w:pPr>
        <w:pStyle w:val="Bezmezer"/>
        <w:ind w:left="786"/>
        <w:jc w:val="both"/>
      </w:pPr>
    </w:p>
    <w:p w14:paraId="112F2AA7" w14:textId="6DF6938D" w:rsidR="000004F8" w:rsidRDefault="00742ECA" w:rsidP="008F1021">
      <w:pPr>
        <w:pStyle w:val="Bezmezer"/>
        <w:numPr>
          <w:ilvl w:val="1"/>
          <w:numId w:val="5"/>
        </w:numPr>
        <w:jc w:val="both"/>
      </w:pPr>
      <w:r>
        <w:t>D</w:t>
      </w:r>
      <w:r w:rsidR="000004F8">
        <w:t xml:space="preserve">lužník ke dni podpisu této </w:t>
      </w:r>
      <w:r w:rsidR="008522E9">
        <w:t>D</w:t>
      </w:r>
      <w:r w:rsidR="000004F8">
        <w:t xml:space="preserve">ohody </w:t>
      </w:r>
      <w:r w:rsidR="00F10769">
        <w:t xml:space="preserve">tak </w:t>
      </w:r>
      <w:proofErr w:type="gramStart"/>
      <w:r w:rsidR="000004F8">
        <w:t>dluží</w:t>
      </w:r>
      <w:proofErr w:type="gramEnd"/>
      <w:r w:rsidR="000004F8">
        <w:t xml:space="preserve"> věřiteli částku ve </w:t>
      </w:r>
      <w:r w:rsidR="000004F8" w:rsidRPr="008F1021">
        <w:t xml:space="preserve">výši </w:t>
      </w:r>
      <w:r w:rsidR="007166C4" w:rsidRPr="008F1021">
        <w:rPr>
          <w:b/>
          <w:bCs/>
        </w:rPr>
        <w:t>4.072.219</w:t>
      </w:r>
      <w:r w:rsidR="007166C4" w:rsidRPr="008F1021">
        <w:t>, -</w:t>
      </w:r>
      <w:r w:rsidR="000004F8">
        <w:t xml:space="preserve"> Kč (slovy: </w:t>
      </w:r>
      <w:r w:rsidR="008F1021">
        <w:rPr>
          <w:b/>
          <w:bCs/>
        </w:rPr>
        <w:t xml:space="preserve">čtyři miliony sedmdesát dva tisíc dvě stě devatenáct </w:t>
      </w:r>
      <w:r w:rsidR="000004F8">
        <w:t xml:space="preserve">korun českých), a to z důvodu vyčíslené smluvní pokuty za prodlení v dodávkách prvků městského mobiliáře dle uzavřené </w:t>
      </w:r>
      <w:r w:rsidR="00180844">
        <w:t>Rámcové dohody</w:t>
      </w:r>
      <w:r w:rsidR="00A30CC9">
        <w:t xml:space="preserve"> (dále jen „</w:t>
      </w:r>
      <w:r w:rsidR="00A30CC9" w:rsidRPr="00A30CC9">
        <w:rPr>
          <w:b/>
          <w:bCs/>
        </w:rPr>
        <w:t>dlužná částka</w:t>
      </w:r>
      <w:r w:rsidR="00A30CC9">
        <w:t>“)</w:t>
      </w:r>
      <w:r w:rsidR="000004F8">
        <w:t xml:space="preserve">. </w:t>
      </w:r>
    </w:p>
    <w:p w14:paraId="59840954" w14:textId="77777777" w:rsidR="000004F8" w:rsidRDefault="000004F8" w:rsidP="000004F8">
      <w:pPr>
        <w:pStyle w:val="Bezmezer"/>
        <w:ind w:left="720"/>
      </w:pPr>
    </w:p>
    <w:p w14:paraId="3966D25A" w14:textId="77777777" w:rsidR="000004F8" w:rsidRDefault="000004F8" w:rsidP="000004F8">
      <w:pPr>
        <w:pStyle w:val="Bezmezer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PŘEDMĚT DOHODY A UZNÁNÍ DLUHU </w:t>
      </w:r>
    </w:p>
    <w:p w14:paraId="38A0A3AF" w14:textId="77777777" w:rsidR="00A30CC9" w:rsidRPr="00C350B4" w:rsidRDefault="00A30CC9" w:rsidP="00A30CC9">
      <w:pPr>
        <w:pStyle w:val="Bezmezer"/>
        <w:ind w:left="360"/>
        <w:jc w:val="both"/>
        <w:rPr>
          <w:b/>
          <w:bCs/>
        </w:rPr>
      </w:pPr>
    </w:p>
    <w:p w14:paraId="05B43403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Dlužník podpisem této dohody </w:t>
      </w:r>
      <w:r w:rsidR="00A30CC9">
        <w:t xml:space="preserve">uznává </w:t>
      </w:r>
      <w:r>
        <w:t xml:space="preserve">dluh vůči věřiteli blíže specifikovaný v čl. 1. této dohody ve smyslu § 2053 zákona č. 89/2012 Sb., občanský zákoník, ve znění pozdějších předpisů, uznává, a to jak co do důvodu, tak i do jeho výše a zavazuje se jej uhradit věřiteli </w:t>
      </w:r>
      <w:r>
        <w:lastRenderedPageBreak/>
        <w:t xml:space="preserve">v plné výši </w:t>
      </w:r>
      <w:r w:rsidR="001A4DC5">
        <w:t>nejpozději do 15 dnů od podpisu této Dohody</w:t>
      </w:r>
      <w:r>
        <w:t>.</w:t>
      </w:r>
      <w:r w:rsidR="00256E31">
        <w:t xml:space="preserve"> Zaplacením se rozumí připsání předmětné částky na účet věřitele.</w:t>
      </w:r>
      <w:r>
        <w:t xml:space="preserve"> </w:t>
      </w:r>
    </w:p>
    <w:p w14:paraId="6D3C1CD8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>Dojde-li ze strany věřitele ke změně banky nebo čísla účtu</w:t>
      </w:r>
      <w:r w:rsidR="00113DB3">
        <w:t>,</w:t>
      </w:r>
      <w:r>
        <w:t xml:space="preserve"> je věřitel povinen </w:t>
      </w:r>
      <w:r w:rsidR="00A30CC9">
        <w:t xml:space="preserve">o této skutečnosti </w:t>
      </w:r>
      <w:r>
        <w:t xml:space="preserve">dlužníka bezodkladně písemně vyrozumět. </w:t>
      </w:r>
    </w:p>
    <w:p w14:paraId="362B8ECB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V případě prodlení dlužníka s úhradou </w:t>
      </w:r>
      <w:r w:rsidR="00256E31">
        <w:t xml:space="preserve">shora specifikované dlužné částky </w:t>
      </w:r>
      <w:r>
        <w:t xml:space="preserve">má věřitel nárok na úhradu smluvního úroku z prodlení ve výši 0,05% z dlužné částky za každý den prodlení. </w:t>
      </w:r>
    </w:p>
    <w:p w14:paraId="4011D332" w14:textId="77777777" w:rsidR="00E506DD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Dlužník a věřitel se dohodli, že </w:t>
      </w:r>
      <w:r w:rsidR="00113DB3">
        <w:t xml:space="preserve">v případě </w:t>
      </w:r>
      <w:r>
        <w:t xml:space="preserve">prodlení dlužníka s úhradou bude dlužná částka bez dalšího vymáhána soudní cestou. </w:t>
      </w:r>
    </w:p>
    <w:p w14:paraId="06DFE9A7" w14:textId="735079F3" w:rsidR="00AC1AD4" w:rsidRPr="00923F64" w:rsidRDefault="00AC1AD4" w:rsidP="000004F8">
      <w:pPr>
        <w:pStyle w:val="Bezmezer"/>
        <w:numPr>
          <w:ilvl w:val="1"/>
          <w:numId w:val="1"/>
        </w:numPr>
        <w:jc w:val="both"/>
      </w:pPr>
      <w:r w:rsidRPr="00923F64">
        <w:t xml:space="preserve">Smluvní strany </w:t>
      </w:r>
      <w:r w:rsidR="00113DB3" w:rsidRPr="00923F64">
        <w:t xml:space="preserve">dále </w:t>
      </w:r>
      <w:r w:rsidRPr="00923F64">
        <w:t>považují nároky mezi nimi z titulu zpoždění dodávek</w:t>
      </w:r>
      <w:r w:rsidR="00B45007" w:rsidRPr="00923F64">
        <w:t xml:space="preserve"> a zpoždění v odstranění reklamací</w:t>
      </w:r>
      <w:r w:rsidRPr="00923F64">
        <w:t xml:space="preserve"> na základě výzev č. 1 až 20 úhradou dluhu blíže specifikovaného v čl. 1. této Dohody</w:t>
      </w:r>
      <w:r w:rsidR="00113DB3" w:rsidRPr="00923F64">
        <w:t xml:space="preserve"> tímto</w:t>
      </w:r>
      <w:r w:rsidRPr="00923F64">
        <w:t xml:space="preserve"> za vyrovnané</w:t>
      </w:r>
      <w:r w:rsidR="00B45007" w:rsidRPr="00923F64">
        <w:t xml:space="preserve"> </w:t>
      </w:r>
      <w:r w:rsidR="00691AE7" w:rsidRPr="00923F64">
        <w:t xml:space="preserve">ke dni zaplacení předmětného dluhu, </w:t>
      </w:r>
      <w:r w:rsidR="00B45007" w:rsidRPr="00923F64">
        <w:t xml:space="preserve">a </w:t>
      </w:r>
      <w:r w:rsidR="00691AE7" w:rsidRPr="00923F64">
        <w:t>Věřitel je rovněž oprávněn uplatnit své nároky/sankce, pokud Dlužník nesplní zcela svoje smluvní povinnosti ze shora uvedené Rámcové dohody.</w:t>
      </w:r>
      <w:r w:rsidRPr="00923F64">
        <w:t xml:space="preserve"> </w:t>
      </w:r>
      <w:r w:rsidR="00844A96" w:rsidRPr="00923F64">
        <w:t xml:space="preserve">Dlužník bere na vědomí, že ujednáním v této Dohodě nejsou a nebudou nijak dotčena práva Věřitele na uplatňování práv z vadného plnění a záručního plnění, tedy že </w:t>
      </w:r>
      <w:r w:rsidR="00923F64" w:rsidRPr="00923F64">
        <w:t>věřitel</w:t>
      </w:r>
      <w:r w:rsidR="00844A96" w:rsidRPr="00923F64">
        <w:t xml:space="preserve"> má právo nadále plně uplatňovat práva z vadného plnění a vady projevené v rámci záruky za jakost. </w:t>
      </w:r>
    </w:p>
    <w:p w14:paraId="57135FE4" w14:textId="77777777" w:rsidR="00E506DD" w:rsidRDefault="00E506DD"/>
    <w:p w14:paraId="1D529ED3" w14:textId="77777777" w:rsidR="000004F8" w:rsidRPr="008833AD" w:rsidRDefault="000004F8" w:rsidP="000004F8">
      <w:pPr>
        <w:pStyle w:val="Bezmezer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ZÁVĚREČNÁ USTANOVENÍ </w:t>
      </w:r>
      <w:r w:rsidRPr="008833AD">
        <w:rPr>
          <w:b/>
          <w:bCs/>
        </w:rPr>
        <w:t xml:space="preserve"> </w:t>
      </w:r>
    </w:p>
    <w:p w14:paraId="05A3B4D6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Pokud jsou nebo by se některá ustanovení této </w:t>
      </w:r>
      <w:r w:rsidR="008522E9">
        <w:t>D</w:t>
      </w:r>
      <w:r>
        <w:t xml:space="preserve">ohody stala neplatnými nebo částečně </w:t>
      </w:r>
      <w:r w:rsidR="00087419">
        <w:t>neplatnými,</w:t>
      </w:r>
      <w:r>
        <w:t xml:space="preserve"> popř. neproveditelnými, není tím dotčena platnost </w:t>
      </w:r>
      <w:r w:rsidR="008522E9">
        <w:t>D</w:t>
      </w:r>
      <w:r>
        <w:t xml:space="preserve">ohody jako celku. Smluvní strany se zavazují nahradit takové ustanovení jiným, které svým smyslem a účelem odpovídá nejblíže účelu nahrazovaného ustanovení a celé této </w:t>
      </w:r>
      <w:r w:rsidR="008522E9">
        <w:t>D</w:t>
      </w:r>
      <w:r>
        <w:t xml:space="preserve">ohody. Totéž platí i pro případná chybějící ujednání v této </w:t>
      </w:r>
      <w:r w:rsidR="008522E9">
        <w:t>D</w:t>
      </w:r>
      <w:r>
        <w:t xml:space="preserve">ohodě. </w:t>
      </w:r>
    </w:p>
    <w:p w14:paraId="745D2159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Změny nebo dodatky této </w:t>
      </w:r>
      <w:r w:rsidR="008522E9">
        <w:t>D</w:t>
      </w:r>
      <w:r>
        <w:t>ohody lze provádět pouze písemně, a to na základě číslovaných dodatků</w:t>
      </w:r>
      <w:r w:rsidR="008522E9">
        <w:t xml:space="preserve"> podepsaných oběma smluvními stranami (účastníky Dohody)</w:t>
      </w:r>
      <w:r>
        <w:t xml:space="preserve">. </w:t>
      </w:r>
    </w:p>
    <w:p w14:paraId="33D54899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Všechny spory vzniklé z této </w:t>
      </w:r>
      <w:r w:rsidR="008522E9">
        <w:t>D</w:t>
      </w:r>
      <w:r>
        <w:t xml:space="preserve">ohody a v souvislosti s ní budou projednány a závazně s konečnou platností rozhodnuty před příslušných soudem České republiky. </w:t>
      </w:r>
    </w:p>
    <w:p w14:paraId="184ED367" w14:textId="77777777" w:rsidR="00087419" w:rsidRPr="00087419" w:rsidRDefault="000004F8" w:rsidP="00087419">
      <w:pPr>
        <w:pStyle w:val="Bezmezer"/>
        <w:numPr>
          <w:ilvl w:val="1"/>
          <w:numId w:val="1"/>
        </w:numPr>
        <w:spacing w:after="80"/>
        <w:jc w:val="both"/>
        <w:rPr>
          <w:rFonts w:cstheme="minorHAnsi"/>
        </w:rPr>
      </w:pPr>
      <w:r>
        <w:t xml:space="preserve">Tato </w:t>
      </w:r>
      <w:r w:rsidR="008522E9">
        <w:t>D</w:t>
      </w:r>
      <w:r>
        <w:t xml:space="preserve">ohoda nabývá platnosti a účinnosti dnem jejího podpisu oběma </w:t>
      </w:r>
      <w:r w:rsidR="008522E9">
        <w:t>smluvními stranami (</w:t>
      </w:r>
      <w:r>
        <w:t>účastníky</w:t>
      </w:r>
      <w:r w:rsidR="008522E9">
        <w:t xml:space="preserve"> Dohody)</w:t>
      </w:r>
      <w:r>
        <w:t xml:space="preserve">. </w:t>
      </w:r>
      <w:r w:rsidR="00A30CC9">
        <w:t>V případě, že tato Dohoda naplní podmínky dle zákona č. 340/2015 Sb., o zvláštních podmínkách účinnosti některých smluv, uveřejňování těchto smluv a o registru smluv (zákon o registru smluv), bude účinná dnem jejího uveřejnění jednou ze smluvních stran.</w:t>
      </w:r>
    </w:p>
    <w:p w14:paraId="2310C447" w14:textId="77777777" w:rsidR="00087419" w:rsidRPr="00087419" w:rsidRDefault="00087419" w:rsidP="00087419">
      <w:pPr>
        <w:pStyle w:val="Bezmezer"/>
        <w:tabs>
          <w:tab w:val="num" w:pos="0"/>
          <w:tab w:val="left" w:pos="851"/>
        </w:tabs>
        <w:spacing w:after="80"/>
        <w:ind w:left="851" w:hanging="426"/>
        <w:jc w:val="both"/>
        <w:rPr>
          <w:rFonts w:cstheme="minorHAnsi"/>
        </w:rPr>
      </w:pPr>
      <w:r>
        <w:t xml:space="preserve">3.5 </w:t>
      </w:r>
      <w:r w:rsidR="000004F8">
        <w:t xml:space="preserve">Tato </w:t>
      </w:r>
      <w:r w:rsidR="008522E9">
        <w:t>D</w:t>
      </w:r>
      <w:r w:rsidR="000004F8">
        <w:t xml:space="preserve">ohoda je vyhotovena ve dvou (2) stejnopisech s platností originálu, z nichž jedno (1) vyhotovení obdrží věřitel a jedno (1) vyhotovení obdrží dlužník. </w:t>
      </w:r>
      <w:bookmarkStart w:id="0" w:name="_Hlk135213059"/>
      <w:r w:rsidRPr="00087419">
        <w:rPr>
          <w:rFonts w:cstheme="minorHAnsi"/>
        </w:rPr>
        <w:t xml:space="preserve">V případě, že </w:t>
      </w:r>
      <w:r w:rsidR="008522E9">
        <w:rPr>
          <w:rFonts w:cstheme="minorHAnsi"/>
        </w:rPr>
        <w:t>Dohod</w:t>
      </w:r>
      <w:r w:rsidRPr="00087419">
        <w:rPr>
          <w:rFonts w:cstheme="minorHAnsi"/>
        </w:rPr>
        <w:t>a bude uzavírána elektronicky, postačí jedno (1) vyhotovení, na kterém budou zaznamenány uznávané elektronické podpisy zástupců Smluvních stran oprávněných tuto</w:t>
      </w:r>
      <w:r w:rsidR="008522E9">
        <w:rPr>
          <w:rFonts w:cstheme="minorHAnsi"/>
        </w:rPr>
        <w:t xml:space="preserve"> Dohodu</w:t>
      </w:r>
      <w:r w:rsidRPr="00087419">
        <w:rPr>
          <w:rFonts w:cstheme="minorHAnsi"/>
        </w:rPr>
        <w:t xml:space="preserve"> uzavřít.</w:t>
      </w:r>
      <w:bookmarkEnd w:id="0"/>
    </w:p>
    <w:p w14:paraId="55469190" w14:textId="77777777" w:rsidR="000004F8" w:rsidRDefault="000004F8" w:rsidP="000004F8">
      <w:pPr>
        <w:pStyle w:val="Bezmezer"/>
        <w:numPr>
          <w:ilvl w:val="1"/>
          <w:numId w:val="1"/>
        </w:numPr>
        <w:jc w:val="both"/>
      </w:pPr>
      <w:r>
        <w:t xml:space="preserve">Smluvní strany prohlašují, že si tuto </w:t>
      </w:r>
      <w:r w:rsidR="008522E9">
        <w:t>D</w:t>
      </w:r>
      <w:r>
        <w:t xml:space="preserve">ohodu před podpisem přečetly, rozumí jí, s jejím obsahem souhlasí a prohlašují, že tuto neuzavírají v tísni, ani za nápadně nevýhodných podmínek a na důkaz toho připojují své podpisy. </w:t>
      </w:r>
    </w:p>
    <w:p w14:paraId="0F4B1CE1" w14:textId="77777777" w:rsidR="00091E54" w:rsidRDefault="00091E54" w:rsidP="00091E54">
      <w:pPr>
        <w:pStyle w:val="Bezmezer"/>
        <w:jc w:val="both"/>
      </w:pPr>
    </w:p>
    <w:p w14:paraId="4F9F95DD" w14:textId="77777777" w:rsidR="00091E54" w:rsidRDefault="00091E54" w:rsidP="00091E54">
      <w:pPr>
        <w:pStyle w:val="Bezmezer"/>
        <w:jc w:val="both"/>
      </w:pPr>
    </w:p>
    <w:p w14:paraId="38452CFB" w14:textId="7DE5663B" w:rsidR="000004F8" w:rsidRDefault="000004F8" w:rsidP="000004F8">
      <w:pPr>
        <w:pStyle w:val="Bezmezer"/>
      </w:pPr>
    </w:p>
    <w:p w14:paraId="648FD034" w14:textId="7C3354F2" w:rsidR="004D6400" w:rsidRDefault="004D6400" w:rsidP="000004F8">
      <w:pPr>
        <w:pStyle w:val="Bezmezer"/>
      </w:pPr>
    </w:p>
    <w:p w14:paraId="584EC3FF" w14:textId="60C1DFAE" w:rsidR="004D6400" w:rsidRDefault="004D6400" w:rsidP="000004F8">
      <w:pPr>
        <w:pStyle w:val="Bezmezer"/>
      </w:pPr>
    </w:p>
    <w:p w14:paraId="08AF1272" w14:textId="3F635909" w:rsidR="004D6400" w:rsidRDefault="004D6400" w:rsidP="000004F8">
      <w:pPr>
        <w:pStyle w:val="Bezmezer"/>
      </w:pPr>
    </w:p>
    <w:p w14:paraId="615B7BE5" w14:textId="0DACE0ED" w:rsidR="004D6400" w:rsidRDefault="004D6400" w:rsidP="000004F8">
      <w:pPr>
        <w:pStyle w:val="Bezmezer"/>
      </w:pPr>
    </w:p>
    <w:p w14:paraId="3C3DAAAE" w14:textId="24C9B319" w:rsidR="004D6400" w:rsidRDefault="004D6400" w:rsidP="000004F8">
      <w:pPr>
        <w:pStyle w:val="Bezmezer"/>
      </w:pPr>
    </w:p>
    <w:p w14:paraId="68E89069" w14:textId="3CF8ED2D" w:rsidR="004D6400" w:rsidRDefault="004D6400" w:rsidP="000004F8">
      <w:pPr>
        <w:pStyle w:val="Bezmezer"/>
      </w:pPr>
    </w:p>
    <w:p w14:paraId="34AFB9CE" w14:textId="5477E13C" w:rsidR="004D6400" w:rsidRDefault="004D6400" w:rsidP="000004F8">
      <w:pPr>
        <w:pStyle w:val="Bezmezer"/>
      </w:pPr>
    </w:p>
    <w:p w14:paraId="1608ACFE" w14:textId="77777777" w:rsidR="004D6400" w:rsidRDefault="004D6400" w:rsidP="000004F8">
      <w:pPr>
        <w:pStyle w:val="Bezmezer"/>
      </w:pPr>
    </w:p>
    <w:p w14:paraId="50DB7006" w14:textId="77777777" w:rsidR="000004F8" w:rsidRDefault="000004F8" w:rsidP="000004F8">
      <w:pPr>
        <w:pStyle w:val="Bezmezer"/>
      </w:pPr>
      <w:r w:rsidRPr="00FD5E65">
        <w:rPr>
          <w:b/>
          <w:bCs/>
        </w:rPr>
        <w:lastRenderedPageBreak/>
        <w:t>Za věřitele: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FD5E65">
        <w:rPr>
          <w:b/>
          <w:bCs/>
        </w:rPr>
        <w:t>Za dlužníka:</w:t>
      </w:r>
      <w:r>
        <w:t xml:space="preserve"> </w:t>
      </w:r>
    </w:p>
    <w:p w14:paraId="0D658407" w14:textId="77777777" w:rsidR="000004F8" w:rsidRDefault="000004F8" w:rsidP="000004F8">
      <w:pPr>
        <w:pStyle w:val="Bezmezer"/>
      </w:pPr>
    </w:p>
    <w:p w14:paraId="0A86BEF6" w14:textId="5E36F86D" w:rsidR="000004F8" w:rsidRDefault="000004F8" w:rsidP="000004F8">
      <w:pPr>
        <w:pStyle w:val="Bezmezer"/>
      </w:pPr>
      <w:r>
        <w:t>V Praze dne:</w:t>
      </w:r>
      <w:r w:rsidR="00E506DD">
        <w:t xml:space="preserve"> </w:t>
      </w:r>
      <w:r w:rsidR="004D6400">
        <w:tab/>
      </w:r>
      <w:r>
        <w:tab/>
      </w:r>
      <w:r>
        <w:tab/>
      </w:r>
      <w:r>
        <w:tab/>
      </w:r>
      <w:r>
        <w:tab/>
      </w:r>
      <w:r w:rsidR="004D6400">
        <w:tab/>
      </w:r>
      <w:r>
        <w:t>V Praze dne:</w:t>
      </w:r>
      <w:r w:rsidR="00E506DD">
        <w:t xml:space="preserve"> </w:t>
      </w:r>
    </w:p>
    <w:p w14:paraId="6E58A29B" w14:textId="77777777" w:rsidR="000004F8" w:rsidRDefault="000004F8" w:rsidP="000004F8">
      <w:pPr>
        <w:pStyle w:val="Bezmezer"/>
      </w:pPr>
    </w:p>
    <w:p w14:paraId="5962F9D6" w14:textId="77777777" w:rsidR="000004F8" w:rsidRDefault="000004F8" w:rsidP="000004F8">
      <w:pPr>
        <w:pStyle w:val="Bezmezer"/>
      </w:pPr>
    </w:p>
    <w:p w14:paraId="45176560" w14:textId="77777777" w:rsidR="000004F8" w:rsidRDefault="000004F8" w:rsidP="000004F8">
      <w:pPr>
        <w:pStyle w:val="Bezmezer"/>
      </w:pPr>
    </w:p>
    <w:p w14:paraId="2D98FD86" w14:textId="77777777" w:rsidR="000004F8" w:rsidRDefault="000004F8" w:rsidP="000004F8">
      <w:pPr>
        <w:pStyle w:val="Bezmezer"/>
      </w:pPr>
    </w:p>
    <w:p w14:paraId="6142DBDD" w14:textId="77777777" w:rsidR="000004F8" w:rsidRDefault="000004F8" w:rsidP="000004F8">
      <w:pPr>
        <w:pStyle w:val="Bezmezer"/>
      </w:pPr>
    </w:p>
    <w:p w14:paraId="5CF9937C" w14:textId="77777777" w:rsidR="000004F8" w:rsidRDefault="000004F8" w:rsidP="000004F8">
      <w:pPr>
        <w:pStyle w:val="Bezmezer"/>
      </w:pPr>
    </w:p>
    <w:p w14:paraId="6D9BF2F5" w14:textId="77777777" w:rsidR="000004F8" w:rsidRPr="00920457" w:rsidRDefault="000004F8" w:rsidP="000004F8">
      <w:pPr>
        <w:pStyle w:val="Bezmezer"/>
      </w:pPr>
      <w:r w:rsidRPr="00920457">
        <w:t>……………………………………………………………</w:t>
      </w:r>
      <w:r>
        <w:tab/>
      </w:r>
      <w:r>
        <w:tab/>
      </w:r>
      <w:r>
        <w:tab/>
      </w:r>
      <w:r w:rsidRPr="00920457">
        <w:t>…………………………………………………………</w:t>
      </w:r>
    </w:p>
    <w:p w14:paraId="12C484F6" w14:textId="77777777" w:rsidR="00091E54" w:rsidRPr="00091E54" w:rsidRDefault="000004F8" w:rsidP="000004F8">
      <w:pPr>
        <w:pStyle w:val="Bezmezer"/>
        <w:rPr>
          <w:b/>
          <w:bCs/>
        </w:rPr>
      </w:pPr>
      <w:r w:rsidRPr="00FD5E65">
        <w:rPr>
          <w:b/>
          <w:bCs/>
        </w:rPr>
        <w:t>Tomáš Jílek</w:t>
      </w:r>
      <w:r w:rsidRPr="00920457">
        <w:t xml:space="preserve"> </w:t>
      </w:r>
      <w:r>
        <w:tab/>
      </w:r>
      <w:r w:rsidRPr="0092045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91E54" w:rsidRPr="00091E54">
        <w:rPr>
          <w:b/>
          <w:bCs/>
        </w:rPr>
        <w:t>Marat Saber</w:t>
      </w:r>
    </w:p>
    <w:p w14:paraId="182D90D6" w14:textId="77777777" w:rsidR="000004F8" w:rsidRDefault="000004F8" w:rsidP="000004F8">
      <w:pPr>
        <w:pStyle w:val="Bezmezer"/>
      </w:pPr>
      <w:r w:rsidRPr="00FD5E65">
        <w:rPr>
          <w:b/>
          <w:bCs/>
        </w:rPr>
        <w:t>předseda představenstva</w:t>
      </w:r>
      <w:r w:rsidRPr="00920457">
        <w:t xml:space="preserve"> </w:t>
      </w:r>
      <w:r>
        <w:tab/>
      </w:r>
      <w:r>
        <w:tab/>
      </w:r>
      <w:r>
        <w:tab/>
      </w:r>
      <w:r w:rsidR="00091E54">
        <w:tab/>
      </w:r>
      <w:r w:rsidR="00091E54" w:rsidRPr="00FD5E65">
        <w:rPr>
          <w:b/>
          <w:bCs/>
        </w:rPr>
        <w:t>předseda představenstva</w:t>
      </w:r>
      <w:r>
        <w:tab/>
      </w:r>
    </w:p>
    <w:p w14:paraId="271A0F73" w14:textId="77777777" w:rsidR="000004F8" w:rsidRDefault="000004F8" w:rsidP="000004F8">
      <w:pPr>
        <w:pStyle w:val="Bezmezer"/>
        <w:rPr>
          <w:b/>
          <w:bCs/>
        </w:rPr>
      </w:pPr>
      <w:r w:rsidRPr="00C80C7F">
        <w:rPr>
          <w:b/>
          <w:bCs/>
        </w:rPr>
        <w:t>Technologie hlavního města Prahy, a.s.</w:t>
      </w:r>
      <w:r w:rsidRPr="009E19DA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091E54">
        <w:rPr>
          <w:b/>
          <w:bCs/>
        </w:rPr>
        <w:t>Energovod CZ, a.s.</w:t>
      </w:r>
    </w:p>
    <w:p w14:paraId="2DCF80FA" w14:textId="77777777" w:rsidR="000004F8" w:rsidRDefault="000004F8" w:rsidP="000004F8">
      <w:pPr>
        <w:pStyle w:val="Bezmezer"/>
        <w:rPr>
          <w:b/>
          <w:bCs/>
        </w:rPr>
      </w:pPr>
    </w:p>
    <w:p w14:paraId="0C93B444" w14:textId="77777777" w:rsidR="000004F8" w:rsidRDefault="000004F8" w:rsidP="000004F8">
      <w:pPr>
        <w:pStyle w:val="Bezmezer"/>
        <w:rPr>
          <w:b/>
          <w:bCs/>
        </w:rPr>
      </w:pPr>
    </w:p>
    <w:p w14:paraId="19774615" w14:textId="77777777" w:rsidR="000004F8" w:rsidRDefault="000004F8" w:rsidP="000004F8">
      <w:pPr>
        <w:pStyle w:val="Bezmezer"/>
        <w:rPr>
          <w:b/>
          <w:bCs/>
        </w:rPr>
      </w:pPr>
    </w:p>
    <w:p w14:paraId="0FC86202" w14:textId="77777777" w:rsidR="000004F8" w:rsidRDefault="000004F8" w:rsidP="000004F8">
      <w:pPr>
        <w:pStyle w:val="Bezmezer"/>
        <w:rPr>
          <w:b/>
          <w:bCs/>
        </w:rPr>
      </w:pPr>
    </w:p>
    <w:p w14:paraId="15649A0E" w14:textId="77777777" w:rsidR="000004F8" w:rsidRDefault="000004F8" w:rsidP="000004F8">
      <w:pPr>
        <w:pStyle w:val="Bezmezer"/>
        <w:rPr>
          <w:b/>
          <w:bCs/>
        </w:rPr>
      </w:pPr>
    </w:p>
    <w:p w14:paraId="4F76CED2" w14:textId="77777777" w:rsidR="000004F8" w:rsidRPr="00920457" w:rsidRDefault="000004F8" w:rsidP="000004F8">
      <w:pPr>
        <w:pStyle w:val="Bezmezer"/>
      </w:pPr>
      <w:r w:rsidRPr="00920457">
        <w:t>…………………………………………………………</w:t>
      </w:r>
      <w:r w:rsidR="00091E54">
        <w:tab/>
      </w:r>
      <w:r w:rsidR="00091E54">
        <w:tab/>
      </w:r>
      <w:r w:rsidR="00091E54">
        <w:tab/>
        <w:t>………………………………………………………………</w:t>
      </w:r>
    </w:p>
    <w:p w14:paraId="1BE92FEC" w14:textId="4C787803" w:rsidR="000004F8" w:rsidRPr="00FD5E65" w:rsidRDefault="00055D69" w:rsidP="000004F8">
      <w:pPr>
        <w:pStyle w:val="Bezmezer"/>
        <w:rPr>
          <w:b/>
          <w:bCs/>
        </w:rPr>
      </w:pPr>
      <w:r>
        <w:rPr>
          <w:b/>
          <w:bCs/>
        </w:rPr>
        <w:t>Libor Fiala</w:t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7A01D3">
        <w:rPr>
          <w:b/>
          <w:bCs/>
        </w:rPr>
        <w:tab/>
      </w:r>
      <w:r w:rsidR="00091E54">
        <w:rPr>
          <w:b/>
          <w:bCs/>
        </w:rPr>
        <w:t>Ladislav Beran</w:t>
      </w:r>
    </w:p>
    <w:p w14:paraId="5BE03E35" w14:textId="44A0F57D" w:rsidR="00091E54" w:rsidRPr="00FD5E65" w:rsidRDefault="00055D69" w:rsidP="00091E54">
      <w:pPr>
        <w:pStyle w:val="Bezmezer"/>
        <w:rPr>
          <w:b/>
          <w:bCs/>
        </w:rPr>
      </w:pPr>
      <w:r>
        <w:rPr>
          <w:b/>
          <w:bCs/>
        </w:rPr>
        <w:t>člen</w:t>
      </w:r>
      <w:r w:rsidR="000004F8" w:rsidRPr="00FD5E65">
        <w:rPr>
          <w:b/>
          <w:bCs/>
        </w:rPr>
        <w:t xml:space="preserve"> představenstva</w:t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091E54">
        <w:rPr>
          <w:b/>
          <w:bCs/>
        </w:rPr>
        <w:tab/>
      </w:r>
      <w:r w:rsidR="007A01D3">
        <w:rPr>
          <w:b/>
          <w:bCs/>
        </w:rPr>
        <w:tab/>
      </w:r>
      <w:r w:rsidR="00091E54" w:rsidRPr="00FD5E65">
        <w:rPr>
          <w:b/>
          <w:bCs/>
        </w:rPr>
        <w:t>místopředseda představenstva</w:t>
      </w:r>
    </w:p>
    <w:p w14:paraId="44BF706A" w14:textId="77777777" w:rsidR="000004F8" w:rsidRPr="00920457" w:rsidRDefault="000004F8" w:rsidP="000004F8">
      <w:pPr>
        <w:pStyle w:val="Bezmezer"/>
      </w:pPr>
      <w:r w:rsidRPr="00C80C7F">
        <w:rPr>
          <w:b/>
          <w:bCs/>
        </w:rPr>
        <w:t>Technologie hlavního města Prahy, a.s.</w:t>
      </w:r>
      <w:r w:rsidR="00091E54">
        <w:rPr>
          <w:b/>
          <w:bCs/>
        </w:rPr>
        <w:tab/>
      </w:r>
      <w:r w:rsidR="00091E54">
        <w:rPr>
          <w:b/>
          <w:bCs/>
        </w:rPr>
        <w:tab/>
        <w:t>Energovod CZ, a.s.</w:t>
      </w:r>
    </w:p>
    <w:p w14:paraId="7F486154" w14:textId="77777777" w:rsidR="000004F8" w:rsidRDefault="000004F8" w:rsidP="000004F8">
      <w:pPr>
        <w:pStyle w:val="Bezmezer"/>
      </w:pPr>
    </w:p>
    <w:p w14:paraId="16CAD705" w14:textId="77777777" w:rsidR="009D6066" w:rsidRDefault="009D6066"/>
    <w:sectPr w:rsidR="009D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8A0"/>
    <w:multiLevelType w:val="hybridMultilevel"/>
    <w:tmpl w:val="A56CA8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08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727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ED3BE2"/>
    <w:multiLevelType w:val="multilevel"/>
    <w:tmpl w:val="6B866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80390D"/>
    <w:multiLevelType w:val="hybridMultilevel"/>
    <w:tmpl w:val="5C92D818"/>
    <w:lvl w:ilvl="0" w:tplc="A59616C8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59D0AB5"/>
    <w:multiLevelType w:val="hybridMultilevel"/>
    <w:tmpl w:val="E528E01E"/>
    <w:lvl w:ilvl="0" w:tplc="0405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58084063">
    <w:abstractNumId w:val="1"/>
  </w:num>
  <w:num w:numId="2" w16cid:durableId="675694770">
    <w:abstractNumId w:val="3"/>
  </w:num>
  <w:num w:numId="3" w16cid:durableId="538012166">
    <w:abstractNumId w:val="4"/>
  </w:num>
  <w:num w:numId="4" w16cid:durableId="1321273376">
    <w:abstractNumId w:val="0"/>
  </w:num>
  <w:num w:numId="5" w16cid:durableId="125239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F8"/>
    <w:rsid w:val="000004F8"/>
    <w:rsid w:val="00055D69"/>
    <w:rsid w:val="000678B2"/>
    <w:rsid w:val="00087419"/>
    <w:rsid w:val="00091E54"/>
    <w:rsid w:val="000D4451"/>
    <w:rsid w:val="00113DB3"/>
    <w:rsid w:val="00162478"/>
    <w:rsid w:val="00180844"/>
    <w:rsid w:val="001A4DC5"/>
    <w:rsid w:val="00256E31"/>
    <w:rsid w:val="002C693E"/>
    <w:rsid w:val="004D3C8D"/>
    <w:rsid w:val="004D6400"/>
    <w:rsid w:val="00691AE7"/>
    <w:rsid w:val="00692BDC"/>
    <w:rsid w:val="006F68D6"/>
    <w:rsid w:val="007166C4"/>
    <w:rsid w:val="00742ECA"/>
    <w:rsid w:val="007A01D3"/>
    <w:rsid w:val="0081382E"/>
    <w:rsid w:val="00844A96"/>
    <w:rsid w:val="008522E9"/>
    <w:rsid w:val="008F1021"/>
    <w:rsid w:val="00923F64"/>
    <w:rsid w:val="009D6066"/>
    <w:rsid w:val="00A30CC9"/>
    <w:rsid w:val="00A3448C"/>
    <w:rsid w:val="00AC1AD4"/>
    <w:rsid w:val="00B45007"/>
    <w:rsid w:val="00B55C0F"/>
    <w:rsid w:val="00B75992"/>
    <w:rsid w:val="00BB1008"/>
    <w:rsid w:val="00D30A1C"/>
    <w:rsid w:val="00D75479"/>
    <w:rsid w:val="00D833E1"/>
    <w:rsid w:val="00E506DD"/>
    <w:rsid w:val="00E8243F"/>
    <w:rsid w:val="00E97370"/>
    <w:rsid w:val="00EF19AE"/>
    <w:rsid w:val="00F10769"/>
    <w:rsid w:val="00F46D12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237F"/>
  <w15:chartTrackingRefBased/>
  <w15:docId w15:val="{7CA3AB20-3DFB-4C90-8BE6-AD999707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4F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4F8"/>
    <w:rPr>
      <w:kern w:val="0"/>
      <w14:ligatures w14:val="none"/>
    </w:rPr>
  </w:style>
  <w:style w:type="paragraph" w:styleId="Bezmezer">
    <w:name w:val="No Spacing"/>
    <w:uiPriority w:val="1"/>
    <w:qFormat/>
    <w:rsid w:val="000004F8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00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0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C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CC9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CC9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A3448C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AD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Brychcová Martina</dc:creator>
  <cp:keywords/>
  <dc:description/>
  <cp:lastModifiedBy>Vítová Petra</cp:lastModifiedBy>
  <cp:revision>2</cp:revision>
  <cp:lastPrinted>2023-06-19T11:03:00Z</cp:lastPrinted>
  <dcterms:created xsi:type="dcterms:W3CDTF">2023-06-21T13:45:00Z</dcterms:created>
  <dcterms:modified xsi:type="dcterms:W3CDTF">2023-06-21T13:45:00Z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2023-06-14T11:53:50Z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aec2fb9b-6a8f-4206-b995-77cfa63e46a9</vt:lpwstr>
  </property>
  <property fmtid="{D5CDD505-2E9C-101B-9397-08002B2CF9AE}" pid="8" name="MSIP_Label_53b2c928-728b-4698-a3fd-c5d03555aa71_ContentBits">
    <vt:lpwstr>0</vt:lpwstr>
  </property>
</Properties>
</file>