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378" w:rsidRDefault="00C73F6C">
      <w:pPr>
        <w:pStyle w:val="Nzev"/>
      </w:pPr>
      <w:r>
        <w:t>s</w:t>
      </w:r>
      <w:bookmarkStart w:id="0" w:name="_Ref86215661"/>
      <w:bookmarkEnd w:id="0"/>
      <w:r>
        <w:t>mlouva o PORADENSké činnosti</w:t>
      </w:r>
    </w:p>
    <w:p w:rsidR="003B7378" w:rsidRDefault="00C73F6C">
      <w:pPr>
        <w:jc w:val="center"/>
      </w:pPr>
      <w:r>
        <w:t>uzavřená podle ustanovení §1746 odst. 2 zákona č. 89/2012 Sb. (dále jen „NOZ“) níže uvedeného dne mezi těmito smluvními stranami:</w:t>
      </w:r>
    </w:p>
    <w:p w:rsidR="003B7378" w:rsidRDefault="003B7378">
      <w:bookmarkStart w:id="1" w:name="BETWEEN"/>
      <w:bookmarkEnd w:id="1"/>
    </w:p>
    <w:p w:rsidR="003B7378" w:rsidRDefault="003B7378"/>
    <w:p w:rsidR="003B7378" w:rsidRDefault="003B7378"/>
    <w:p w:rsidR="003B7378" w:rsidRDefault="003B7378"/>
    <w:p w:rsidR="003B7378" w:rsidRDefault="003B7378"/>
    <w:p w:rsidR="003B7378" w:rsidRDefault="00C73F6C">
      <w:pPr>
        <w:jc w:val="center"/>
      </w:pPr>
      <w:r>
        <w:rPr>
          <w:b/>
        </w:rPr>
        <w:t>Mgr. Vladimíra Jonášová</w:t>
      </w:r>
      <w:r>
        <w:rPr>
          <w:b/>
        </w:rPr>
        <w:br w:type="textWrapping" w:clear="all"/>
      </w:r>
      <w:r>
        <w:t>se sídlem Šťáhlavice 181, 332 03 Šťáhlavy</w:t>
      </w:r>
    </w:p>
    <w:p w:rsidR="003B7378" w:rsidRDefault="00C73F6C">
      <w:pPr>
        <w:jc w:val="center"/>
        <w:rPr>
          <w:b/>
        </w:rPr>
      </w:pPr>
      <w:r>
        <w:t>IČO: 69946400</w:t>
      </w:r>
    </w:p>
    <w:p w:rsidR="003B7378" w:rsidRDefault="00C73F6C">
      <w:pPr>
        <w:jc w:val="center"/>
      </w:pPr>
      <w:r>
        <w:t>(dále jen „</w:t>
      </w:r>
      <w:r>
        <w:rPr>
          <w:b/>
        </w:rPr>
        <w:t>Poradce</w:t>
      </w:r>
      <w:r>
        <w:t>“)</w:t>
      </w:r>
    </w:p>
    <w:p w:rsidR="003B7378" w:rsidRDefault="003B7378">
      <w:pPr>
        <w:jc w:val="center"/>
      </w:pPr>
    </w:p>
    <w:p w:rsidR="003B7378" w:rsidRDefault="00C73F6C">
      <w:pPr>
        <w:jc w:val="center"/>
      </w:pPr>
      <w:r>
        <w:t>a</w:t>
      </w: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C73F6C">
      <w:pPr>
        <w:jc w:val="center"/>
        <w:rPr>
          <w:b/>
        </w:rPr>
      </w:pPr>
      <w:r>
        <w:rPr>
          <w:b/>
        </w:rPr>
        <w:t>Čistá Plzeň s.r</w:t>
      </w:r>
      <w:r>
        <w:rPr>
          <w:b/>
        </w:rPr>
        <w:t>.o.</w:t>
      </w:r>
    </w:p>
    <w:p w:rsidR="003B7378" w:rsidRDefault="00C73F6C">
      <w:pPr>
        <w:jc w:val="center"/>
      </w:pPr>
      <w:r>
        <w:t>se sídlem Edvarda Beneše 430/23, 301 00 Plzeň</w:t>
      </w:r>
    </w:p>
    <w:p w:rsidR="003B7378" w:rsidRDefault="00C73F6C">
      <w:pPr>
        <w:jc w:val="center"/>
      </w:pPr>
      <w:r>
        <w:t>IČO: 28046153</w:t>
      </w:r>
    </w:p>
    <w:p w:rsidR="003B7378" w:rsidRDefault="00C73F6C">
      <w:pPr>
        <w:jc w:val="center"/>
      </w:pPr>
      <w:r>
        <w:t xml:space="preserve">zapsaná v obchodním rejstříku vedeném Krajským soudem v Plzni, </w:t>
      </w:r>
      <w:proofErr w:type="spellStart"/>
      <w:r>
        <w:t>sp</w:t>
      </w:r>
      <w:proofErr w:type="spellEnd"/>
      <w:r>
        <w:t>. zn. C 22669</w:t>
      </w:r>
    </w:p>
    <w:p w:rsidR="003B7378" w:rsidRDefault="00C73F6C">
      <w:pPr>
        <w:jc w:val="center"/>
      </w:pPr>
      <w:r>
        <w:t>(dále jen „</w:t>
      </w:r>
      <w:r>
        <w:rPr>
          <w:b/>
        </w:rPr>
        <w:t>Odběratel</w:t>
      </w:r>
      <w:r>
        <w:t>“)</w:t>
      </w: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3B7378">
      <w:pPr>
        <w:jc w:val="center"/>
      </w:pPr>
    </w:p>
    <w:p w:rsidR="003B7378" w:rsidRDefault="00C73F6C">
      <w:pPr>
        <w:jc w:val="center"/>
      </w:pPr>
      <w:r>
        <w:t>Poradce a Odběratel dále společně též „</w:t>
      </w:r>
      <w:r>
        <w:rPr>
          <w:b/>
        </w:rPr>
        <w:t>Strany</w:t>
      </w:r>
      <w:r>
        <w:t>“ a každý z nich též „</w:t>
      </w:r>
      <w:r>
        <w:rPr>
          <w:b/>
          <w:bCs/>
        </w:rPr>
        <w:t>Strana</w:t>
      </w:r>
      <w:r>
        <w:t>“.</w:t>
      </w:r>
    </w:p>
    <w:p w:rsidR="003B7378" w:rsidRDefault="003B7378">
      <w:pPr>
        <w:pStyle w:val="texte1"/>
        <w:ind w:left="0"/>
      </w:pPr>
      <w:bookmarkStart w:id="2" w:name="_Ref487343135"/>
    </w:p>
    <w:p w:rsidR="003B7378" w:rsidRDefault="00C73F6C">
      <w:pPr>
        <w:pStyle w:val="Nadpis1"/>
        <w:numPr>
          <w:ilvl w:val="0"/>
          <w:numId w:val="0"/>
        </w:numPr>
      </w:pPr>
      <w:bookmarkStart w:id="3" w:name="_Toc96849966"/>
      <w:r>
        <w:br w:type="page" w:clear="all"/>
      </w:r>
      <w:bookmarkStart w:id="4" w:name="_Toc105917576"/>
      <w:r>
        <w:lastRenderedPageBreak/>
        <w:t>preambule</w:t>
      </w:r>
      <w:bookmarkEnd w:id="2"/>
      <w:bookmarkEnd w:id="3"/>
    </w:p>
    <w:p w:rsidR="003B7378" w:rsidRDefault="00C73F6C">
      <w:pPr>
        <w:pStyle w:val="texte1"/>
        <w:ind w:left="0"/>
      </w:pPr>
      <w:r>
        <w:t>Jelikož,</w:t>
      </w:r>
    </w:p>
    <w:p w:rsidR="003B7378" w:rsidRDefault="00C73F6C">
      <w:pPr>
        <w:keepNext w:val="0"/>
        <w:keepLines w:val="0"/>
        <w:numPr>
          <w:ilvl w:val="0"/>
          <w:numId w:val="2"/>
        </w:numPr>
        <w:tabs>
          <w:tab w:val="num" w:pos="785"/>
        </w:tabs>
        <w:spacing w:before="120"/>
      </w:pPr>
      <w:r>
        <w:t xml:space="preserve">Poradce je oprávněn vykonávat jako podnikatel mimo jiné rovněž tyto činnosti: (1) Poradenská a konzultační činnost, zpracování odborných studií a posudků; (2) </w:t>
      </w:r>
      <w:r>
        <w:t>Činnost účetních poradců, vedení účetnictví, vedení daňové evidence; (3) Mimoškolní výchova a vzdělávání, pořádání kurzů, školení, včetně lektorské činnosti (společně dála také jen „</w:t>
      </w:r>
      <w:r>
        <w:rPr>
          <w:b/>
          <w:bCs/>
        </w:rPr>
        <w:t>Poradenské služby</w:t>
      </w:r>
      <w:r>
        <w:t>“).</w:t>
      </w:r>
    </w:p>
    <w:p w:rsidR="003B7378" w:rsidRDefault="00C73F6C">
      <w:pPr>
        <w:keepNext w:val="0"/>
        <w:keepLines w:val="0"/>
        <w:numPr>
          <w:ilvl w:val="0"/>
          <w:numId w:val="2"/>
        </w:numPr>
        <w:tabs>
          <w:tab w:val="num" w:pos="540"/>
          <w:tab w:val="num" w:pos="785"/>
        </w:tabs>
        <w:spacing w:before="120"/>
      </w:pPr>
      <w:r>
        <w:t>Odběratel má zájem čerpat pro svoje využití Poradensk</w:t>
      </w:r>
      <w:r>
        <w:t>é služby, a to v rozsahu a způsobem uvedeným v této Smlouvě.</w:t>
      </w:r>
    </w:p>
    <w:p w:rsidR="003B7378" w:rsidRDefault="00C73F6C">
      <w:pPr>
        <w:keepNext w:val="0"/>
        <w:keepLines w:val="0"/>
        <w:framePr w:hSpace="142" w:wrap="around" w:vAnchor="text" w:hAnchor="page" w:x="1824" w:y="234"/>
        <w:tabs>
          <w:tab w:val="num" w:pos="785"/>
        </w:tabs>
        <w:spacing w:before="120"/>
        <w:ind w:left="360"/>
      </w:pPr>
      <w:r>
        <w:t>dohodly se Strany na následujícím:</w:t>
      </w:r>
    </w:p>
    <w:p w:rsidR="003B7378" w:rsidRDefault="00C73F6C">
      <w:pPr>
        <w:pStyle w:val="Nadpis1"/>
        <w:framePr w:w="11213" w:hSpace="142" w:wrap="around" w:vAnchor="text" w:hAnchor="page" w:x="414" w:y="474"/>
        <w:tabs>
          <w:tab w:val="clear" w:pos="425"/>
          <w:tab w:val="num" w:pos="709"/>
        </w:tabs>
        <w:ind w:left="567" w:firstLine="284"/>
      </w:pPr>
      <w:bookmarkStart w:id="5" w:name="_Toc96849967"/>
      <w:bookmarkStart w:id="6" w:name="_Toc105917577"/>
      <w:r>
        <w:t>definice A VýKLAD pojmů</w:t>
      </w:r>
      <w:bookmarkEnd w:id="4"/>
      <w:bookmarkEnd w:id="5"/>
    </w:p>
    <w:p w:rsidR="003B7378" w:rsidRDefault="00C73F6C">
      <w:pPr>
        <w:framePr w:w="11213" w:hSpace="142" w:wrap="around" w:vAnchor="text" w:hAnchor="page" w:x="414" w:y="474"/>
        <w:ind w:firstLine="851"/>
      </w:pPr>
      <w:r>
        <w:t>1.1</w:t>
      </w:r>
      <w:r>
        <w:tab/>
        <w:t>Definice:</w:t>
      </w:r>
    </w:p>
    <w:p w:rsidR="003B7378" w:rsidRDefault="00C73F6C">
      <w:pPr>
        <w:framePr w:w="11213" w:hSpace="142" w:wrap="around" w:vAnchor="text" w:hAnchor="page" w:x="414" w:y="474"/>
        <w:ind w:left="1416" w:right="999"/>
      </w:pPr>
      <w:r>
        <w:t>Pokud není výslovně uvedeno jinak nebo z kontextu jednoznačně nevyplývá něco jiného, mají ve Smlouvě níže uvedené pojmy, pokud začínají velkým písmenem, následující význam:</w:t>
      </w:r>
    </w:p>
    <w:tbl>
      <w:tblPr>
        <w:tblpPr w:leftFromText="142" w:rightFromText="142" w:vertAnchor="text" w:tblpX="255" w:tblpY="2686"/>
        <w:tblW w:w="9383" w:type="dxa"/>
        <w:tblLook w:val="04A0" w:firstRow="1" w:lastRow="0" w:firstColumn="1" w:lastColumn="0" w:noHBand="0" w:noVBand="1"/>
      </w:tblPr>
      <w:tblGrid>
        <w:gridCol w:w="2160"/>
        <w:gridCol w:w="7223"/>
      </w:tblGrid>
      <w:tr w:rsidR="003B7378"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378" w:rsidRDefault="00C73F6C">
            <w:pPr>
              <w:pStyle w:val="Styltexte1xTunDolevaVlevo0cm"/>
              <w:ind w:right="413"/>
            </w:pPr>
            <w:r>
              <w:t>Smlouva</w:t>
            </w:r>
          </w:p>
        </w:tc>
        <w:tc>
          <w:tcPr>
            <w:tcW w:w="7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378" w:rsidRDefault="00C73F6C">
            <w:pPr>
              <w:pStyle w:val="texte1x"/>
              <w:ind w:left="-111" w:right="738"/>
            </w:pPr>
            <w:r>
              <w:t>znamená smlouvu obsaženou na této listině, včetně všech jejích příloh a pří</w:t>
            </w:r>
            <w:r>
              <w:t>padných dodatků.</w:t>
            </w:r>
          </w:p>
        </w:tc>
      </w:tr>
    </w:tbl>
    <w:p w:rsidR="003B7378" w:rsidRDefault="003B7378">
      <w:pPr>
        <w:pStyle w:val="texte1"/>
        <w:framePr w:w="11213" w:hSpace="142" w:wrap="around" w:vAnchor="text" w:hAnchor="page" w:x="414" w:y="474"/>
      </w:pPr>
    </w:p>
    <w:p w:rsidR="003B7378" w:rsidRDefault="003B7378">
      <w:pPr>
        <w:keepNext w:val="0"/>
        <w:keepLines w:val="0"/>
        <w:tabs>
          <w:tab w:val="num" w:pos="785"/>
        </w:tabs>
        <w:spacing w:before="120"/>
        <w:ind w:left="735" w:right="413"/>
      </w:pPr>
    </w:p>
    <w:p w:rsidR="003B7378" w:rsidRDefault="00C73F6C">
      <w:pPr>
        <w:pStyle w:val="Nadpis1"/>
      </w:pPr>
      <w:bookmarkStart w:id="7" w:name="_Toc20710976"/>
      <w:bookmarkStart w:id="8" w:name="_Toc96849968"/>
      <w:bookmarkStart w:id="9" w:name="_Toc105917578"/>
      <w:r>
        <w:t>Předmět smlouvy</w:t>
      </w:r>
      <w:bookmarkEnd w:id="6"/>
      <w:bookmarkEnd w:id="7"/>
    </w:p>
    <w:p w:rsidR="003B7378" w:rsidRDefault="003B7378">
      <w:pPr>
        <w:pStyle w:val="Odstavecseseznamem1"/>
        <w:spacing w:before="120" w:after="0" w:line="240" w:lineRule="auto"/>
        <w:ind w:left="851"/>
        <w:jc w:val="both"/>
        <w:rPr>
          <w:rFonts w:ascii="Garamond" w:hAnsi="Garamond" w:cs="Garamond"/>
          <w:vanish/>
          <w:sz w:val="24"/>
          <w:szCs w:val="24"/>
          <w:lang w:eastAsia="cs-CZ"/>
        </w:rPr>
      </w:pPr>
      <w:bookmarkStart w:id="10" w:name="_Toc96849969"/>
    </w:p>
    <w:p w:rsidR="003B7378" w:rsidRDefault="00C73F6C">
      <w:pPr>
        <w:pStyle w:val="Nadpis2"/>
      </w:pPr>
      <w:r>
        <w:t>Touto Smlouvou se zavazuje Poradce Odběrateli poskytovat na základě potřeb Odběrate</w:t>
      </w:r>
      <w:r>
        <w:t>le a za podmínek touto Smlouvou stanovených služby spočívající v poskytování Poradenských služeb pro Odběratele dle specifikace v článku 3 této Smlouvy a Odběratel se zavazuje provedené Poradenské služby od Poradce odebrat a uhradit za ně sjednanou odměnu.</w:t>
      </w:r>
    </w:p>
    <w:p w:rsidR="003B7378" w:rsidRDefault="00C73F6C">
      <w:pPr>
        <w:pStyle w:val="texte1x"/>
        <w:ind w:hanging="567"/>
      </w:pPr>
      <w:r>
        <w:t>2.2.</w:t>
      </w:r>
      <w:r>
        <w:tab/>
        <w:t>Předmětem Smlouvy není zastupování a provádění právních úkonů jménem Odběratele ve věcech daní před správcem daně a právní poradenství ve věcech daní ve smyslu zák. č. 337/1992 Sb., o správě daní a poplatků a zákona č.523/1992 Sb., o daňovém poradens</w:t>
      </w:r>
      <w:r>
        <w:t>tví a Komoře daňových poradců ČR (daňové poradenství).</w:t>
      </w:r>
    </w:p>
    <w:p w:rsidR="003B7378" w:rsidRDefault="00C73F6C">
      <w:pPr>
        <w:pStyle w:val="Nadpis1"/>
        <w:spacing w:before="360"/>
      </w:pPr>
      <w:bookmarkStart w:id="11" w:name="_Ref513002538"/>
      <w:bookmarkStart w:id="12" w:name="_Toc105917579"/>
      <w:bookmarkStart w:id="13" w:name="_Ref111876474"/>
      <w:bookmarkEnd w:id="8"/>
      <w:r>
        <w:t>Vymezení poradenských služeb</w:t>
      </w:r>
      <w:bookmarkEnd w:id="9"/>
    </w:p>
    <w:p w:rsidR="003B7378" w:rsidRDefault="00C73F6C">
      <w:pPr>
        <w:pStyle w:val="Nadpis2"/>
      </w:pPr>
      <w:r>
        <w:t>Poradce se zavazuje Odběrateli poskytovat Poradenské služby v oblasti kontrolních a poradenských činností v rámci společnosti Čistá Plzeň s.r.o., a to na základě jednotlivý</w:t>
      </w:r>
      <w:r>
        <w:t xml:space="preserve">ch zadání od jednatele společnosti. </w:t>
      </w:r>
    </w:p>
    <w:p w:rsidR="003B7378" w:rsidRDefault="00C73F6C">
      <w:pPr>
        <w:pStyle w:val="Nadpis2"/>
        <w:keepNext/>
        <w:keepLines/>
        <w:widowControl/>
      </w:pPr>
      <w:r>
        <w:lastRenderedPageBreak/>
        <w:t>Poradce se zavazuje Odběrateli poskytovat Poradenské služby po dobu účinnosti této Smlouvy.</w:t>
      </w:r>
    </w:p>
    <w:p w:rsidR="003B7378" w:rsidRDefault="00C73F6C">
      <w:pPr>
        <w:pStyle w:val="Nadpis2"/>
        <w:keepNext/>
        <w:keepLines/>
        <w:widowControl/>
      </w:pPr>
      <w:r>
        <w:t xml:space="preserve">Poradce bude Odběrateli poskytovat Poradenské služby telefonicky, osobně, písemně nebo elektronicky, a to na základě žádosti a </w:t>
      </w:r>
      <w:r>
        <w:t>pokynů jednatele Odběratele, případně osoby pověřené jednatelem Odběratele (dále také jen „</w:t>
      </w:r>
      <w:r>
        <w:rPr>
          <w:b/>
          <w:bCs/>
        </w:rPr>
        <w:t>Oprávněná osoba</w:t>
      </w:r>
      <w:r>
        <w:t>“).</w:t>
      </w:r>
    </w:p>
    <w:p w:rsidR="003B7378" w:rsidRDefault="00C73F6C">
      <w:pPr>
        <w:pStyle w:val="Nadpis2"/>
        <w:keepNext/>
        <w:keepLines/>
        <w:widowControl/>
      </w:pPr>
      <w:r>
        <w:t>Poradce je povinen vést měsíční evidenci obsahující specifikaci činností Poradce v rámci této smlouvy a počtu hodin poskytování Poradenských služe</w:t>
      </w:r>
      <w:r>
        <w:t>b, a to včetně cestovného hrazeného za podmínek uvedených v odstavci 5.2 Smlouvy. Předmětnou evidenci je Poradce povinen doručit Odběrateli k odsouhlasení ke konci příslušného kalendářního měsíce, za který je evidence vyhotovena.</w:t>
      </w:r>
    </w:p>
    <w:p w:rsidR="003B7378" w:rsidRDefault="00C73F6C">
      <w:pPr>
        <w:pStyle w:val="Nadpis1"/>
        <w:keepNext/>
        <w:keepLines/>
        <w:widowControl/>
        <w:spacing w:before="360"/>
      </w:pPr>
      <w:bookmarkStart w:id="14" w:name="_Ref112578994"/>
      <w:r>
        <w:t>p</w:t>
      </w:r>
      <w:bookmarkEnd w:id="10"/>
      <w:r>
        <w:t>ráva a povinnosti stran</w:t>
      </w:r>
      <w:bookmarkEnd w:id="11"/>
    </w:p>
    <w:p w:rsidR="003B7378" w:rsidRDefault="00C73F6C">
      <w:pPr>
        <w:pStyle w:val="Nadpis2"/>
        <w:keepNext/>
        <w:keepLines/>
        <w:widowControl/>
      </w:pPr>
      <w:r>
        <w:t>P</w:t>
      </w:r>
      <w:r>
        <w:t xml:space="preserve">ři poskytování Poradenských služeb dle této Smlouvy je </w:t>
      </w:r>
      <w:r>
        <w:rPr>
          <w:iCs/>
        </w:rPr>
        <w:t>Poradce</w:t>
      </w:r>
      <w:r>
        <w:t xml:space="preserve"> vázán zákony a dalšími obecně závaznými právními předpisy a v jejich mezích pokyny </w:t>
      </w:r>
      <w:r>
        <w:rPr>
          <w:iCs/>
        </w:rPr>
        <w:t>Odběratele</w:t>
      </w:r>
      <w:r>
        <w:t>.</w:t>
      </w:r>
      <w:bookmarkStart w:id="15" w:name="_Ref111623218"/>
      <w:r>
        <w:t xml:space="preserve"> Od pokynů </w:t>
      </w:r>
      <w:r>
        <w:rPr>
          <w:iCs/>
        </w:rPr>
        <w:t>Odběratele</w:t>
      </w:r>
      <w:r>
        <w:t xml:space="preserve"> se může </w:t>
      </w:r>
      <w:r>
        <w:rPr>
          <w:iCs/>
        </w:rPr>
        <w:t>Poradce</w:t>
      </w:r>
      <w:r>
        <w:t xml:space="preserve"> odchýlit, jen jsou-li v rozporu se zákonem či jiným obecně závazným právním předpisem.</w:t>
      </w:r>
      <w:bookmarkEnd w:id="12"/>
    </w:p>
    <w:p w:rsidR="003B7378" w:rsidRDefault="00C73F6C">
      <w:pPr>
        <w:pStyle w:val="Nadpis2"/>
        <w:keepNext/>
        <w:keepLines/>
        <w:widowControl/>
      </w:pPr>
      <w:r>
        <w:rPr>
          <w:iCs/>
        </w:rPr>
        <w:t>Odběratel</w:t>
      </w:r>
      <w:r>
        <w:t xml:space="preserve"> je povinen poskytovat </w:t>
      </w:r>
      <w:r>
        <w:rPr>
          <w:iCs/>
        </w:rPr>
        <w:t>Poradci</w:t>
      </w:r>
      <w:r>
        <w:t xml:space="preserve"> nezbytnou součinnost a platit mu za dodané služby řádně a včas odměnu ve sjednané výši. </w:t>
      </w:r>
    </w:p>
    <w:p w:rsidR="003B7378" w:rsidRDefault="00C73F6C">
      <w:pPr>
        <w:pStyle w:val="Nadpis2"/>
        <w:keepNext/>
        <w:keepLines/>
        <w:widowControl/>
      </w:pPr>
      <w:r>
        <w:t xml:space="preserve">K dosažení účelu této Smlouvy se </w:t>
      </w:r>
      <w:r>
        <w:rPr>
          <w:iCs/>
        </w:rPr>
        <w:t>Poradc</w:t>
      </w:r>
      <w:r>
        <w:rPr>
          <w:iCs/>
        </w:rPr>
        <w:t>e</w:t>
      </w:r>
      <w:r>
        <w:t xml:space="preserve"> zavazuje:</w:t>
      </w:r>
    </w:p>
    <w:p w:rsidR="003B7378" w:rsidRDefault="00C73F6C">
      <w:pPr>
        <w:pStyle w:val="Nadpis3"/>
      </w:pPr>
      <w:r>
        <w:t xml:space="preserve">chránit jemu známá práva a oprávněné zájmy </w:t>
      </w:r>
      <w:r>
        <w:rPr>
          <w:iCs/>
        </w:rPr>
        <w:t>Odběratele</w:t>
      </w:r>
      <w:r>
        <w:t>;</w:t>
      </w:r>
    </w:p>
    <w:p w:rsidR="003B7378" w:rsidRDefault="00C73F6C">
      <w:pPr>
        <w:pStyle w:val="Nadpis3"/>
      </w:pPr>
      <w:r>
        <w:t xml:space="preserve">hájit dobré jméno a pověst </w:t>
      </w:r>
      <w:r>
        <w:rPr>
          <w:iCs/>
        </w:rPr>
        <w:t>Odběratele</w:t>
      </w:r>
      <w:r>
        <w:t xml:space="preserve"> při všech činnostech vykonávaných dle této Smlouvy;</w:t>
      </w:r>
    </w:p>
    <w:p w:rsidR="003B7378" w:rsidRDefault="00C73F6C">
      <w:pPr>
        <w:pStyle w:val="Nadpis3"/>
      </w:pPr>
      <w:r>
        <w:t xml:space="preserve">průběžně informovat </w:t>
      </w:r>
      <w:r>
        <w:rPr>
          <w:iCs/>
        </w:rPr>
        <w:t>Odběratele</w:t>
      </w:r>
      <w:r>
        <w:t xml:space="preserve"> o plnění této Smlouvy, a to zpravidla ústní formou při osobních jedn</w:t>
      </w:r>
      <w:r>
        <w:t xml:space="preserve">áních či telefonicky, pokud z povahy a závažnosti věci nevyplývá, že je nezbytná písemná forma vzájemného kontaktu. Bez zbytečného odkladu je pak povinen informovat </w:t>
      </w:r>
      <w:r>
        <w:rPr>
          <w:iCs/>
        </w:rPr>
        <w:t>Odběratele</w:t>
      </w:r>
      <w:r>
        <w:t xml:space="preserve"> o překážkách bránících mu ve výkonu činnosti dle této Smlouvy.</w:t>
      </w:r>
      <w:bookmarkEnd w:id="13"/>
    </w:p>
    <w:p w:rsidR="003B7378" w:rsidRDefault="00C73F6C">
      <w:pPr>
        <w:pStyle w:val="Nadpis1"/>
        <w:keepNext/>
        <w:keepLines/>
        <w:widowControl/>
        <w:spacing w:before="360"/>
      </w:pPr>
      <w:r>
        <w:t>Odměna za poraden</w:t>
      </w:r>
      <w:r>
        <w:t>ské služby</w:t>
      </w:r>
    </w:p>
    <w:p w:rsidR="003B7378" w:rsidRDefault="00C73F6C">
      <w:pPr>
        <w:pStyle w:val="Nadpis2"/>
        <w:keepNext/>
        <w:keepLines/>
        <w:widowControl/>
        <w:rPr>
          <w:szCs w:val="24"/>
        </w:rPr>
      </w:pPr>
      <w:bookmarkStart w:id="16" w:name="_Ref111624508"/>
      <w:r>
        <w:rPr>
          <w:iCs/>
        </w:rPr>
        <w:t xml:space="preserve">Odběratel se zavazuje uhradit Poradci za řádně a včas dodané Poradenské služby </w:t>
      </w:r>
      <w:bookmarkEnd w:id="14"/>
      <w:r>
        <w:rPr>
          <w:iCs/>
        </w:rPr>
        <w:t xml:space="preserve">odměnu ve výši </w:t>
      </w:r>
      <w:r>
        <w:rPr>
          <w:b/>
          <w:bCs/>
          <w:iCs/>
          <w:szCs w:val="24"/>
        </w:rPr>
        <w:t>700,- Kč</w:t>
      </w:r>
      <w:r>
        <w:rPr>
          <w:iCs/>
          <w:szCs w:val="24"/>
        </w:rPr>
        <w:t xml:space="preserve"> za každou hodinu poskytování služeb dle této Smlouvy. Poradce není plátce DPH. V případě, že se Poradce stane osobou povinnou k dani, bude k t</w:t>
      </w:r>
      <w:r>
        <w:rPr>
          <w:iCs/>
          <w:szCs w:val="24"/>
        </w:rPr>
        <w:t>éto částce připočtena DPH dle platných právních předpisů.</w:t>
      </w:r>
    </w:p>
    <w:p w:rsidR="003B7378" w:rsidRDefault="00C73F6C">
      <w:pPr>
        <w:pStyle w:val="Nadpis2"/>
        <w:keepNext/>
        <w:keepLines/>
        <w:widowControl/>
        <w:rPr>
          <w:iCs/>
        </w:rPr>
      </w:pPr>
      <w:r>
        <w:rPr>
          <w:iCs/>
        </w:rPr>
        <w:t>Odměna dle odstavce 5.1 nezahrnuje cestovné jako přiměřený vedlejší výdaj Poradce. Pokud plnění smlouvy bude vyžadovat osobní přítomnost Poradce mimo místo sídla Poradce uvedené v záhlaví Smlouvy, j</w:t>
      </w:r>
      <w:r>
        <w:rPr>
          <w:iCs/>
        </w:rPr>
        <w:t>e Odběratel odpovědný za zaplacení cestovného jako přiměřeného vedlejšího výdaje Poradce.</w:t>
      </w:r>
      <w:r>
        <w:rPr>
          <w:iCs/>
          <w:highlight w:val="white"/>
        </w:rPr>
        <w:t xml:space="preserve"> Cestovné je stanoveno na 8,- Kč/km.</w:t>
      </w:r>
      <w:r>
        <w:rPr>
          <w:iCs/>
        </w:rPr>
        <w:t xml:space="preserve"> Strany se dohodly, že Poradce zahrne cestovné do písemného výkazu vypracovaného Poradcem dle odstavce 3.4 Smlouvy. Po odsouhlasení</w:t>
      </w:r>
      <w:r>
        <w:rPr>
          <w:iCs/>
        </w:rPr>
        <w:t xml:space="preserve"> Odběratelem dle odstavce 5.4 Smlouvy zahrne Poradce cestovné do měsíčního vyúčtování Poradenských služeb ve skutečné výši.</w:t>
      </w:r>
    </w:p>
    <w:p w:rsidR="003B7378" w:rsidRDefault="00C73F6C">
      <w:pPr>
        <w:pStyle w:val="Nadpis2"/>
        <w:keepNext/>
        <w:keepLines/>
        <w:widowControl/>
      </w:pPr>
      <w:bookmarkStart w:id="17" w:name="_Ref111885841"/>
      <w:r>
        <w:t>S výjimkou cestovného hrazeného za podmínek odstavce 5.2 Smlouvy jsou v odměně Poradce zahrnuty veškeré další náklady Poradce na pos</w:t>
      </w:r>
      <w:r>
        <w:t xml:space="preserve">kytování Poradenských služeb a Poradce není bez předchozí dohody s Odběratelem oprávněn požadovat úhradu žádných dalších nákladů spojených s poskytováním Poradenských služeb. </w:t>
      </w:r>
      <w:bookmarkEnd w:id="15"/>
    </w:p>
    <w:p w:rsidR="003B7378" w:rsidRDefault="00C73F6C">
      <w:pPr>
        <w:pStyle w:val="Nadpis2"/>
        <w:keepNext/>
        <w:keepLines/>
        <w:widowControl/>
      </w:pPr>
      <w:r>
        <w:t xml:space="preserve">Odměna </w:t>
      </w:r>
      <w:r>
        <w:rPr>
          <w:iCs/>
        </w:rPr>
        <w:t>bude vyúčtována na základě Odběratelem odsouhlaseného písemného výkazu po</w:t>
      </w:r>
      <w:r>
        <w:rPr>
          <w:iCs/>
        </w:rPr>
        <w:t>skytnutých Poradenských služeb v daném kalendářním měsíci vypracovaného Poradcem v souladu s odstavcem 3.4 této Smlouvy, který bude přílohou daňového dokladu, vystaveného Poradcem k úhradě odměny</w:t>
      </w:r>
      <w:r>
        <w:t>.</w:t>
      </w:r>
    </w:p>
    <w:p w:rsidR="003B7378" w:rsidRDefault="00C73F6C">
      <w:pPr>
        <w:pStyle w:val="Nadpis2"/>
        <w:keepNext/>
        <w:keepLines/>
        <w:widowControl/>
      </w:pPr>
      <w:r>
        <w:lastRenderedPageBreak/>
        <w:t>Odměna je splatná na základě daňového dokladu (faktury) vys</w:t>
      </w:r>
      <w:r>
        <w:t>taveného ze strany Poradce po skončení každého kalendářního měsíce se splatností 14 dnů od data doručení daňového dokladu Odběrateli. Daňový doklad bude obsahovat veškeré náležitosti dle platných právních předpisů.</w:t>
      </w:r>
    </w:p>
    <w:p w:rsidR="003B7378" w:rsidRDefault="00C73F6C">
      <w:pPr>
        <w:pStyle w:val="Nadpis1"/>
        <w:keepNext/>
        <w:keepLines/>
        <w:widowControl/>
        <w:spacing w:before="360"/>
      </w:pPr>
      <w:r>
        <w:t>platnost, účinnost a ukončení smlouvy</w:t>
      </w:r>
      <w:bookmarkEnd w:id="16"/>
      <w:bookmarkEnd w:id="17"/>
    </w:p>
    <w:p w:rsidR="003B7378" w:rsidRDefault="00C73F6C">
      <w:pPr>
        <w:pStyle w:val="Nadpis2"/>
      </w:pPr>
      <w:r>
        <w:t>Tat</w:t>
      </w:r>
      <w:r>
        <w:t xml:space="preserve">o Smlouva nabývá platnosti a účinnosti dnem podpisu oběma Stranami. </w:t>
      </w:r>
    </w:p>
    <w:p w:rsidR="003B7378" w:rsidRDefault="00C73F6C">
      <w:pPr>
        <w:pStyle w:val="Nadpis2"/>
      </w:pPr>
      <w:r>
        <w:t>Platnost a účinnost této Smlouvy je sjednána na dobu neurčitou.</w:t>
      </w:r>
    </w:p>
    <w:p w:rsidR="003B7378" w:rsidRDefault="00C73F6C">
      <w:pPr>
        <w:pStyle w:val="Nadpis2"/>
      </w:pPr>
      <w:r>
        <w:t>Tuto Smlouvu lze písemně vypovědět kteroukoliv ze Stran ve výpovědní době 3 měsíce od data doručení písemné výpovědi druhé Straně.</w:t>
      </w:r>
    </w:p>
    <w:p w:rsidR="003B7378" w:rsidRDefault="00C73F6C">
      <w:pPr>
        <w:pStyle w:val="Nadpis2"/>
      </w:pPr>
      <w:r>
        <w:t>V případě závažného, či opakovaného porušení povinností Poradce vyplývajících z této Smlouvy je Odběratel oprávněn od této Sm</w:t>
      </w:r>
      <w:r>
        <w:t>louvy odstoupit.</w:t>
      </w:r>
    </w:p>
    <w:p w:rsidR="003B7378" w:rsidRDefault="00C73F6C">
      <w:pPr>
        <w:pStyle w:val="Nadpis1"/>
        <w:spacing w:before="360"/>
      </w:pPr>
      <w:r>
        <w:t>závěrečná ustanovení</w:t>
      </w:r>
    </w:p>
    <w:p w:rsidR="003B7378" w:rsidRDefault="00C73F6C">
      <w:pPr>
        <w:pStyle w:val="Nadpis2"/>
      </w:pPr>
      <w:r>
        <w:t xml:space="preserve">Tato Smlouva se řídí právními předpisy České republiky, zejména pak zákonem č. 89/2012 Sb., Občanský zákoník. </w:t>
      </w:r>
    </w:p>
    <w:p w:rsidR="003B7378" w:rsidRDefault="00C73F6C">
      <w:pPr>
        <w:pStyle w:val="Nadpis2"/>
      </w:pPr>
      <w:r>
        <w:t>Případná neplatnost, neúčinnost či nevynutitelnost některých ustanovení Smlouvy nemá vliv na platnost, účin</w:t>
      </w:r>
      <w:r>
        <w:t>nost či vynutitelnost ostatních ustanovení, pokud lze neplatná, neúčinná či nevynutitelná ustanovení od ostatních ustanovení oddělit. Stane-li se některé ustanovení Smlouvy neplatné, neúčinné či nevynutitelné, bude nahrazeno příslušným nejblíže použitelným</w:t>
      </w:r>
      <w:r>
        <w:t xml:space="preserve"> platným, účinným či vynutitelným ustanovením podle práva České republiky.</w:t>
      </w:r>
    </w:p>
    <w:p w:rsidR="003B7378" w:rsidRDefault="00C73F6C">
      <w:pPr>
        <w:pStyle w:val="Nadpis2"/>
      </w:pPr>
      <w:r>
        <w:t>Tato Smlouva je sepsána ve dvou stejnopisech v českém jazyce s platností originálu, z nichž obdrží Poradce i Odběratel po jednom stejnopisu.</w:t>
      </w:r>
    </w:p>
    <w:p w:rsidR="003B7378" w:rsidRDefault="00C73F6C">
      <w:pPr>
        <w:pStyle w:val="Nadpis2"/>
      </w:pPr>
      <w:r>
        <w:t xml:space="preserve">Strany prohlašují, že tato Smlouva byla </w:t>
      </w:r>
      <w:r>
        <w:t>sepsána podle jejich skutečné, svobodné vůle, určitě, vážně a srozumitelně. Současně prohlašují, že si Smlouvu přečetly, souhlasí s jejím obsahem, což stvrzují svými podpisy (podpisy následující na další straně).</w:t>
      </w:r>
    </w:p>
    <w:p w:rsidR="003B7378" w:rsidRDefault="003B7378"/>
    <w:p w:rsidR="003B7378" w:rsidRDefault="003B7378"/>
    <w:p w:rsidR="003B7378" w:rsidRDefault="00C73F6C">
      <w:r>
        <w:t>ODBĚRATEL:</w:t>
      </w:r>
      <w:r>
        <w:tab/>
      </w:r>
      <w:r>
        <w:tab/>
      </w:r>
      <w:r>
        <w:tab/>
      </w:r>
      <w:r>
        <w:tab/>
      </w:r>
      <w:r>
        <w:tab/>
        <w:t>PORADCE:</w:t>
      </w:r>
    </w:p>
    <w:p w:rsidR="003B7378" w:rsidRDefault="003B7378">
      <w:pPr>
        <w:tabs>
          <w:tab w:val="left" w:pos="2552"/>
        </w:tabs>
        <w:rPr>
          <w:rFonts w:cs="Calibri"/>
        </w:rPr>
      </w:pPr>
    </w:p>
    <w:p w:rsidR="003B7378" w:rsidRDefault="003B7378">
      <w:pPr>
        <w:tabs>
          <w:tab w:val="left" w:pos="2552"/>
        </w:tabs>
        <w:rPr>
          <w:rFonts w:cs="Calibri"/>
        </w:rPr>
      </w:pPr>
    </w:p>
    <w:p w:rsidR="003B7378" w:rsidRDefault="00C73F6C">
      <w:pPr>
        <w:tabs>
          <w:tab w:val="left" w:pos="2552"/>
        </w:tabs>
        <w:rPr>
          <w:rFonts w:cs="Calibri"/>
        </w:rPr>
      </w:pPr>
      <w:r>
        <w:rPr>
          <w:rFonts w:cs="Calibri"/>
        </w:rPr>
        <w:t>V Plzni dne 8.6.2023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V Plzni dne </w:t>
      </w:r>
    </w:p>
    <w:p w:rsidR="003B7378" w:rsidRDefault="003B7378">
      <w:pPr>
        <w:rPr>
          <w:rFonts w:cs="Calibri"/>
          <w:bCs/>
        </w:rPr>
      </w:pPr>
    </w:p>
    <w:p w:rsidR="003B7378" w:rsidRDefault="003B7378">
      <w:pPr>
        <w:rPr>
          <w:rFonts w:cs="Calibri"/>
          <w:bCs/>
        </w:rPr>
      </w:pPr>
    </w:p>
    <w:p w:rsidR="003B7378" w:rsidRDefault="00C73F6C">
      <w:pPr>
        <w:rPr>
          <w:rFonts w:cs="Calibri"/>
          <w:bCs/>
          <w:u w:val="single"/>
        </w:rPr>
      </w:pP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  <w:t xml:space="preserve">         </w:t>
      </w: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</w:r>
      <w:r>
        <w:rPr>
          <w:rFonts w:cs="Calibri"/>
          <w:bCs/>
          <w:u w:val="single"/>
        </w:rPr>
        <w:tab/>
      </w:r>
    </w:p>
    <w:p w:rsidR="003B7378" w:rsidRDefault="00C73F6C">
      <w:pPr>
        <w:rPr>
          <w:rFonts w:cs="Calibri"/>
          <w:b/>
        </w:rPr>
      </w:pPr>
      <w:r>
        <w:rPr>
          <w:rFonts w:cs="Calibri"/>
          <w:b/>
        </w:rPr>
        <w:t xml:space="preserve">Čistá Plzeň s.r.o.        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/>
        </w:rPr>
        <w:t>Mgr. Vladimíra Jonášová</w:t>
      </w:r>
    </w:p>
    <w:p w:rsidR="003B7378" w:rsidRDefault="00C73F6C">
      <w:pPr>
        <w:rPr>
          <w:rFonts w:cs="Calibri"/>
          <w:b/>
        </w:rPr>
      </w:pPr>
      <w:r>
        <w:rPr>
          <w:rFonts w:cs="Calibri"/>
          <w:b/>
        </w:rPr>
        <w:t>Otakar Horák, jednatel</w:t>
      </w:r>
    </w:p>
    <w:sectPr w:rsidR="003B7378">
      <w:foot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378" w:rsidRDefault="00C73F6C">
      <w:r>
        <w:separator/>
      </w:r>
    </w:p>
  </w:endnote>
  <w:endnote w:type="continuationSeparator" w:id="0">
    <w:p w:rsidR="003B7378" w:rsidRDefault="00C7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378" w:rsidRDefault="00C73F6C">
    <w:pPr>
      <w:pStyle w:val="Zpat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fldChar w:fldCharType="begin"/>
    </w:r>
    <w:r>
      <w:rPr>
        <w:rFonts w:ascii="Garamond" w:hAnsi="Garamond"/>
        <w:sz w:val="20"/>
        <w:szCs w:val="20"/>
      </w:rPr>
      <w:instrText>PAGE   \* MERGEFORMAT</w:instrText>
    </w:r>
    <w:r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sz w:val="20"/>
        <w:szCs w:val="20"/>
      </w:rPr>
      <w:t>2</w:t>
    </w:r>
    <w:r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378" w:rsidRDefault="00C73F6C">
      <w:r>
        <w:separator/>
      </w:r>
    </w:p>
  </w:footnote>
  <w:footnote w:type="continuationSeparator" w:id="0">
    <w:p w:rsidR="003B7378" w:rsidRDefault="00C7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C5"/>
    <w:multiLevelType w:val="hybridMultilevel"/>
    <w:tmpl w:val="1AFC9EC8"/>
    <w:lvl w:ilvl="0" w:tplc="D59A0748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</w:lvl>
    <w:lvl w:ilvl="1" w:tplc="A54C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43C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A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4A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68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8D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27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6F5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C6C75"/>
    <w:multiLevelType w:val="hybridMultilevel"/>
    <w:tmpl w:val="21C01C6A"/>
    <w:lvl w:ilvl="0" w:tplc="5966F3F2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</w:lvl>
    <w:lvl w:ilvl="1" w:tplc="3F889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2CA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0DA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CF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2D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A9D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4E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20FE7"/>
    <w:multiLevelType w:val="multilevel"/>
    <w:tmpl w:val="93CC8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0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13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8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A7A02F2"/>
    <w:multiLevelType w:val="hybridMultilevel"/>
    <w:tmpl w:val="42A40104"/>
    <w:lvl w:ilvl="0" w:tplc="6290C05A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</w:lvl>
    <w:lvl w:ilvl="1" w:tplc="E5069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488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608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B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612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AD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6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C44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E4563"/>
    <w:multiLevelType w:val="hybridMultilevel"/>
    <w:tmpl w:val="40DA5380"/>
    <w:lvl w:ilvl="0" w:tplc="EA5666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0BC9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C97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AE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39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0B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2E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8D0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3C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B16EC"/>
    <w:multiLevelType w:val="hybridMultilevel"/>
    <w:tmpl w:val="2B7A4264"/>
    <w:lvl w:ilvl="0" w:tplc="6F1E3D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75E47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2" w:tplc="CB5AEA3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/>
      </w:rPr>
    </w:lvl>
    <w:lvl w:ilvl="3" w:tplc="B3264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045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6EE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0A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D6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252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F578E"/>
    <w:multiLevelType w:val="multilevel"/>
    <w:tmpl w:val="4BE2B5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3AC72BDD"/>
    <w:multiLevelType w:val="hybridMultilevel"/>
    <w:tmpl w:val="D3E239F2"/>
    <w:lvl w:ilvl="0" w:tplc="4802F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181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40E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C2F6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1EDF7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12BA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EA49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48A59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B82C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0450C6"/>
    <w:multiLevelType w:val="multilevel"/>
    <w:tmpl w:val="E216FDF4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86B724B"/>
    <w:multiLevelType w:val="hybridMultilevel"/>
    <w:tmpl w:val="F92A7F90"/>
    <w:lvl w:ilvl="0" w:tplc="2CBA258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</w:lvl>
    <w:lvl w:ilvl="1" w:tplc="FDFC6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04E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E0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432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EF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E9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63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432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F2BBB"/>
    <w:multiLevelType w:val="hybridMultilevel"/>
    <w:tmpl w:val="BDAAC7D4"/>
    <w:lvl w:ilvl="0" w:tplc="8D94CA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 w:tplc="FABE0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C8F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9C9A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68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0206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6A2B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26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022C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1C7A91"/>
    <w:multiLevelType w:val="hybridMultilevel"/>
    <w:tmpl w:val="A18C296E"/>
    <w:lvl w:ilvl="0" w:tplc="C35055EA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</w:lvl>
    <w:lvl w:ilvl="1" w:tplc="4E2ED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2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04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C87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437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8B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66C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21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01363"/>
    <w:multiLevelType w:val="hybridMultilevel"/>
    <w:tmpl w:val="CA327B46"/>
    <w:lvl w:ilvl="0" w:tplc="9AB48794">
      <w:start w:val="1"/>
      <w:numFmt w:val="lowerLetter"/>
      <w:lvlText w:val="%1)"/>
      <w:lvlJc w:val="left"/>
      <w:pPr>
        <w:tabs>
          <w:tab w:val="num" w:pos="2356"/>
        </w:tabs>
        <w:ind w:left="2353" w:hanging="564"/>
      </w:pPr>
      <w:rPr>
        <w:b w:val="0"/>
        <w:i w:val="0"/>
      </w:rPr>
    </w:lvl>
    <w:lvl w:ilvl="1" w:tplc="B4ACDA4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0803C0C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C40F2F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ECEA6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A20831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72F20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7E9B9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8546AD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518930241">
    <w:abstractNumId w:val="8"/>
  </w:num>
  <w:num w:numId="2" w16cid:durableId="475681448">
    <w:abstractNumId w:val="11"/>
  </w:num>
  <w:num w:numId="3" w16cid:durableId="900869916">
    <w:abstractNumId w:val="12"/>
  </w:num>
  <w:num w:numId="4" w16cid:durableId="1880896939">
    <w:abstractNumId w:val="7"/>
  </w:num>
  <w:num w:numId="5" w16cid:durableId="555892317">
    <w:abstractNumId w:val="5"/>
  </w:num>
  <w:num w:numId="6" w16cid:durableId="1663852137">
    <w:abstractNumId w:val="3"/>
  </w:num>
  <w:num w:numId="7" w16cid:durableId="897129760">
    <w:abstractNumId w:val="1"/>
  </w:num>
  <w:num w:numId="8" w16cid:durableId="110905375">
    <w:abstractNumId w:val="0"/>
  </w:num>
  <w:num w:numId="9" w16cid:durableId="1451628071">
    <w:abstractNumId w:val="4"/>
  </w:num>
  <w:num w:numId="10" w16cid:durableId="510144427">
    <w:abstractNumId w:val="9"/>
  </w:num>
  <w:num w:numId="11" w16cid:durableId="2105878021">
    <w:abstractNumId w:val="8"/>
  </w:num>
  <w:num w:numId="12" w16cid:durableId="541945423">
    <w:abstractNumId w:val="2"/>
  </w:num>
  <w:num w:numId="13" w16cid:durableId="698941518">
    <w:abstractNumId w:val="6"/>
  </w:num>
  <w:num w:numId="14" w16cid:durableId="519466830">
    <w:abstractNumId w:val="8"/>
  </w:num>
  <w:num w:numId="15" w16cid:durableId="793333411">
    <w:abstractNumId w:val="10"/>
  </w:num>
  <w:num w:numId="16" w16cid:durableId="1634362154">
    <w:abstractNumId w:val="8"/>
  </w:num>
  <w:num w:numId="17" w16cid:durableId="1860777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8"/>
    <w:rsid w:val="003B7378"/>
    <w:rsid w:val="00C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F1C9"/>
  <w15:docId w15:val="{5185FD2A-DE01-447D-8705-30C82A49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Next/>
      <w:keepLines/>
      <w:jc w:val="both"/>
    </w:pPr>
    <w:rPr>
      <w:rFonts w:ascii="Garamond" w:hAnsi="Garamond"/>
      <w:sz w:val="24"/>
      <w:lang w:eastAsia="en-US"/>
    </w:rPr>
  </w:style>
  <w:style w:type="paragraph" w:styleId="Nadpis1">
    <w:name w:val="heading 1"/>
    <w:basedOn w:val="Normln"/>
    <w:next w:val="texte1"/>
    <w:link w:val="Nadpis1Char"/>
    <w:qFormat/>
    <w:pPr>
      <w:keepNext w:val="0"/>
      <w:keepLines w:val="0"/>
      <w:widowControl w:val="0"/>
      <w:numPr>
        <w:numId w:val="1"/>
      </w:numPr>
      <w:spacing w:before="720" w:after="120"/>
      <w:outlineLvl w:val="0"/>
    </w:pPr>
    <w:rPr>
      <w:b/>
      <w:caps/>
    </w:rPr>
  </w:style>
  <w:style w:type="paragraph" w:styleId="Nadpis2">
    <w:name w:val="heading 2"/>
    <w:basedOn w:val="Normln"/>
    <w:next w:val="texte1x"/>
    <w:link w:val="Nadpis2Char"/>
    <w:qFormat/>
    <w:pPr>
      <w:keepNext w:val="0"/>
      <w:keepLines w:val="0"/>
      <w:widowControl w:val="0"/>
      <w:numPr>
        <w:ilvl w:val="1"/>
        <w:numId w:val="1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qFormat/>
    <w:pPr>
      <w:numPr>
        <w:ilvl w:val="2"/>
        <w:numId w:val="1"/>
      </w:numPr>
      <w:spacing w:before="120"/>
      <w:outlineLvl w:val="2"/>
    </w:pPr>
  </w:style>
  <w:style w:type="paragraph" w:styleId="Nadpis4">
    <w:name w:val="heading 4"/>
    <w:basedOn w:val="Normln"/>
    <w:next w:val="Normln"/>
    <w:link w:val="Nadpis4Char"/>
    <w:qFormat/>
    <w:pPr>
      <w:numPr>
        <w:ilvl w:val="3"/>
        <w:numId w:val="1"/>
      </w:numPr>
      <w:spacing w:before="120"/>
      <w:outlineLvl w:val="3"/>
    </w:pPr>
  </w:style>
  <w:style w:type="paragraph" w:styleId="Nadpis5">
    <w:name w:val="heading 5"/>
    <w:basedOn w:val="Normln"/>
    <w:link w:val="Nadpis5Char"/>
    <w:qFormat/>
    <w:pPr>
      <w:keepNext w:val="0"/>
      <w:widowControl w:val="0"/>
      <w:numPr>
        <w:ilvl w:val="4"/>
        <w:numId w:val="1"/>
      </w:numPr>
      <w:tabs>
        <w:tab w:val="clear" w:pos="2138"/>
        <w:tab w:val="left" w:pos="1985"/>
        <w:tab w:val="num" w:pos="2160"/>
      </w:tabs>
      <w:spacing w:before="120"/>
      <w:ind w:left="2007"/>
      <w:outlineLvl w:val="4"/>
    </w:pPr>
  </w:style>
  <w:style w:type="paragraph" w:styleId="Nadpis6">
    <w:name w:val="heading 6"/>
    <w:basedOn w:val="Normln"/>
    <w:link w:val="Nadpis6Char"/>
    <w:qFormat/>
    <w:pPr>
      <w:numPr>
        <w:ilvl w:val="5"/>
        <w:numId w:val="1"/>
      </w:numPr>
      <w:spacing w:before="120"/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pPr>
      <w:keepNext w:val="0"/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link w:val="NzevChar"/>
    <w:qFormat/>
    <w:pPr>
      <w:keepLines w:val="0"/>
      <w:jc w:val="center"/>
    </w:pPr>
    <w:rPr>
      <w:b/>
      <w:caps/>
      <w:sz w:val="40"/>
      <w:lang w:eastAsia="cs-CZ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pPr>
      <w:keepNext w:val="0"/>
      <w:keepLines w:val="0"/>
      <w:tabs>
        <w:tab w:val="center" w:pos="4320"/>
        <w:tab w:val="right" w:pos="8640"/>
      </w:tabs>
      <w:jc w:val="left"/>
    </w:pPr>
    <w:rPr>
      <w:rFonts w:ascii="Times" w:hAnsi="Times" w:cs="Times"/>
      <w:szCs w:val="24"/>
      <w:lang w:eastAsia="cs-CZ"/>
    </w:r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customStyle="1" w:styleId="texte1">
    <w:name w:val="texte 1"/>
    <w:basedOn w:val="Normln"/>
    <w:pPr>
      <w:spacing w:before="120"/>
      <w:ind w:left="425"/>
    </w:pPr>
  </w:style>
  <w:style w:type="paragraph" w:customStyle="1" w:styleId="texte1x">
    <w:name w:val="texte 1.x"/>
    <w:basedOn w:val="Normln"/>
    <w:pPr>
      <w:spacing w:before="120"/>
      <w:ind w:left="567"/>
    </w:pPr>
  </w:style>
  <w:style w:type="paragraph" w:styleId="Zkladntextodsazen">
    <w:name w:val="Body Text Indent"/>
    <w:basedOn w:val="Normln"/>
    <w:semiHidden/>
    <w:pPr>
      <w:ind w:left="567" w:hanging="567"/>
    </w:pPr>
    <w:rPr>
      <w:rFonts w:ascii="Book Antiqua" w:hAnsi="Book Antiqua"/>
    </w:rPr>
  </w:style>
  <w:style w:type="paragraph" w:customStyle="1" w:styleId="Styltexte1xTunDolevaVlevo0cm">
    <w:name w:val="Styl texte 1.x + Tučné Doleva Vlevo:  0 cm"/>
    <w:basedOn w:val="texte1x"/>
    <w:pPr>
      <w:keepLines w:val="0"/>
      <w:widowControl w:val="0"/>
      <w:ind w:left="0"/>
      <w:jc w:val="left"/>
    </w:pPr>
    <w:rPr>
      <w:b/>
      <w:bCs/>
    </w:rPr>
  </w:style>
  <w:style w:type="paragraph" w:customStyle="1" w:styleId="BodyText21">
    <w:name w:val="Body Text 21"/>
    <w:basedOn w:val="Normln"/>
    <w:pPr>
      <w:keepNext w:val="0"/>
    </w:pPr>
    <w:rPr>
      <w:rFonts w:ascii="Times" w:hAnsi="Times"/>
      <w:szCs w:val="24"/>
      <w:lang w:eastAsia="cs-CZ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Garamond" w:hAnsi="Garamond"/>
      <w:sz w:val="24"/>
      <w:lang w:val="cs-CZ" w:eastAsia="en-US" w:bidi="ar-SA"/>
    </w:rPr>
  </w:style>
  <w:style w:type="paragraph" w:customStyle="1" w:styleId="Stylzarovnnnasted">
    <w:name w:val="Styl zarovnání na střed"/>
    <w:basedOn w:val="Normln"/>
    <w:pPr>
      <w:jc w:val="center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avecseseznamem1">
    <w:name w:val="Odstavec se seznamem1"/>
    <w:basedOn w:val="Normln"/>
    <w:link w:val="ListParagraphChar"/>
    <w:pPr>
      <w:keepNext w:val="0"/>
      <w:keepLine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Odstavecseseznamem1"/>
    <w:rPr>
      <w:rFonts w:ascii="Calibri" w:hAnsi="Calibri" w:cs="Calibri"/>
      <w:sz w:val="22"/>
      <w:szCs w:val="22"/>
      <w:lang w:eastAsia="en-US"/>
    </w:rPr>
  </w:style>
  <w:style w:type="paragraph" w:customStyle="1" w:styleId="slovanseznam-rove1">
    <w:name w:val="Číslovaný seznam - úroveň 1"/>
    <w:basedOn w:val="Odstavecseseznamem1"/>
    <w:link w:val="slovanseznam-rove1Char"/>
    <w:qFormat/>
    <w:pPr>
      <w:spacing w:line="240" w:lineRule="auto"/>
      <w:ind w:left="0"/>
      <w:jc w:val="both"/>
      <w:outlineLvl w:val="0"/>
    </w:pPr>
    <w:rPr>
      <w:rFonts w:ascii="Garamond" w:hAnsi="Garamond" w:cs="Garamond"/>
      <w:sz w:val="24"/>
      <w:szCs w:val="24"/>
    </w:rPr>
  </w:style>
  <w:style w:type="character" w:customStyle="1" w:styleId="slovanseznam-rove1Char">
    <w:name w:val="Číslovaný seznam - úroveň 1 Char"/>
    <w:link w:val="slovanseznam-rove1"/>
    <w:rPr>
      <w:rFonts w:ascii="Garamond" w:hAnsi="Garamond" w:cs="Garamond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lovanseznam-rove2">
    <w:name w:val="Číslovaný seznam - úroveň 2"/>
    <w:basedOn w:val="slovanseznam-rove1"/>
    <w:link w:val="slovanseznam-rove2Char"/>
    <w:qFormat/>
    <w:pPr>
      <w:tabs>
        <w:tab w:val="num" w:pos="360"/>
      </w:tabs>
      <w:ind w:left="1134" w:hanging="680"/>
    </w:pPr>
  </w:style>
  <w:style w:type="character" w:customStyle="1" w:styleId="slovanseznam-rove2Char">
    <w:name w:val="Číslovaný seznam - úroveň 2 Char"/>
    <w:link w:val="slovanseznam-rove2"/>
    <w:rPr>
      <w:rFonts w:ascii="Garamond" w:hAnsi="Garamond" w:cs="Garamond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6262</Characters>
  <Application>Microsoft Office Word</Application>
  <DocSecurity>4</DocSecurity>
  <Lines>52</Lines>
  <Paragraphs>14</Paragraphs>
  <ScaleCrop>false</ScaleCrop>
  <Company>VaK Beroun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 VODY PŘEDANÉ</dc:title>
  <dc:creator>Jiřík Miloš</dc:creator>
  <cp:lastModifiedBy>Brunová Lucie</cp:lastModifiedBy>
  <cp:revision>2</cp:revision>
  <cp:lastPrinted>2023-06-08T07:55:00Z</cp:lastPrinted>
  <dcterms:created xsi:type="dcterms:W3CDTF">2023-06-08T07:55:00Z</dcterms:created>
  <dcterms:modified xsi:type="dcterms:W3CDTF">2023-06-08T07:55:00Z</dcterms:modified>
  <cp:version>1048576</cp:version>
</cp:coreProperties>
</file>