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82A" w:rsidRDefault="009D2613">
      <w:pPr>
        <w:spacing w:after="0" w:line="259" w:lineRule="auto"/>
        <w:ind w:left="716" w:right="0" w:firstLine="0"/>
        <w:jc w:val="center"/>
      </w:pPr>
      <w:bookmarkStart w:id="0" w:name="_GoBack"/>
      <w:bookmarkEnd w:id="0"/>
      <w:r>
        <w:rPr>
          <w:b/>
          <w:sz w:val="32"/>
        </w:rPr>
        <w:t xml:space="preserve">K U P N Í   S M L O U V A </w:t>
      </w:r>
    </w:p>
    <w:p w:rsidR="00CE682A" w:rsidRDefault="009D2613">
      <w:pPr>
        <w:spacing w:after="18" w:line="259" w:lineRule="auto"/>
        <w:ind w:left="765" w:right="0" w:firstLine="0"/>
        <w:jc w:val="center"/>
      </w:pPr>
      <w:r>
        <w:rPr>
          <w:b/>
        </w:rPr>
        <w:t xml:space="preserve"> </w:t>
      </w:r>
    </w:p>
    <w:p w:rsidR="00CE682A" w:rsidRDefault="009D2613">
      <w:pPr>
        <w:spacing w:after="0" w:line="259" w:lineRule="auto"/>
        <w:ind w:left="720" w:right="0" w:firstLine="0"/>
        <w:jc w:val="left"/>
      </w:pPr>
      <w:r>
        <w:rPr>
          <w:b/>
          <w:sz w:val="24"/>
        </w:rPr>
        <w:t xml:space="preserve"> </w:t>
      </w:r>
    </w:p>
    <w:p w:rsidR="00CE682A" w:rsidRDefault="009D2613">
      <w:pPr>
        <w:spacing w:after="0" w:line="259" w:lineRule="auto"/>
        <w:ind w:left="720" w:right="0" w:firstLine="0"/>
        <w:jc w:val="left"/>
      </w:pPr>
      <w:r>
        <w:rPr>
          <w:b/>
          <w:sz w:val="24"/>
        </w:rPr>
        <w:t xml:space="preserve"> </w:t>
      </w:r>
    </w:p>
    <w:p w:rsidR="00CE682A" w:rsidRDefault="009D2613">
      <w:pPr>
        <w:spacing w:after="0" w:line="259" w:lineRule="auto"/>
        <w:ind w:left="720" w:right="0" w:firstLine="0"/>
        <w:jc w:val="left"/>
      </w:pPr>
      <w:r>
        <w:rPr>
          <w:b/>
          <w:sz w:val="24"/>
        </w:rPr>
        <w:t xml:space="preserve"> </w:t>
      </w:r>
    </w:p>
    <w:p w:rsidR="00CE682A" w:rsidRDefault="009D2613">
      <w:pPr>
        <w:spacing w:after="0" w:line="259" w:lineRule="auto"/>
        <w:ind w:left="729" w:right="5"/>
        <w:jc w:val="center"/>
      </w:pPr>
      <w:r>
        <w:rPr>
          <w:b/>
          <w:sz w:val="24"/>
        </w:rPr>
        <w:t xml:space="preserve">I. </w:t>
      </w:r>
    </w:p>
    <w:p w:rsidR="00CE682A" w:rsidRDefault="009D2613">
      <w:pPr>
        <w:spacing w:after="0" w:line="259" w:lineRule="auto"/>
        <w:ind w:left="729" w:right="7"/>
        <w:jc w:val="center"/>
      </w:pPr>
      <w:r>
        <w:rPr>
          <w:b/>
          <w:sz w:val="24"/>
        </w:rPr>
        <w:t xml:space="preserve">Smluvní strany </w:t>
      </w:r>
    </w:p>
    <w:p w:rsidR="00CE682A" w:rsidRDefault="009D2613">
      <w:pPr>
        <w:spacing w:after="0" w:line="259" w:lineRule="auto"/>
        <w:ind w:left="720" w:right="0" w:firstLine="0"/>
        <w:jc w:val="left"/>
      </w:pPr>
      <w:r>
        <w:rPr>
          <w:b/>
          <w:sz w:val="24"/>
        </w:rPr>
        <w:t xml:space="preserve"> </w:t>
      </w:r>
    </w:p>
    <w:p w:rsidR="00CE682A" w:rsidRDefault="009D2613">
      <w:pPr>
        <w:numPr>
          <w:ilvl w:val="0"/>
          <w:numId w:val="1"/>
        </w:numPr>
        <w:spacing w:after="0" w:line="259" w:lineRule="auto"/>
        <w:ind w:right="0" w:hanging="235"/>
        <w:jc w:val="left"/>
      </w:pPr>
      <w:r>
        <w:rPr>
          <w:b/>
          <w:sz w:val="24"/>
        </w:rPr>
        <w:t xml:space="preserve">Kupující: </w:t>
      </w:r>
    </w:p>
    <w:p w:rsidR="00CE682A" w:rsidRDefault="009D2613">
      <w:pPr>
        <w:ind w:left="715"/>
      </w:pPr>
      <w:r>
        <w:rPr>
          <w:b/>
        </w:rPr>
        <w:t xml:space="preserve">Česká republika – Okresní soud v Chebu  </w:t>
      </w:r>
      <w:r>
        <w:t xml:space="preserve">se sídlem: Lidická 1066/1, Cheb, 350 02 </w:t>
      </w:r>
    </w:p>
    <w:p w:rsidR="00CE682A" w:rsidRDefault="009D2613">
      <w:pPr>
        <w:ind w:left="715" w:right="0"/>
      </w:pPr>
      <w:r>
        <w:t xml:space="preserve">IČO: 00024724 </w:t>
      </w:r>
    </w:p>
    <w:p w:rsidR="00CE682A" w:rsidRDefault="009D2613">
      <w:pPr>
        <w:ind w:left="715" w:right="0"/>
      </w:pPr>
      <w:r>
        <w:t xml:space="preserve">Jednající: Mgr. Robert Plášil, předseda Okresního soudu v Chebu </w:t>
      </w:r>
    </w:p>
    <w:p w:rsidR="00CE682A" w:rsidRDefault="009D2613">
      <w:pPr>
        <w:spacing w:after="27"/>
        <w:ind w:left="715" w:right="0"/>
      </w:pPr>
      <w:r>
        <w:t xml:space="preserve">Bankovní spojení: ČNB č.ú.: 325331/0710 </w:t>
      </w:r>
    </w:p>
    <w:p w:rsidR="00CE682A" w:rsidRDefault="009D2613">
      <w:pPr>
        <w:spacing w:after="0" w:line="259" w:lineRule="auto"/>
        <w:ind w:left="720" w:right="0" w:firstLine="0"/>
        <w:jc w:val="left"/>
      </w:pPr>
      <w:r>
        <w:rPr>
          <w:sz w:val="24"/>
        </w:rPr>
        <w:t xml:space="preserve"> </w:t>
      </w:r>
    </w:p>
    <w:p w:rsidR="00CE682A" w:rsidRDefault="009D2613">
      <w:pPr>
        <w:spacing w:after="0" w:line="259" w:lineRule="auto"/>
        <w:ind w:left="724" w:right="2"/>
        <w:jc w:val="center"/>
      </w:pPr>
      <w:r>
        <w:t>(dále jen „kupující“)</w:t>
      </w:r>
      <w:r>
        <w:rPr>
          <w:b/>
        </w:rPr>
        <w:t xml:space="preserve"> </w:t>
      </w:r>
    </w:p>
    <w:p w:rsidR="00CE682A" w:rsidRDefault="009D2613">
      <w:pPr>
        <w:spacing w:after="0" w:line="259" w:lineRule="auto"/>
        <w:ind w:left="720" w:right="0" w:firstLine="0"/>
        <w:jc w:val="left"/>
      </w:pPr>
      <w:r>
        <w:rPr>
          <w:b/>
          <w:sz w:val="24"/>
        </w:rPr>
        <w:t xml:space="preserve"> </w:t>
      </w:r>
    </w:p>
    <w:p w:rsidR="00CE682A" w:rsidRDefault="009D2613">
      <w:pPr>
        <w:spacing w:after="0" w:line="259" w:lineRule="auto"/>
        <w:ind w:left="720" w:right="0" w:firstLine="0"/>
        <w:jc w:val="left"/>
      </w:pPr>
      <w:r>
        <w:rPr>
          <w:b/>
          <w:sz w:val="24"/>
        </w:rPr>
        <w:t xml:space="preserve"> </w:t>
      </w:r>
    </w:p>
    <w:p w:rsidR="00CE682A" w:rsidRDefault="009D2613">
      <w:pPr>
        <w:numPr>
          <w:ilvl w:val="0"/>
          <w:numId w:val="1"/>
        </w:numPr>
        <w:spacing w:after="0" w:line="259" w:lineRule="auto"/>
        <w:ind w:right="0" w:hanging="235"/>
        <w:jc w:val="left"/>
      </w:pPr>
      <w:r>
        <w:rPr>
          <w:b/>
          <w:sz w:val="24"/>
        </w:rPr>
        <w:t xml:space="preserve">Prodávající: </w:t>
      </w:r>
    </w:p>
    <w:p w:rsidR="00CE682A" w:rsidRDefault="009D2613">
      <w:pPr>
        <w:spacing w:after="0" w:line="259" w:lineRule="auto"/>
        <w:ind w:left="720" w:right="0" w:firstLine="0"/>
        <w:jc w:val="left"/>
      </w:pPr>
      <w:r>
        <w:rPr>
          <w:b/>
        </w:rPr>
        <w:t xml:space="preserve">ELFIS spol. s r.o. </w:t>
      </w:r>
    </w:p>
    <w:p w:rsidR="00CE682A" w:rsidRDefault="009D2613">
      <w:pPr>
        <w:ind w:left="715" w:right="0"/>
      </w:pPr>
      <w:r>
        <w:t xml:space="preserve">se sídlem: Kolmá 10, 190 00 Praha 9 </w:t>
      </w:r>
    </w:p>
    <w:p w:rsidR="00CE682A" w:rsidRDefault="009D2613">
      <w:pPr>
        <w:ind w:left="715" w:right="0"/>
      </w:pPr>
      <w:r>
        <w:t xml:space="preserve">jejímž jménem jedná: Ing. Petr Záborský </w:t>
      </w:r>
    </w:p>
    <w:p w:rsidR="00CE682A" w:rsidRDefault="009D2613">
      <w:pPr>
        <w:tabs>
          <w:tab w:val="center" w:pos="1318"/>
          <w:tab w:val="center" w:pos="2864"/>
        </w:tabs>
        <w:ind w:left="0" w:right="0" w:firstLine="0"/>
        <w:jc w:val="left"/>
      </w:pPr>
      <w:r>
        <w:rPr>
          <w:rFonts w:ascii="Calibri" w:eastAsia="Calibri" w:hAnsi="Calibri" w:cs="Calibri"/>
          <w:sz w:val="22"/>
        </w:rPr>
        <w:tab/>
      </w:r>
      <w:r>
        <w:t xml:space="preserve">IČO: 44794932 </w:t>
      </w:r>
      <w:r>
        <w:tab/>
        <w:t xml:space="preserve">DIČ: CZ44794932 </w:t>
      </w:r>
    </w:p>
    <w:p w:rsidR="00CE682A" w:rsidRDefault="009D2613">
      <w:pPr>
        <w:ind w:left="715" w:right="0"/>
      </w:pPr>
      <w:r>
        <w:t>Bankovní spojení: MONETA Money Bank, a.s.</w:t>
      </w:r>
      <w:r>
        <w:t xml:space="preserve">, č.ú.: 1729001504 / 0600 </w:t>
      </w:r>
    </w:p>
    <w:p w:rsidR="00CE682A" w:rsidRDefault="009D2613">
      <w:pPr>
        <w:ind w:left="715" w:right="0"/>
      </w:pPr>
      <w:r>
        <w:t xml:space="preserve">Zápis v OR  vedeným Městským soudem v Praze, oddíl C, vložka 5755 </w:t>
      </w:r>
    </w:p>
    <w:p w:rsidR="00CE682A" w:rsidRDefault="009D2613">
      <w:pPr>
        <w:spacing w:after="0" w:line="259" w:lineRule="auto"/>
        <w:ind w:left="720" w:right="0" w:firstLine="0"/>
        <w:jc w:val="left"/>
      </w:pPr>
      <w:r>
        <w:rPr>
          <w:b/>
        </w:rPr>
        <w:t xml:space="preserve"> </w:t>
      </w:r>
    </w:p>
    <w:p w:rsidR="00CE682A" w:rsidRDefault="009D2613">
      <w:pPr>
        <w:spacing w:after="0" w:line="259" w:lineRule="auto"/>
        <w:ind w:left="724" w:right="2"/>
        <w:jc w:val="center"/>
      </w:pPr>
      <w:r>
        <w:t xml:space="preserve">(dále jen „prodávající“) </w:t>
      </w:r>
    </w:p>
    <w:p w:rsidR="00CE682A" w:rsidRDefault="009D2613">
      <w:pPr>
        <w:spacing w:after="0" w:line="259" w:lineRule="auto"/>
        <w:ind w:left="720" w:right="0" w:firstLine="0"/>
        <w:jc w:val="left"/>
      </w:pPr>
      <w:r>
        <w:t xml:space="preserve"> </w:t>
      </w:r>
    </w:p>
    <w:p w:rsidR="00CE682A" w:rsidRDefault="009D2613">
      <w:pPr>
        <w:spacing w:after="0" w:line="259" w:lineRule="auto"/>
        <w:ind w:left="720" w:right="0" w:firstLine="0"/>
        <w:jc w:val="left"/>
      </w:pPr>
      <w:r>
        <w:t xml:space="preserve"> </w:t>
      </w:r>
    </w:p>
    <w:p w:rsidR="00CE682A" w:rsidRDefault="009D2613">
      <w:pPr>
        <w:spacing w:after="0" w:line="259" w:lineRule="auto"/>
        <w:ind w:left="720" w:right="0" w:firstLine="0"/>
        <w:jc w:val="left"/>
      </w:pPr>
      <w:r>
        <w:t xml:space="preserve"> </w:t>
      </w:r>
    </w:p>
    <w:p w:rsidR="00CE682A" w:rsidRDefault="009D2613">
      <w:pPr>
        <w:spacing w:after="18" w:line="259" w:lineRule="auto"/>
        <w:ind w:left="720" w:right="0" w:firstLine="0"/>
        <w:jc w:val="left"/>
      </w:pPr>
      <w:r>
        <w:t xml:space="preserve"> </w:t>
      </w:r>
    </w:p>
    <w:p w:rsidR="00CE682A" w:rsidRDefault="009D2613">
      <w:pPr>
        <w:spacing w:after="0" w:line="259" w:lineRule="auto"/>
        <w:ind w:left="720" w:right="0" w:firstLine="0"/>
        <w:jc w:val="left"/>
      </w:pPr>
      <w:r>
        <w:rPr>
          <w:sz w:val="24"/>
        </w:rPr>
        <w:t xml:space="preserve"> </w:t>
      </w:r>
    </w:p>
    <w:p w:rsidR="00CE682A" w:rsidRDefault="009D2613">
      <w:pPr>
        <w:spacing w:after="0" w:line="259" w:lineRule="auto"/>
        <w:ind w:left="729" w:right="0"/>
        <w:jc w:val="center"/>
      </w:pPr>
      <w:r>
        <w:rPr>
          <w:b/>
          <w:sz w:val="24"/>
        </w:rPr>
        <w:t xml:space="preserve">II. </w:t>
      </w:r>
    </w:p>
    <w:p w:rsidR="00CE682A" w:rsidRDefault="009D2613">
      <w:pPr>
        <w:spacing w:after="0" w:line="259" w:lineRule="auto"/>
        <w:ind w:left="729" w:right="8"/>
        <w:jc w:val="center"/>
      </w:pPr>
      <w:r>
        <w:rPr>
          <w:b/>
          <w:sz w:val="24"/>
        </w:rPr>
        <w:t xml:space="preserve">Předmět smlouvy </w:t>
      </w:r>
    </w:p>
    <w:p w:rsidR="00CE682A" w:rsidRDefault="009D2613">
      <w:pPr>
        <w:spacing w:after="0" w:line="259" w:lineRule="auto"/>
        <w:ind w:left="775" w:right="0" w:firstLine="0"/>
        <w:jc w:val="center"/>
      </w:pPr>
      <w:r>
        <w:rPr>
          <w:b/>
          <w:sz w:val="24"/>
        </w:rPr>
        <w:t xml:space="preserve"> </w:t>
      </w:r>
    </w:p>
    <w:p w:rsidR="00CE682A" w:rsidRDefault="009D2613">
      <w:pPr>
        <w:numPr>
          <w:ilvl w:val="0"/>
          <w:numId w:val="2"/>
        </w:numPr>
        <w:ind w:left="988" w:right="879" w:hanging="283"/>
      </w:pPr>
      <w:r>
        <w:t xml:space="preserve">Předmětem smlouvy je závazek prodávajícího dodat kupujícímu: </w:t>
      </w:r>
    </w:p>
    <w:p w:rsidR="00CE682A" w:rsidRDefault="009D2613">
      <w:pPr>
        <w:spacing w:after="68" w:line="259" w:lineRule="auto"/>
        <w:ind w:left="1440" w:right="0" w:firstLine="0"/>
        <w:jc w:val="left"/>
      </w:pPr>
      <w:r>
        <w:t xml:space="preserve"> </w:t>
      </w:r>
    </w:p>
    <w:p w:rsidR="00CE682A" w:rsidRDefault="009D2613">
      <w:pPr>
        <w:spacing w:after="0" w:line="259" w:lineRule="auto"/>
        <w:ind w:left="725" w:right="0"/>
        <w:jc w:val="center"/>
      </w:pPr>
      <w:r>
        <w:rPr>
          <w:b/>
          <w:sz w:val="30"/>
        </w:rPr>
        <w:t xml:space="preserve">DODÁNÍ A VÝMĚNA BATERIÍ  </w:t>
      </w:r>
    </w:p>
    <w:p w:rsidR="00CE682A" w:rsidRDefault="009D2613">
      <w:pPr>
        <w:spacing w:after="0" w:line="259" w:lineRule="auto"/>
        <w:ind w:left="725" w:right="0"/>
        <w:jc w:val="center"/>
      </w:pPr>
      <w:r>
        <w:rPr>
          <w:b/>
          <w:sz w:val="30"/>
        </w:rPr>
        <w:t xml:space="preserve">PRO UPS EATON POWERWARE 9390 </w:t>
      </w:r>
    </w:p>
    <w:p w:rsidR="00CE682A" w:rsidRDefault="009D2613">
      <w:pPr>
        <w:spacing w:after="0" w:line="259" w:lineRule="auto"/>
        <w:ind w:left="765" w:right="0" w:firstLine="0"/>
        <w:jc w:val="center"/>
      </w:pPr>
      <w:r>
        <w:rPr>
          <w:b/>
        </w:rPr>
        <w:t xml:space="preserve"> </w:t>
      </w:r>
    </w:p>
    <w:p w:rsidR="00CE682A" w:rsidRDefault="009D2613">
      <w:pPr>
        <w:spacing w:after="0" w:line="259" w:lineRule="auto"/>
        <w:ind w:left="765" w:right="0" w:firstLine="0"/>
        <w:jc w:val="center"/>
      </w:pPr>
      <w:r>
        <w:rPr>
          <w:b/>
        </w:rPr>
        <w:t xml:space="preserve"> </w:t>
      </w:r>
    </w:p>
    <w:p w:rsidR="00CE682A" w:rsidRDefault="009D2613">
      <w:pPr>
        <w:spacing w:after="0" w:line="259" w:lineRule="auto"/>
        <w:ind w:left="713" w:right="0" w:firstLine="0"/>
        <w:jc w:val="center"/>
      </w:pPr>
      <w:r>
        <w:rPr>
          <w:b/>
        </w:rPr>
        <w:t xml:space="preserve">dle specifikace uvedené v příloze 1 kupní smlouvy </w:t>
      </w:r>
    </w:p>
    <w:p w:rsidR="00CE682A" w:rsidRDefault="009D2613">
      <w:pPr>
        <w:spacing w:line="259" w:lineRule="auto"/>
        <w:ind w:left="765" w:right="0" w:firstLine="0"/>
        <w:jc w:val="center"/>
      </w:pPr>
      <w:r>
        <w:rPr>
          <w:b/>
        </w:rPr>
        <w:t xml:space="preserve"> </w:t>
      </w:r>
    </w:p>
    <w:p w:rsidR="00CE682A" w:rsidRDefault="009D2613">
      <w:pPr>
        <w:spacing w:after="0" w:line="259" w:lineRule="auto"/>
        <w:ind w:left="724" w:right="0"/>
        <w:jc w:val="center"/>
      </w:pPr>
      <w:r>
        <w:rPr>
          <w:b/>
          <w:sz w:val="24"/>
        </w:rPr>
        <w:t xml:space="preserve"> </w:t>
      </w:r>
      <w:r>
        <w:t xml:space="preserve">(dále jen „zboží“) </w:t>
      </w:r>
    </w:p>
    <w:p w:rsidR="00CE682A" w:rsidRDefault="009D2613">
      <w:pPr>
        <w:spacing w:after="0" w:line="259" w:lineRule="auto"/>
        <w:ind w:left="720" w:right="0" w:firstLine="0"/>
        <w:jc w:val="left"/>
      </w:pPr>
      <w:r>
        <w:rPr>
          <w:sz w:val="24"/>
        </w:rPr>
        <w:t xml:space="preserve"> </w:t>
      </w:r>
    </w:p>
    <w:p w:rsidR="00CE682A" w:rsidRDefault="009D2613">
      <w:pPr>
        <w:ind w:left="1014" w:right="0"/>
      </w:pPr>
      <w:r>
        <w:t>za podmínek dále stanovených, v provedení podle specifikace, která</w:t>
      </w:r>
      <w:r>
        <w:rPr>
          <w:b/>
        </w:rPr>
        <w:t xml:space="preserve"> </w:t>
      </w:r>
      <w:r>
        <w:t xml:space="preserve">tvoří přílohu č. 1 této smlouvy jako její nedílnou </w:t>
      </w:r>
      <w:r>
        <w:t xml:space="preserve">součást. Předmětem smlouvy je závazek prodávajícího převést vlastnické právo ke zboží na kupujícího a závazek kupujícího zboží převzít a zaplatit za něj dohodnutou kupní cenu. </w:t>
      </w:r>
    </w:p>
    <w:p w:rsidR="00CE682A" w:rsidRDefault="009D2613">
      <w:pPr>
        <w:spacing w:after="0" w:line="259" w:lineRule="auto"/>
        <w:ind w:left="720" w:right="0" w:firstLine="0"/>
        <w:jc w:val="left"/>
      </w:pPr>
      <w:r>
        <w:lastRenderedPageBreak/>
        <w:t xml:space="preserve"> </w:t>
      </w:r>
    </w:p>
    <w:p w:rsidR="00CE682A" w:rsidRDefault="009D2613">
      <w:pPr>
        <w:numPr>
          <w:ilvl w:val="0"/>
          <w:numId w:val="2"/>
        </w:numPr>
        <w:ind w:left="988" w:right="879" w:hanging="283"/>
      </w:pPr>
      <w:r>
        <w:t xml:space="preserve">Součástí plnění jsou příslušné doklady potřebné k převzetí a užívání zboží v </w:t>
      </w:r>
      <w:r>
        <w:t xml:space="preserve">českém jazyce. </w:t>
      </w:r>
      <w:r>
        <w:rPr>
          <w:sz w:val="24"/>
        </w:rPr>
        <w:t xml:space="preserve"> </w:t>
      </w:r>
      <w:r>
        <w:rPr>
          <w:sz w:val="24"/>
        </w:rPr>
        <w:tab/>
        <w:t xml:space="preserve"> </w:t>
      </w:r>
    </w:p>
    <w:p w:rsidR="00CE682A" w:rsidRDefault="009D2613">
      <w:pPr>
        <w:spacing w:after="0" w:line="259" w:lineRule="auto"/>
        <w:ind w:left="720" w:right="0" w:firstLine="0"/>
        <w:jc w:val="left"/>
      </w:pPr>
      <w:r>
        <w:rPr>
          <w:sz w:val="24"/>
        </w:rPr>
        <w:t xml:space="preserve"> </w:t>
      </w:r>
    </w:p>
    <w:p w:rsidR="00CE682A" w:rsidRDefault="009D2613">
      <w:pPr>
        <w:spacing w:after="0" w:line="259" w:lineRule="auto"/>
        <w:ind w:left="775" w:right="0" w:firstLine="0"/>
        <w:jc w:val="center"/>
      </w:pPr>
      <w:r>
        <w:rPr>
          <w:b/>
          <w:sz w:val="24"/>
        </w:rPr>
        <w:t xml:space="preserve"> </w:t>
      </w:r>
    </w:p>
    <w:p w:rsidR="00CE682A" w:rsidRDefault="009D2613">
      <w:pPr>
        <w:spacing w:after="0" w:line="259" w:lineRule="auto"/>
        <w:ind w:left="729" w:right="0"/>
        <w:jc w:val="center"/>
      </w:pPr>
      <w:r>
        <w:rPr>
          <w:b/>
          <w:sz w:val="24"/>
        </w:rPr>
        <w:t xml:space="preserve">III. </w:t>
      </w:r>
    </w:p>
    <w:p w:rsidR="00CE682A" w:rsidRDefault="009D2613">
      <w:pPr>
        <w:spacing w:after="0" w:line="259" w:lineRule="auto"/>
        <w:ind w:left="729" w:right="5"/>
        <w:jc w:val="center"/>
      </w:pPr>
      <w:r>
        <w:rPr>
          <w:b/>
          <w:sz w:val="24"/>
        </w:rPr>
        <w:t xml:space="preserve">Dodací lhůta, místo a způsob plnění </w:t>
      </w:r>
    </w:p>
    <w:p w:rsidR="00CE682A" w:rsidRDefault="009D2613">
      <w:pPr>
        <w:spacing w:after="0" w:line="259" w:lineRule="auto"/>
        <w:ind w:left="1287" w:right="0" w:firstLine="0"/>
        <w:jc w:val="left"/>
      </w:pPr>
      <w:r>
        <w:rPr>
          <w:b/>
          <w:sz w:val="24"/>
        </w:rPr>
        <w:t xml:space="preserve"> </w:t>
      </w:r>
    </w:p>
    <w:p w:rsidR="00CE682A" w:rsidRDefault="009D2613">
      <w:pPr>
        <w:numPr>
          <w:ilvl w:val="0"/>
          <w:numId w:val="3"/>
        </w:numPr>
        <w:spacing w:after="268"/>
        <w:ind w:left="1132" w:right="0" w:hanging="427"/>
      </w:pPr>
      <w:r>
        <w:t xml:space="preserve">Prodávající je povinen dodat kupujícímu zboží dle nabídky a specifikace uvedené v čl. II., a v příloze č. 1 této smlouvy nejpozději do 60 pracovních dnů od podpisu smlouvy. </w:t>
      </w:r>
    </w:p>
    <w:p w:rsidR="00CE682A" w:rsidRDefault="009D2613">
      <w:pPr>
        <w:numPr>
          <w:ilvl w:val="0"/>
          <w:numId w:val="3"/>
        </w:numPr>
        <w:ind w:left="1132" w:right="0" w:hanging="427"/>
      </w:pPr>
      <w:r>
        <w:t xml:space="preserve">Místem dodání zboží je následující složka: </w:t>
      </w:r>
    </w:p>
    <w:tbl>
      <w:tblPr>
        <w:tblStyle w:val="TableGrid"/>
        <w:tblW w:w="7938" w:type="dxa"/>
        <w:tblInd w:w="1260" w:type="dxa"/>
        <w:tblCellMar>
          <w:top w:w="45" w:type="dxa"/>
          <w:left w:w="106" w:type="dxa"/>
          <w:bottom w:w="0" w:type="dxa"/>
          <w:right w:w="115" w:type="dxa"/>
        </w:tblCellMar>
        <w:tblLook w:val="04A0" w:firstRow="1" w:lastRow="0" w:firstColumn="1" w:lastColumn="0" w:noHBand="0" w:noVBand="1"/>
      </w:tblPr>
      <w:tblGrid>
        <w:gridCol w:w="3685"/>
        <w:gridCol w:w="4253"/>
      </w:tblGrid>
      <w:tr w:rsidR="00CE682A">
        <w:trPr>
          <w:trHeight w:val="235"/>
        </w:trPr>
        <w:tc>
          <w:tcPr>
            <w:tcW w:w="3685" w:type="dxa"/>
            <w:tcBorders>
              <w:top w:val="single" w:sz="4" w:space="0" w:color="000000"/>
              <w:left w:val="single" w:sz="4" w:space="0" w:color="000000"/>
              <w:bottom w:val="single" w:sz="4" w:space="0" w:color="000000"/>
              <w:right w:val="single" w:sz="4" w:space="0" w:color="000000"/>
            </w:tcBorders>
          </w:tcPr>
          <w:p w:rsidR="00CE682A" w:rsidRDefault="009D2613">
            <w:pPr>
              <w:spacing w:after="0" w:line="259" w:lineRule="auto"/>
              <w:ind w:left="0" w:right="0" w:firstLine="0"/>
              <w:jc w:val="left"/>
            </w:pPr>
            <w:r>
              <w:rPr>
                <w:b/>
              </w:rPr>
              <w:t xml:space="preserve">Složka: </w:t>
            </w:r>
          </w:p>
        </w:tc>
        <w:tc>
          <w:tcPr>
            <w:tcW w:w="4254" w:type="dxa"/>
            <w:tcBorders>
              <w:top w:val="single" w:sz="4" w:space="0" w:color="000000"/>
              <w:left w:val="single" w:sz="4" w:space="0" w:color="000000"/>
              <w:bottom w:val="single" w:sz="4" w:space="0" w:color="000000"/>
              <w:right w:val="single" w:sz="4" w:space="0" w:color="000000"/>
            </w:tcBorders>
          </w:tcPr>
          <w:p w:rsidR="00CE682A" w:rsidRDefault="009D2613">
            <w:pPr>
              <w:spacing w:after="0" w:line="259" w:lineRule="auto"/>
              <w:ind w:left="2" w:right="0" w:firstLine="0"/>
              <w:jc w:val="left"/>
            </w:pPr>
            <w:r>
              <w:rPr>
                <w:b/>
              </w:rPr>
              <w:t xml:space="preserve">Adresa: </w:t>
            </w:r>
          </w:p>
        </w:tc>
      </w:tr>
      <w:tr w:rsidR="00CE682A">
        <w:trPr>
          <w:trHeight w:val="250"/>
        </w:trPr>
        <w:tc>
          <w:tcPr>
            <w:tcW w:w="3685" w:type="dxa"/>
            <w:tcBorders>
              <w:top w:val="single" w:sz="4" w:space="0" w:color="000000"/>
              <w:left w:val="single" w:sz="4" w:space="0" w:color="000000"/>
              <w:bottom w:val="single" w:sz="4" w:space="0" w:color="000000"/>
              <w:right w:val="single" w:sz="4" w:space="0" w:color="000000"/>
            </w:tcBorders>
          </w:tcPr>
          <w:p w:rsidR="00CE682A" w:rsidRDefault="009D2613">
            <w:pPr>
              <w:spacing w:after="0" w:line="259" w:lineRule="auto"/>
              <w:ind w:left="0" w:right="0" w:firstLine="0"/>
              <w:jc w:val="left"/>
            </w:pPr>
            <w:r>
              <w:t xml:space="preserve">Okresní soud v Chebu </w:t>
            </w:r>
          </w:p>
        </w:tc>
        <w:tc>
          <w:tcPr>
            <w:tcW w:w="4254" w:type="dxa"/>
            <w:tcBorders>
              <w:top w:val="single" w:sz="4" w:space="0" w:color="000000"/>
              <w:left w:val="single" w:sz="4" w:space="0" w:color="000000"/>
              <w:bottom w:val="single" w:sz="4" w:space="0" w:color="000000"/>
              <w:right w:val="single" w:sz="4" w:space="0" w:color="000000"/>
            </w:tcBorders>
          </w:tcPr>
          <w:p w:rsidR="00CE682A" w:rsidRDefault="009D2613">
            <w:pPr>
              <w:spacing w:after="0" w:line="259" w:lineRule="auto"/>
              <w:ind w:left="2" w:right="0" w:firstLine="0"/>
              <w:jc w:val="left"/>
            </w:pPr>
            <w:r>
              <w:t xml:space="preserve">Lidická 1066/1, Cheb, 350 02 </w:t>
            </w:r>
          </w:p>
        </w:tc>
      </w:tr>
      <w:tr w:rsidR="00CE682A">
        <w:trPr>
          <w:trHeight w:val="247"/>
        </w:trPr>
        <w:tc>
          <w:tcPr>
            <w:tcW w:w="3685" w:type="dxa"/>
            <w:tcBorders>
              <w:top w:val="single" w:sz="4" w:space="0" w:color="000000"/>
              <w:left w:val="single" w:sz="4" w:space="0" w:color="000000"/>
              <w:bottom w:val="single" w:sz="4" w:space="0" w:color="000000"/>
              <w:right w:val="nil"/>
            </w:tcBorders>
          </w:tcPr>
          <w:p w:rsidR="00CE682A" w:rsidRDefault="009D2613">
            <w:pPr>
              <w:spacing w:after="0" w:line="259" w:lineRule="auto"/>
              <w:ind w:left="0" w:right="0" w:firstLine="0"/>
              <w:jc w:val="left"/>
            </w:pPr>
            <w:r>
              <w:rPr>
                <w:i/>
              </w:rPr>
              <w:t xml:space="preserve">podrobnosti v příloze č. 1 </w:t>
            </w:r>
          </w:p>
        </w:tc>
        <w:tc>
          <w:tcPr>
            <w:tcW w:w="4254" w:type="dxa"/>
            <w:tcBorders>
              <w:top w:val="single" w:sz="4" w:space="0" w:color="000000"/>
              <w:left w:val="nil"/>
              <w:bottom w:val="single" w:sz="4" w:space="0" w:color="000000"/>
              <w:right w:val="single" w:sz="4" w:space="0" w:color="000000"/>
            </w:tcBorders>
          </w:tcPr>
          <w:p w:rsidR="00CE682A" w:rsidRDefault="00CE682A">
            <w:pPr>
              <w:spacing w:after="160" w:line="259" w:lineRule="auto"/>
              <w:ind w:left="0" w:right="0" w:firstLine="0"/>
              <w:jc w:val="left"/>
            </w:pPr>
          </w:p>
        </w:tc>
      </w:tr>
    </w:tbl>
    <w:p w:rsidR="00CE682A" w:rsidRDefault="009D2613">
      <w:pPr>
        <w:spacing w:after="31" w:line="259" w:lineRule="auto"/>
        <w:ind w:left="720" w:right="0" w:firstLine="0"/>
        <w:jc w:val="left"/>
      </w:pPr>
      <w:r>
        <w:t xml:space="preserve"> </w:t>
      </w:r>
    </w:p>
    <w:p w:rsidR="00CE682A" w:rsidRDefault="009D2613">
      <w:pPr>
        <w:numPr>
          <w:ilvl w:val="0"/>
          <w:numId w:val="3"/>
        </w:numPr>
        <w:spacing w:after="224"/>
        <w:ind w:left="1132" w:right="0" w:hanging="427"/>
      </w:pPr>
      <w:r>
        <w:t xml:space="preserve">Kupující dodá prodávajícímu jméno kontaktní osoby oprávněné k převzetí zboží. </w:t>
      </w:r>
    </w:p>
    <w:p w:rsidR="00CE682A" w:rsidRDefault="009D2613">
      <w:pPr>
        <w:numPr>
          <w:ilvl w:val="0"/>
          <w:numId w:val="3"/>
        </w:numPr>
        <w:spacing w:after="225"/>
        <w:ind w:left="1132" w:right="0" w:hanging="427"/>
      </w:pPr>
      <w:r>
        <w:t xml:space="preserve">O převzetí zboží bude sepsán protokol o předání a převzetí zboží, podepsaný oběma smluvními stranami. </w:t>
      </w:r>
    </w:p>
    <w:p w:rsidR="00CE682A" w:rsidRDefault="009D2613">
      <w:pPr>
        <w:numPr>
          <w:ilvl w:val="0"/>
          <w:numId w:val="3"/>
        </w:numPr>
        <w:ind w:left="1132" w:right="0" w:hanging="427"/>
      </w:pPr>
      <w:r>
        <w:t xml:space="preserve">Nebude-li zboží dodáno ve lhůtě uvedené v čl. III. odst. 1, je kupující oprávněn od smlouvy odstoupit. </w:t>
      </w:r>
    </w:p>
    <w:p w:rsidR="00CE682A" w:rsidRDefault="009D2613">
      <w:pPr>
        <w:spacing w:after="29" w:line="259" w:lineRule="auto"/>
        <w:ind w:left="1428" w:right="0" w:firstLine="0"/>
        <w:jc w:val="left"/>
      </w:pPr>
      <w:r>
        <w:t xml:space="preserve"> </w:t>
      </w:r>
    </w:p>
    <w:p w:rsidR="00CE682A" w:rsidRDefault="009D2613">
      <w:pPr>
        <w:numPr>
          <w:ilvl w:val="0"/>
          <w:numId w:val="3"/>
        </w:numPr>
        <w:ind w:left="1132" w:right="0" w:hanging="427"/>
      </w:pPr>
      <w:r>
        <w:t xml:space="preserve">Zadavatel požaduje kompletní dodávku veškerého zboží v jedné zásilce </w:t>
      </w:r>
    </w:p>
    <w:p w:rsidR="00CE682A" w:rsidRDefault="009D2613">
      <w:pPr>
        <w:spacing w:after="0" w:line="259" w:lineRule="auto"/>
        <w:ind w:left="720" w:right="0" w:firstLine="0"/>
        <w:jc w:val="left"/>
      </w:pPr>
      <w:r>
        <w:t xml:space="preserve"> </w:t>
      </w:r>
    </w:p>
    <w:p w:rsidR="00CE682A" w:rsidRDefault="009D2613">
      <w:pPr>
        <w:spacing w:after="18" w:line="259" w:lineRule="auto"/>
        <w:ind w:left="720" w:right="0" w:firstLine="0"/>
        <w:jc w:val="left"/>
      </w:pPr>
      <w:r>
        <w:t xml:space="preserve"> </w:t>
      </w:r>
    </w:p>
    <w:p w:rsidR="00CE682A" w:rsidRDefault="009D2613">
      <w:pPr>
        <w:spacing w:after="0" w:line="259" w:lineRule="auto"/>
        <w:ind w:left="720" w:right="0" w:firstLine="0"/>
        <w:jc w:val="left"/>
      </w:pPr>
      <w:r>
        <w:rPr>
          <w:sz w:val="24"/>
        </w:rPr>
        <w:t xml:space="preserve"> </w:t>
      </w:r>
    </w:p>
    <w:p w:rsidR="00CE682A" w:rsidRDefault="009D2613">
      <w:pPr>
        <w:spacing w:after="0" w:line="259" w:lineRule="auto"/>
        <w:ind w:left="729" w:right="3"/>
        <w:jc w:val="center"/>
      </w:pPr>
      <w:r>
        <w:rPr>
          <w:b/>
          <w:sz w:val="24"/>
        </w:rPr>
        <w:t xml:space="preserve">IV. </w:t>
      </w:r>
    </w:p>
    <w:p w:rsidR="00CE682A" w:rsidRDefault="009D2613">
      <w:pPr>
        <w:spacing w:after="0" w:line="259" w:lineRule="auto"/>
        <w:ind w:left="729" w:right="8"/>
        <w:jc w:val="center"/>
      </w:pPr>
      <w:r>
        <w:rPr>
          <w:b/>
          <w:sz w:val="24"/>
        </w:rPr>
        <w:t xml:space="preserve">Kupní cena a platební podmínky </w:t>
      </w:r>
    </w:p>
    <w:p w:rsidR="00CE682A" w:rsidRDefault="009D2613">
      <w:pPr>
        <w:spacing w:after="0" w:line="259" w:lineRule="auto"/>
        <w:ind w:left="720" w:right="0" w:firstLine="0"/>
        <w:jc w:val="left"/>
      </w:pPr>
      <w:r>
        <w:rPr>
          <w:b/>
          <w:sz w:val="24"/>
        </w:rPr>
        <w:t xml:space="preserve"> </w:t>
      </w:r>
    </w:p>
    <w:p w:rsidR="00CE682A" w:rsidRDefault="009D2613">
      <w:pPr>
        <w:tabs>
          <w:tab w:val="center" w:pos="786"/>
          <w:tab w:val="center" w:pos="4459"/>
        </w:tabs>
        <w:ind w:left="0" w:right="0" w:firstLine="0"/>
        <w:jc w:val="left"/>
      </w:pPr>
      <w:r>
        <w:rPr>
          <w:rFonts w:ascii="Calibri" w:eastAsia="Calibri" w:hAnsi="Calibri" w:cs="Calibri"/>
          <w:sz w:val="22"/>
        </w:rPr>
        <w:tab/>
      </w:r>
      <w:r>
        <w:rPr>
          <w:b/>
        </w:rPr>
        <w:t>1.</w:t>
      </w:r>
      <w:r>
        <w:rPr>
          <w:rFonts w:ascii="CCA Arial CE" w:eastAsia="CCA Arial CE" w:hAnsi="CCA Arial CE" w:cs="CCA Arial CE"/>
          <w:b/>
        </w:rPr>
        <w:t xml:space="preserve"> </w:t>
      </w:r>
      <w:r>
        <w:rPr>
          <w:rFonts w:ascii="CCA Arial CE" w:eastAsia="CCA Arial CE" w:hAnsi="CCA Arial CE" w:cs="CCA Arial CE"/>
          <w:b/>
        </w:rPr>
        <w:tab/>
      </w:r>
      <w:r>
        <w:t xml:space="preserve">Kupující se zavazuje zaplatit </w:t>
      </w:r>
      <w:r>
        <w:rPr>
          <w:b/>
        </w:rPr>
        <w:t xml:space="preserve"> </w:t>
      </w:r>
      <w:r>
        <w:t xml:space="preserve">prodávajícímu za předmět smlouvy kupní cenu, která činí: </w:t>
      </w:r>
    </w:p>
    <w:p w:rsidR="00CE682A" w:rsidRDefault="009D2613">
      <w:pPr>
        <w:pStyle w:val="Nadpis1"/>
        <w:ind w:left="1075"/>
      </w:pPr>
      <w:r>
        <w:t xml:space="preserve">808,0 CZK bez DPH 21%  </w:t>
      </w:r>
      <w:r>
        <w:tab/>
        <w:t xml:space="preserve">23 929,68 CZK DPH 21% </w:t>
      </w:r>
    </w:p>
    <w:p w:rsidR="00CE682A" w:rsidRDefault="009D2613">
      <w:pPr>
        <w:tabs>
          <w:tab w:val="center" w:pos="1080"/>
          <w:tab w:val="center" w:pos="4798"/>
        </w:tabs>
        <w:spacing w:after="0" w:line="259" w:lineRule="auto"/>
        <w:ind w:left="0" w:right="0" w:firstLine="0"/>
        <w:jc w:val="left"/>
      </w:pPr>
      <w:r>
        <w:rPr>
          <w:rFonts w:ascii="Calibri" w:eastAsia="Calibri" w:hAnsi="Calibri" w:cs="Calibri"/>
          <w:sz w:val="22"/>
        </w:rPr>
        <w:tab/>
      </w:r>
      <w:r>
        <w:rPr>
          <w:b/>
          <w:sz w:val="24"/>
        </w:rPr>
        <w:t xml:space="preserve"> </w:t>
      </w:r>
      <w:r>
        <w:rPr>
          <w:b/>
          <w:sz w:val="24"/>
        </w:rPr>
        <w:tab/>
        <w:t xml:space="preserve">189 737,68 CZK včetně DPH 21% </w:t>
      </w:r>
    </w:p>
    <w:p w:rsidR="00CE682A" w:rsidRDefault="009D2613">
      <w:pPr>
        <w:spacing w:after="0" w:line="259" w:lineRule="auto"/>
        <w:ind w:left="720" w:right="0" w:firstLine="0"/>
        <w:jc w:val="left"/>
      </w:pPr>
      <w:r>
        <w:rPr>
          <w:b/>
        </w:rPr>
        <w:t xml:space="preserve"> </w:t>
      </w:r>
    </w:p>
    <w:p w:rsidR="00CE682A" w:rsidRDefault="009D2613">
      <w:pPr>
        <w:ind w:left="1158" w:right="0"/>
      </w:pPr>
      <w:r>
        <w:t xml:space="preserve">Slovy: stoosmdesátdevěttisícsedmsettřicetsedmkorunšedesátosmhaléřů včetně DPH 21% </w:t>
      </w:r>
    </w:p>
    <w:p w:rsidR="00CE682A" w:rsidRDefault="009D2613">
      <w:pPr>
        <w:spacing w:after="0" w:line="259" w:lineRule="auto"/>
        <w:ind w:left="1148" w:right="0" w:firstLine="0"/>
        <w:jc w:val="left"/>
      </w:pPr>
      <w:r>
        <w:rPr>
          <w:sz w:val="24"/>
        </w:rPr>
        <w:t xml:space="preserve"> </w:t>
      </w:r>
    </w:p>
    <w:p w:rsidR="00CE682A" w:rsidRDefault="009D2613">
      <w:pPr>
        <w:ind w:left="1158" w:right="0"/>
      </w:pPr>
      <w:r>
        <w:t>Tato cena, která zahrnuje veškeré náklady prodávajícího, je</w:t>
      </w:r>
      <w:r>
        <w:rPr>
          <w:b/>
        </w:rPr>
        <w:t xml:space="preserve"> </w:t>
      </w:r>
      <w:r>
        <w:t>cenou nejvýše přípustnou a nepřekročitelnou a může být změněna jen při změn</w:t>
      </w:r>
      <w:r>
        <w:t xml:space="preserve">ě daňových předpisů.  </w:t>
      </w:r>
    </w:p>
    <w:p w:rsidR="00CE682A" w:rsidRDefault="009D2613">
      <w:pPr>
        <w:spacing w:after="31" w:line="259" w:lineRule="auto"/>
        <w:ind w:left="1068" w:right="0" w:firstLine="0"/>
        <w:jc w:val="left"/>
      </w:pPr>
      <w:r>
        <w:t xml:space="preserve"> </w:t>
      </w:r>
    </w:p>
    <w:p w:rsidR="00CE682A" w:rsidRDefault="009D2613">
      <w:pPr>
        <w:numPr>
          <w:ilvl w:val="0"/>
          <w:numId w:val="4"/>
        </w:numPr>
        <w:ind w:left="1132" w:right="0" w:hanging="427"/>
      </w:pPr>
      <w:r>
        <w:t>Kupující uhradí kupní cenu na základě faktury prodávajícího, která musí mít náležitosti daňového dokladu, uvedené v § 28 zák. č. 235/2004 Sb., o dani z přidané hodnoty, ve znění pozdějších předpisů, a v § 435 občanského zákoníku. F</w:t>
      </w:r>
      <w:r>
        <w:t xml:space="preserve">aktura musí být doložena protokolem o předání a převzetí zboží. </w:t>
      </w:r>
    </w:p>
    <w:p w:rsidR="00CE682A" w:rsidRDefault="009D2613">
      <w:pPr>
        <w:spacing w:after="31" w:line="259" w:lineRule="auto"/>
        <w:ind w:left="720" w:right="0" w:firstLine="0"/>
        <w:jc w:val="left"/>
      </w:pPr>
      <w:r>
        <w:t xml:space="preserve">  </w:t>
      </w:r>
    </w:p>
    <w:p w:rsidR="00CE682A" w:rsidRDefault="009D2613">
      <w:pPr>
        <w:numPr>
          <w:ilvl w:val="0"/>
          <w:numId w:val="4"/>
        </w:numPr>
        <w:ind w:left="1132" w:right="0" w:hanging="427"/>
      </w:pPr>
      <w:r>
        <w:t>Faktura je splatná do 30 dnů od jejího převzetí kupujícím. Pokud faktura neobsahuje všechny předepsané náležitosti a přílohy nebo obsahuje nesprávné údaje, kupující má právo fakturu ve lhů</w:t>
      </w:r>
      <w:r>
        <w:t xml:space="preserve">tě splatnosti vrátit k doplnění. Po obdržení opravné faktury běží kupujícímu nová lhůta k proplacení. </w:t>
      </w:r>
    </w:p>
    <w:p w:rsidR="00CE682A" w:rsidRDefault="009D2613">
      <w:pPr>
        <w:spacing w:after="32" w:line="259" w:lineRule="auto"/>
        <w:ind w:left="1080" w:right="0" w:firstLine="0"/>
        <w:jc w:val="left"/>
      </w:pPr>
      <w:r>
        <w:t xml:space="preserve"> </w:t>
      </w:r>
    </w:p>
    <w:p w:rsidR="00CE682A" w:rsidRDefault="009D2613">
      <w:pPr>
        <w:numPr>
          <w:ilvl w:val="0"/>
          <w:numId w:val="4"/>
        </w:numPr>
        <w:ind w:left="1132" w:right="0" w:hanging="427"/>
      </w:pPr>
      <w:r>
        <w:t xml:space="preserve">Dnem úhrady se rozumí den odepsání kupní ceny z účtu kupujícího v prospěch účtu prodávajícího. </w:t>
      </w:r>
    </w:p>
    <w:p w:rsidR="00CE682A" w:rsidRDefault="009D2613">
      <w:pPr>
        <w:spacing w:after="31" w:line="259" w:lineRule="auto"/>
        <w:ind w:left="720" w:right="0" w:firstLine="0"/>
        <w:jc w:val="left"/>
      </w:pPr>
      <w:r>
        <w:t xml:space="preserve"> </w:t>
      </w:r>
    </w:p>
    <w:p w:rsidR="00CE682A" w:rsidRDefault="009D2613">
      <w:pPr>
        <w:numPr>
          <w:ilvl w:val="0"/>
          <w:numId w:val="4"/>
        </w:numPr>
        <w:ind w:left="1132" w:right="0" w:hanging="427"/>
      </w:pPr>
      <w:r>
        <w:t xml:space="preserve">Prodávající prohlašuje, že na zboží neváznou práva třetí osoby. </w:t>
      </w:r>
      <w:r>
        <w:rPr>
          <w:b/>
          <w:sz w:val="24"/>
        </w:rPr>
        <w:t xml:space="preserve"> </w:t>
      </w:r>
      <w:r>
        <w:rPr>
          <w:b/>
          <w:sz w:val="24"/>
        </w:rPr>
        <w:tab/>
        <w:t xml:space="preserve"> </w:t>
      </w:r>
    </w:p>
    <w:p w:rsidR="00CE682A" w:rsidRDefault="009D2613">
      <w:pPr>
        <w:spacing w:after="0" w:line="259" w:lineRule="auto"/>
        <w:ind w:left="729" w:right="2"/>
        <w:jc w:val="center"/>
      </w:pPr>
      <w:r>
        <w:rPr>
          <w:b/>
          <w:sz w:val="24"/>
        </w:rPr>
        <w:lastRenderedPageBreak/>
        <w:t>V.</w:t>
      </w:r>
      <w:r>
        <w:rPr>
          <w:sz w:val="24"/>
        </w:rPr>
        <w:t xml:space="preserve"> </w:t>
      </w:r>
    </w:p>
    <w:p w:rsidR="00CE682A" w:rsidRDefault="009D2613">
      <w:pPr>
        <w:spacing w:after="0" w:line="259" w:lineRule="auto"/>
        <w:ind w:left="729" w:right="5"/>
        <w:jc w:val="center"/>
      </w:pPr>
      <w:r>
        <w:rPr>
          <w:b/>
          <w:sz w:val="24"/>
        </w:rPr>
        <w:t xml:space="preserve">Záruční doba a vady zboží </w:t>
      </w:r>
    </w:p>
    <w:p w:rsidR="00CE682A" w:rsidRDefault="009D2613">
      <w:pPr>
        <w:spacing w:after="0" w:line="259" w:lineRule="auto"/>
        <w:ind w:left="775" w:right="0" w:firstLine="0"/>
        <w:jc w:val="center"/>
      </w:pPr>
      <w:r>
        <w:rPr>
          <w:b/>
          <w:sz w:val="24"/>
        </w:rPr>
        <w:t xml:space="preserve"> </w:t>
      </w:r>
    </w:p>
    <w:p w:rsidR="00CE682A" w:rsidRDefault="009D2613">
      <w:pPr>
        <w:spacing w:after="31" w:line="259" w:lineRule="auto"/>
        <w:ind w:left="437" w:right="0" w:firstLine="0"/>
        <w:jc w:val="left"/>
      </w:pPr>
      <w:r>
        <w:t xml:space="preserve"> </w:t>
      </w:r>
    </w:p>
    <w:p w:rsidR="00CE682A" w:rsidRDefault="009D2613">
      <w:pPr>
        <w:numPr>
          <w:ilvl w:val="1"/>
          <w:numId w:val="4"/>
        </w:numPr>
        <w:ind w:right="0" w:hanging="360"/>
      </w:pPr>
      <w:r>
        <w:t>Nemá-li zboží vlastnosti stanovené touto smlouvou a ustanovením § 2095, 2096 a 2097 občanského zákoníku, má vady. Za vady se považuje i dodání jiného zbo</w:t>
      </w:r>
      <w:r>
        <w:t xml:space="preserve">ží, než určuje smlouva. Vadou zboží jsou rovněž vady v dokladech, nutných k užívání zboží. </w:t>
      </w:r>
    </w:p>
    <w:p w:rsidR="00CE682A" w:rsidRDefault="009D2613">
      <w:pPr>
        <w:spacing w:after="31" w:line="259" w:lineRule="auto"/>
        <w:ind w:left="1080" w:right="0" w:firstLine="0"/>
        <w:jc w:val="left"/>
      </w:pPr>
      <w:r>
        <w:t xml:space="preserve"> </w:t>
      </w:r>
    </w:p>
    <w:p w:rsidR="00CE682A" w:rsidRDefault="009D2613">
      <w:pPr>
        <w:numPr>
          <w:ilvl w:val="1"/>
          <w:numId w:val="4"/>
        </w:numPr>
        <w:ind w:right="0" w:hanging="360"/>
      </w:pPr>
      <w:r>
        <w:t>Prodávající se zaručuje, že zboží bude v záruční době plně způsobilé pro použití k účelu stanovenému v této smlouvě, a není-li účel v této smlouvě stanoven, k úče</w:t>
      </w:r>
      <w:r>
        <w:t xml:space="preserve">lu obvyklému a dále, že si zboží zachová vlastnosti stanovené touto smlouvou a ustanoveními § 2095 a 2096 občanského zákoníku (záruka za jakost). Záruční doba je sjednána v délce 24 měsíců.  </w:t>
      </w:r>
    </w:p>
    <w:p w:rsidR="00CE682A" w:rsidRDefault="009D2613">
      <w:pPr>
        <w:spacing w:after="31" w:line="259" w:lineRule="auto"/>
        <w:ind w:left="1428" w:right="0" w:firstLine="0"/>
        <w:jc w:val="left"/>
      </w:pPr>
      <w:r>
        <w:t xml:space="preserve"> </w:t>
      </w:r>
    </w:p>
    <w:p w:rsidR="00CE682A" w:rsidRDefault="009D2613">
      <w:pPr>
        <w:numPr>
          <w:ilvl w:val="1"/>
          <w:numId w:val="4"/>
        </w:numPr>
        <w:ind w:right="0" w:hanging="360"/>
      </w:pPr>
      <w:r>
        <w:t xml:space="preserve">Kupující je povinen bez zbytečného odkladu (resp. podle dohodnutých podmínek) oznámit prodávajícímu zjištěné vady dodaného zboží poté, co je zjistil, resp. kdy je zjistil během záruční doby, při vynaložení dostatečné péče. </w:t>
      </w:r>
    </w:p>
    <w:p w:rsidR="00CE682A" w:rsidRDefault="009D2613">
      <w:pPr>
        <w:spacing w:after="32" w:line="259" w:lineRule="auto"/>
        <w:ind w:left="1080" w:right="0" w:firstLine="0"/>
        <w:jc w:val="left"/>
      </w:pPr>
      <w:r>
        <w:t xml:space="preserve"> </w:t>
      </w:r>
    </w:p>
    <w:p w:rsidR="00CE682A" w:rsidRDefault="009D2613">
      <w:pPr>
        <w:numPr>
          <w:ilvl w:val="1"/>
          <w:numId w:val="4"/>
        </w:numPr>
        <w:ind w:right="0" w:hanging="360"/>
      </w:pPr>
      <w:r>
        <w:t>V případě, že kupující v záruč</w:t>
      </w:r>
      <w:r>
        <w:t>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w:t>
      </w:r>
      <w:r>
        <w:t xml:space="preserve"> ceny, a to ve lhůtě bez zbytečného odkladu po oznámení vady kupujícím. Místo uplatnění výše uvedených práv z vadného plnění může kupující v případě, že má zboží vady, odstoupit od Smlouvy. Prodávající nese veškeré náklady spojené s odstraňováním vad, a to</w:t>
      </w:r>
      <w:r>
        <w:t xml:space="preserve"> včetně nákladů spojených s přepravou zboží. </w:t>
      </w:r>
    </w:p>
    <w:p w:rsidR="00CE682A" w:rsidRDefault="009D2613">
      <w:pPr>
        <w:spacing w:after="101" w:line="259" w:lineRule="auto"/>
        <w:ind w:left="1080" w:right="0" w:firstLine="0"/>
        <w:jc w:val="left"/>
      </w:pPr>
      <w:r>
        <w:t xml:space="preserve"> </w:t>
      </w:r>
    </w:p>
    <w:p w:rsidR="00CE682A" w:rsidRDefault="009D2613">
      <w:pPr>
        <w:numPr>
          <w:ilvl w:val="1"/>
          <w:numId w:val="4"/>
        </w:numPr>
        <w:ind w:right="0" w:hanging="360"/>
      </w:pPr>
      <w:r>
        <w:t xml:space="preserve">Uplatní-li kupující právo z vadného plnění, potvrdí mu prodávající v písemné formě, kdy kupující právo uplatnil, jakož i provedení opravy a dobu jejího trvání, případně skutečnost, že opravu zboží neprovedl. </w:t>
      </w:r>
      <w:r>
        <w:rPr>
          <w:sz w:val="24"/>
        </w:rPr>
        <w:t xml:space="preserve"> </w:t>
      </w:r>
    </w:p>
    <w:p w:rsidR="00CE682A" w:rsidRDefault="009D2613">
      <w:pPr>
        <w:spacing w:after="0" w:line="259" w:lineRule="auto"/>
        <w:ind w:left="1428" w:right="0" w:firstLine="0"/>
        <w:jc w:val="left"/>
      </w:pPr>
      <w:r>
        <w:rPr>
          <w:sz w:val="24"/>
        </w:rPr>
        <w:t xml:space="preserve"> </w:t>
      </w:r>
    </w:p>
    <w:p w:rsidR="00CE682A" w:rsidRDefault="009D2613">
      <w:pPr>
        <w:spacing w:after="0" w:line="259" w:lineRule="auto"/>
        <w:ind w:left="1080" w:right="0" w:firstLine="0"/>
        <w:jc w:val="left"/>
      </w:pPr>
      <w:r>
        <w:rPr>
          <w:sz w:val="24"/>
        </w:rPr>
        <w:t xml:space="preserve"> </w:t>
      </w:r>
    </w:p>
    <w:p w:rsidR="00CE682A" w:rsidRDefault="009D2613">
      <w:pPr>
        <w:spacing w:after="0" w:line="259" w:lineRule="auto"/>
        <w:ind w:left="720" w:right="0" w:firstLine="0"/>
        <w:jc w:val="left"/>
      </w:pPr>
      <w:r>
        <w:rPr>
          <w:sz w:val="24"/>
        </w:rPr>
        <w:t xml:space="preserve"> </w:t>
      </w:r>
    </w:p>
    <w:p w:rsidR="00CE682A" w:rsidRDefault="009D2613">
      <w:pPr>
        <w:spacing w:after="0" w:line="259" w:lineRule="auto"/>
        <w:ind w:left="729" w:right="3"/>
        <w:jc w:val="center"/>
      </w:pPr>
      <w:r>
        <w:rPr>
          <w:b/>
          <w:sz w:val="24"/>
        </w:rPr>
        <w:t xml:space="preserve">VI. </w:t>
      </w:r>
    </w:p>
    <w:p w:rsidR="00CE682A" w:rsidRDefault="009D2613">
      <w:pPr>
        <w:spacing w:after="0" w:line="259" w:lineRule="auto"/>
        <w:ind w:left="2576" w:right="0"/>
        <w:jc w:val="left"/>
      </w:pPr>
      <w:r>
        <w:rPr>
          <w:b/>
          <w:sz w:val="24"/>
        </w:rPr>
        <w:t xml:space="preserve">Nabytí vlastnického práva, nebezpečí škody na zboží </w:t>
      </w:r>
    </w:p>
    <w:p w:rsidR="00CE682A" w:rsidRDefault="009D2613">
      <w:pPr>
        <w:spacing w:after="0" w:line="259" w:lineRule="auto"/>
        <w:ind w:left="720" w:right="0" w:firstLine="0"/>
        <w:jc w:val="left"/>
      </w:pPr>
      <w:r>
        <w:rPr>
          <w:b/>
          <w:sz w:val="24"/>
        </w:rPr>
        <w:t xml:space="preserve"> </w:t>
      </w:r>
    </w:p>
    <w:p w:rsidR="00CE682A" w:rsidRDefault="009D2613">
      <w:pPr>
        <w:numPr>
          <w:ilvl w:val="1"/>
          <w:numId w:val="5"/>
        </w:numPr>
        <w:ind w:left="988" w:right="0" w:hanging="283"/>
      </w:pPr>
      <w:r>
        <w:t xml:space="preserve">Vlastnictví  k prodávanému zboží přechází na kupujícího zaplacením kupní ceny dle čl. IV. odst. 4 smlouvy. </w:t>
      </w:r>
    </w:p>
    <w:p w:rsidR="00CE682A" w:rsidRDefault="009D2613">
      <w:pPr>
        <w:spacing w:after="0" w:line="259" w:lineRule="auto"/>
        <w:ind w:left="720" w:right="0" w:firstLine="0"/>
        <w:jc w:val="left"/>
      </w:pPr>
      <w:r>
        <w:t xml:space="preserve"> </w:t>
      </w:r>
    </w:p>
    <w:p w:rsidR="00CE682A" w:rsidRDefault="009D2613">
      <w:pPr>
        <w:numPr>
          <w:ilvl w:val="1"/>
          <w:numId w:val="5"/>
        </w:numPr>
        <w:ind w:left="988" w:right="0" w:hanging="283"/>
      </w:pPr>
      <w:r>
        <w:t xml:space="preserve">Nebezpečí škody na zboží přechází na kupujícího podepsáním protokolu o převzetí zboží při jeho faktickém vydání.   </w:t>
      </w:r>
    </w:p>
    <w:p w:rsidR="00CE682A" w:rsidRDefault="009D2613">
      <w:pPr>
        <w:spacing w:after="0" w:line="259" w:lineRule="auto"/>
        <w:ind w:left="775" w:right="0" w:firstLine="0"/>
        <w:jc w:val="center"/>
      </w:pPr>
      <w:r>
        <w:rPr>
          <w:b/>
          <w:sz w:val="24"/>
        </w:rPr>
        <w:t xml:space="preserve"> </w:t>
      </w:r>
    </w:p>
    <w:p w:rsidR="00CE682A" w:rsidRDefault="009D2613">
      <w:pPr>
        <w:spacing w:after="0" w:line="259" w:lineRule="auto"/>
        <w:ind w:left="775" w:right="0" w:firstLine="0"/>
        <w:jc w:val="center"/>
      </w:pPr>
      <w:r>
        <w:rPr>
          <w:b/>
          <w:sz w:val="24"/>
        </w:rPr>
        <w:t xml:space="preserve"> </w:t>
      </w:r>
    </w:p>
    <w:p w:rsidR="00CE682A" w:rsidRDefault="009D2613">
      <w:pPr>
        <w:spacing w:after="0" w:line="259" w:lineRule="auto"/>
        <w:ind w:left="729" w:right="3"/>
        <w:jc w:val="center"/>
      </w:pPr>
      <w:r>
        <w:rPr>
          <w:b/>
          <w:sz w:val="24"/>
        </w:rPr>
        <w:t xml:space="preserve">VII. </w:t>
      </w:r>
    </w:p>
    <w:p w:rsidR="00CE682A" w:rsidRDefault="009D2613">
      <w:pPr>
        <w:spacing w:after="0" w:line="259" w:lineRule="auto"/>
        <w:ind w:left="729" w:right="5"/>
        <w:jc w:val="center"/>
      </w:pPr>
      <w:r>
        <w:rPr>
          <w:b/>
          <w:sz w:val="24"/>
        </w:rPr>
        <w:t xml:space="preserve">Smluvní pokuty </w:t>
      </w:r>
    </w:p>
    <w:p w:rsidR="00CE682A" w:rsidRDefault="009D2613">
      <w:pPr>
        <w:spacing w:after="0" w:line="259" w:lineRule="auto"/>
        <w:ind w:left="720" w:right="0" w:firstLine="0"/>
        <w:jc w:val="left"/>
      </w:pPr>
      <w:r>
        <w:rPr>
          <w:b/>
          <w:sz w:val="24"/>
        </w:rPr>
        <w:t xml:space="preserve"> </w:t>
      </w:r>
    </w:p>
    <w:p w:rsidR="00CE682A" w:rsidRDefault="009D2613">
      <w:pPr>
        <w:numPr>
          <w:ilvl w:val="1"/>
          <w:numId w:val="6"/>
        </w:numPr>
        <w:ind w:left="1132" w:right="0" w:hanging="427"/>
      </w:pPr>
      <w:r>
        <w:t xml:space="preserve">Smluvní pokutu ve výši 0,5% z kupní ceny </w:t>
      </w:r>
      <w:r>
        <w:t xml:space="preserve">zaplatí prodávající kupujícímu za každý započatý den prodlení s dodáním zboží podle čl. III. odst. 1 této smlouvy. Tím není dotčeno právo na náhradu škody. </w:t>
      </w:r>
    </w:p>
    <w:p w:rsidR="00CE682A" w:rsidRDefault="009D2613">
      <w:pPr>
        <w:spacing w:after="31" w:line="259" w:lineRule="auto"/>
        <w:ind w:left="1080" w:right="0" w:firstLine="0"/>
        <w:jc w:val="left"/>
      </w:pPr>
      <w:r>
        <w:t xml:space="preserve"> </w:t>
      </w:r>
    </w:p>
    <w:p w:rsidR="00CE682A" w:rsidRDefault="009D2613">
      <w:pPr>
        <w:numPr>
          <w:ilvl w:val="1"/>
          <w:numId w:val="6"/>
        </w:numPr>
        <w:ind w:left="1132" w:right="0" w:hanging="427"/>
      </w:pPr>
      <w:r>
        <w:t xml:space="preserve">V </w:t>
      </w:r>
      <w:r>
        <w:t xml:space="preserve">případě prodlení kupujícího se zaplacením kupní ceny je prodávající oprávněn po něm požadovat úrok z prodlení ve výši stanovené zvláštním právním předpisem. </w:t>
      </w:r>
    </w:p>
    <w:p w:rsidR="00CE682A" w:rsidRDefault="009D2613">
      <w:pPr>
        <w:spacing w:after="0" w:line="259" w:lineRule="auto"/>
        <w:ind w:left="0" w:right="0" w:firstLine="0"/>
        <w:jc w:val="left"/>
      </w:pPr>
      <w:r>
        <w:rPr>
          <w:b/>
        </w:rPr>
        <w:t xml:space="preserve"> </w:t>
      </w:r>
    </w:p>
    <w:p w:rsidR="00CE682A" w:rsidRDefault="009D2613">
      <w:pPr>
        <w:spacing w:after="0" w:line="259" w:lineRule="auto"/>
        <w:ind w:left="729" w:right="1"/>
        <w:jc w:val="center"/>
      </w:pPr>
      <w:r>
        <w:rPr>
          <w:b/>
          <w:sz w:val="24"/>
        </w:rPr>
        <w:t xml:space="preserve">VIII. </w:t>
      </w:r>
    </w:p>
    <w:p w:rsidR="00CE682A" w:rsidRDefault="009D2613">
      <w:pPr>
        <w:spacing w:after="0" w:line="259" w:lineRule="auto"/>
        <w:ind w:left="729" w:right="2"/>
        <w:jc w:val="center"/>
      </w:pPr>
      <w:r>
        <w:rPr>
          <w:b/>
          <w:sz w:val="24"/>
        </w:rPr>
        <w:t xml:space="preserve">Závěrečná ustanovení </w:t>
      </w:r>
    </w:p>
    <w:p w:rsidR="00CE682A" w:rsidRDefault="009D2613">
      <w:pPr>
        <w:spacing w:after="0" w:line="259" w:lineRule="auto"/>
        <w:ind w:left="720" w:right="0" w:firstLine="0"/>
        <w:jc w:val="left"/>
      </w:pPr>
      <w:r>
        <w:rPr>
          <w:b/>
        </w:rPr>
        <w:t xml:space="preserve"> </w:t>
      </w:r>
    </w:p>
    <w:p w:rsidR="00CE682A" w:rsidRDefault="009D2613">
      <w:pPr>
        <w:spacing w:after="57" w:line="259" w:lineRule="auto"/>
        <w:ind w:left="1080" w:right="0" w:firstLine="0"/>
        <w:jc w:val="left"/>
      </w:pPr>
      <w:r>
        <w:t xml:space="preserve"> </w:t>
      </w:r>
    </w:p>
    <w:p w:rsidR="00CE682A" w:rsidRDefault="009D2613">
      <w:pPr>
        <w:numPr>
          <w:ilvl w:val="0"/>
          <w:numId w:val="7"/>
        </w:numPr>
        <w:ind w:left="1132" w:right="0" w:hanging="427"/>
      </w:pPr>
      <w:r>
        <w:lastRenderedPageBreak/>
        <w:t xml:space="preserve">Účastníci této smlouvy prohlašují, že smlouva byla sjednána na </w:t>
      </w:r>
      <w:r>
        <w:t xml:space="preserve">základě jejich pravé a svobodné vůle, že si její obsah přečetli a bezvýhradně s ním souhlasí, což stvrzují svými vlastnoručními podpisy. </w:t>
      </w:r>
    </w:p>
    <w:p w:rsidR="00CE682A" w:rsidRDefault="009D2613">
      <w:pPr>
        <w:spacing w:after="60" w:line="259" w:lineRule="auto"/>
        <w:ind w:left="1080" w:right="0" w:firstLine="0"/>
        <w:jc w:val="left"/>
      </w:pPr>
      <w:r>
        <w:t xml:space="preserve"> </w:t>
      </w:r>
    </w:p>
    <w:p w:rsidR="00CE682A" w:rsidRDefault="009D2613">
      <w:pPr>
        <w:numPr>
          <w:ilvl w:val="0"/>
          <w:numId w:val="7"/>
        </w:numPr>
        <w:ind w:left="1132" w:right="0" w:hanging="427"/>
      </w:pPr>
      <w:r>
        <w:t xml:space="preserve">Prodávající se zavazuje během plnění smlouvy i po ukončení smlouvy, zachovávat mlčenlivost o všech skutečnostech, o kterých se dozví od kupujícího v souvislosti s plněním smlouvy. </w:t>
      </w:r>
    </w:p>
    <w:p w:rsidR="00CE682A" w:rsidRDefault="009D2613">
      <w:pPr>
        <w:spacing w:after="60" w:line="259" w:lineRule="auto"/>
        <w:ind w:left="1080" w:right="0" w:firstLine="0"/>
        <w:jc w:val="left"/>
      </w:pPr>
      <w:r>
        <w:t xml:space="preserve"> </w:t>
      </w:r>
    </w:p>
    <w:p w:rsidR="00CE682A" w:rsidRDefault="009D2613">
      <w:pPr>
        <w:numPr>
          <w:ilvl w:val="0"/>
          <w:numId w:val="7"/>
        </w:numPr>
        <w:ind w:left="1132" w:right="0" w:hanging="427"/>
      </w:pPr>
      <w:r>
        <w:t xml:space="preserve">Za porušení povinnosti mlčenlivosti specifikované v čl. VIII. odst. 2 je </w:t>
      </w:r>
      <w:r>
        <w:t xml:space="preserve">prodávající povinen uhradit kupujícímu smluvní pokutu ve výši 1.000 Kč, a to za každý jednotlivý případ porušení povinnosti. </w:t>
      </w:r>
    </w:p>
    <w:p w:rsidR="00CE682A" w:rsidRDefault="009D2613">
      <w:pPr>
        <w:spacing w:after="60" w:line="259" w:lineRule="auto"/>
        <w:ind w:left="1428" w:right="0" w:firstLine="0"/>
        <w:jc w:val="left"/>
      </w:pPr>
      <w:r>
        <w:t xml:space="preserve"> </w:t>
      </w:r>
    </w:p>
    <w:p w:rsidR="00CE682A" w:rsidRDefault="009D2613">
      <w:pPr>
        <w:numPr>
          <w:ilvl w:val="0"/>
          <w:numId w:val="7"/>
        </w:numPr>
        <w:ind w:left="1132" w:right="0" w:hanging="427"/>
      </w:pPr>
      <w:r>
        <w:t>Dojde-li ke změně statutu prodávajícího, je smluvní strana povinna oznámit tuto skutečnost kupujícímu ve lhůtě 7 dnů od zápisu t</w:t>
      </w:r>
      <w:r>
        <w:t>éto změny v obchodním rejstříku. Kupující je v tomto případě oprávněn písemně vypovědět smlouvu z důvodu změny statutu druhé smluvní strany. Výpovědní lhůta činí 2 měsíce a počíná běžet od prvního dne měsíce následujícího po doručení výpovědi druhé smluvní</w:t>
      </w:r>
      <w:r>
        <w:t xml:space="preserve"> straně. </w:t>
      </w:r>
    </w:p>
    <w:p w:rsidR="00CE682A" w:rsidRDefault="009D2613">
      <w:pPr>
        <w:spacing w:after="60" w:line="259" w:lineRule="auto"/>
        <w:ind w:left="720" w:right="0" w:firstLine="0"/>
        <w:jc w:val="left"/>
      </w:pPr>
      <w:r>
        <w:t xml:space="preserve"> </w:t>
      </w:r>
    </w:p>
    <w:p w:rsidR="00CE682A" w:rsidRDefault="009D2613">
      <w:pPr>
        <w:numPr>
          <w:ilvl w:val="0"/>
          <w:numId w:val="7"/>
        </w:numPr>
        <w:ind w:left="1132" w:right="0" w:hanging="427"/>
      </w:pPr>
      <w:r>
        <w:t xml:space="preserve">Prodávající je podle § 2 písm. e) zákona č. 320/2001 Sb., o finanční kontrole ve veřejné správě a o změně některých zákonů, v platném znění, osobou povinnou spolupůsobit při výkonu finanční kontroly prováděné v souvislosti s úhradou zboží nebo </w:t>
      </w:r>
      <w:r>
        <w:t xml:space="preserve">služeb z veřejných výdajů.  </w:t>
      </w:r>
    </w:p>
    <w:p w:rsidR="00CE682A" w:rsidRDefault="009D2613">
      <w:pPr>
        <w:spacing w:after="60" w:line="259" w:lineRule="auto"/>
        <w:ind w:left="1428" w:right="0" w:firstLine="0"/>
        <w:jc w:val="left"/>
      </w:pPr>
      <w:r>
        <w:t xml:space="preserve"> </w:t>
      </w:r>
    </w:p>
    <w:p w:rsidR="00CE682A" w:rsidRDefault="009D2613">
      <w:pPr>
        <w:numPr>
          <w:ilvl w:val="0"/>
          <w:numId w:val="7"/>
        </w:numPr>
        <w:ind w:left="1132" w:right="0" w:hanging="427"/>
      </w:pPr>
      <w:r>
        <w:t xml:space="preserve">Obě smluvní strany prohlašují, že jsou si vědomy principu veřejnosti smlouvy podle zákona č. 106/1999 Sb., o svobodném přístupu k informacím, ve znění pozdějších předpisů a zákona č. 340/2015 Sb. o registru smluv. </w:t>
      </w:r>
    </w:p>
    <w:p w:rsidR="00CE682A" w:rsidRDefault="009D2613">
      <w:pPr>
        <w:spacing w:after="58" w:line="259" w:lineRule="auto"/>
        <w:ind w:left="1428" w:right="0" w:firstLine="0"/>
        <w:jc w:val="left"/>
      </w:pPr>
      <w:r>
        <w:t xml:space="preserve"> </w:t>
      </w:r>
    </w:p>
    <w:p w:rsidR="00CE682A" w:rsidRDefault="009D2613">
      <w:pPr>
        <w:numPr>
          <w:ilvl w:val="0"/>
          <w:numId w:val="7"/>
        </w:numPr>
        <w:ind w:left="1132" w:right="0" w:hanging="427"/>
      </w:pPr>
      <w:r>
        <w:t>Prodávaj</w:t>
      </w:r>
      <w:r>
        <w:t xml:space="preserve">ící podpisem smlouvy  </w:t>
      </w:r>
    </w:p>
    <w:p w:rsidR="00CE682A" w:rsidRDefault="009D2613">
      <w:pPr>
        <w:spacing w:after="57" w:line="259" w:lineRule="auto"/>
        <w:ind w:left="720" w:right="0" w:firstLine="0"/>
        <w:jc w:val="left"/>
      </w:pPr>
      <w:r>
        <w:t xml:space="preserve"> </w:t>
      </w:r>
    </w:p>
    <w:p w:rsidR="00CE682A" w:rsidRDefault="009D2613">
      <w:pPr>
        <w:numPr>
          <w:ilvl w:val="0"/>
          <w:numId w:val="7"/>
        </w:numPr>
        <w:ind w:left="1132" w:right="0" w:hanging="427"/>
      </w:pPr>
      <w:r>
        <w:t xml:space="preserve">Smlouvu je možno měnit či doplňovat pouze písemnými číslovanými dodatky, podepsanými k tomu oprávněnými zástupci obou smluvních stran. </w:t>
      </w:r>
    </w:p>
    <w:p w:rsidR="00CE682A" w:rsidRDefault="009D2613">
      <w:pPr>
        <w:spacing w:after="60" w:line="259" w:lineRule="auto"/>
        <w:ind w:left="720" w:right="0" w:firstLine="0"/>
        <w:jc w:val="left"/>
      </w:pPr>
      <w:r>
        <w:t xml:space="preserve"> </w:t>
      </w:r>
    </w:p>
    <w:p w:rsidR="00CE682A" w:rsidRDefault="009D2613">
      <w:pPr>
        <w:numPr>
          <w:ilvl w:val="0"/>
          <w:numId w:val="7"/>
        </w:numPr>
        <w:ind w:left="1132" w:right="0" w:hanging="427"/>
      </w:pPr>
      <w:r>
        <w:t xml:space="preserve">Tato smlouva nabývá platnosti a účinnosti dnem podpisu smluvních stran. </w:t>
      </w:r>
    </w:p>
    <w:p w:rsidR="00CE682A" w:rsidRDefault="009D2613">
      <w:pPr>
        <w:spacing w:after="56" w:line="259" w:lineRule="auto"/>
        <w:ind w:left="1148" w:right="0" w:firstLine="0"/>
        <w:jc w:val="left"/>
      </w:pPr>
      <w:r>
        <w:t xml:space="preserve"> </w:t>
      </w:r>
    </w:p>
    <w:p w:rsidR="00CE682A" w:rsidRDefault="009D2613">
      <w:pPr>
        <w:numPr>
          <w:ilvl w:val="0"/>
          <w:numId w:val="7"/>
        </w:numPr>
        <w:ind w:left="1132" w:right="0" w:hanging="427"/>
      </w:pPr>
      <w:r>
        <w:t xml:space="preserve">Přílohy </w:t>
      </w:r>
      <w:r>
        <w:t xml:space="preserve">této smlouvy tvoří: Příloha č. 1 – Specifikace dodávky </w:t>
      </w:r>
    </w:p>
    <w:p w:rsidR="00CE682A" w:rsidRDefault="009D2613">
      <w:pPr>
        <w:ind w:left="1158" w:right="0"/>
      </w:pPr>
      <w:r>
        <w:t xml:space="preserve">Příloha č. 2 – Čestné prohlášení prodávajícího ke střetu zájmů a mezinárodním sankcím proti Rusku a Bělorusku </w:t>
      </w:r>
    </w:p>
    <w:p w:rsidR="00CE682A" w:rsidRDefault="009D2613">
      <w:pPr>
        <w:spacing w:after="0" w:line="259" w:lineRule="auto"/>
        <w:ind w:left="1428" w:right="0" w:firstLine="0"/>
        <w:jc w:val="left"/>
      </w:pPr>
      <w:r>
        <w:t xml:space="preserve"> </w:t>
      </w:r>
    </w:p>
    <w:p w:rsidR="00CE682A" w:rsidRDefault="009D2613">
      <w:pPr>
        <w:spacing w:after="0" w:line="259" w:lineRule="auto"/>
        <w:ind w:left="1080" w:right="0" w:firstLine="0"/>
        <w:jc w:val="left"/>
      </w:pPr>
      <w:r>
        <w:t xml:space="preserve"> </w:t>
      </w:r>
    </w:p>
    <w:p w:rsidR="00CE682A" w:rsidRDefault="009D2613">
      <w:pPr>
        <w:spacing w:after="0" w:line="259" w:lineRule="auto"/>
        <w:ind w:left="1080" w:right="0" w:firstLine="0"/>
        <w:jc w:val="left"/>
      </w:pPr>
      <w:r>
        <w:t xml:space="preserve"> </w:t>
      </w:r>
    </w:p>
    <w:p w:rsidR="00CE682A" w:rsidRDefault="009D2613">
      <w:pPr>
        <w:spacing w:after="0" w:line="259" w:lineRule="auto"/>
        <w:ind w:left="1200" w:right="0" w:firstLine="0"/>
        <w:jc w:val="left"/>
      </w:pPr>
      <w:r>
        <w:t xml:space="preserve"> </w:t>
      </w:r>
    </w:p>
    <w:p w:rsidR="00CE682A" w:rsidRDefault="009D2613">
      <w:pPr>
        <w:spacing w:after="0" w:line="259" w:lineRule="auto"/>
        <w:ind w:left="1200" w:right="0" w:firstLine="0"/>
        <w:jc w:val="left"/>
      </w:pPr>
      <w:r>
        <w:t xml:space="preserve"> </w:t>
      </w:r>
    </w:p>
    <w:p w:rsidR="00CE682A" w:rsidRDefault="009D2613">
      <w:pPr>
        <w:spacing w:after="44" w:line="259" w:lineRule="auto"/>
        <w:ind w:left="1200" w:right="0" w:firstLine="0"/>
        <w:jc w:val="left"/>
      </w:pPr>
      <w:r>
        <w:t xml:space="preserve"> </w:t>
      </w:r>
    </w:p>
    <w:p w:rsidR="00CE682A" w:rsidRDefault="009D2613">
      <w:pPr>
        <w:tabs>
          <w:tab w:val="center" w:pos="2179"/>
          <w:tab w:val="center" w:pos="7647"/>
        </w:tabs>
        <w:ind w:left="0" w:right="0" w:firstLine="0"/>
        <w:jc w:val="left"/>
      </w:pPr>
      <w:r>
        <w:rPr>
          <w:rFonts w:ascii="Calibri" w:eastAsia="Calibri" w:hAnsi="Calibri" w:cs="Calibri"/>
          <w:sz w:val="22"/>
        </w:rPr>
        <w:tab/>
      </w:r>
      <w:r>
        <w:t>V Praze dne 21.6.2023</w:t>
      </w:r>
      <w:r>
        <w:rPr>
          <w:sz w:val="24"/>
        </w:rPr>
        <w:t xml:space="preserve"> </w:t>
      </w:r>
      <w:r>
        <w:rPr>
          <w:sz w:val="24"/>
        </w:rPr>
        <w:tab/>
      </w:r>
      <w:r>
        <w:t xml:space="preserve">V Chebu dne </w:t>
      </w:r>
    </w:p>
    <w:p w:rsidR="00CE682A" w:rsidRDefault="009D2613">
      <w:pPr>
        <w:spacing w:after="0" w:line="259" w:lineRule="auto"/>
        <w:ind w:left="5552" w:right="0" w:firstLine="0"/>
        <w:jc w:val="center"/>
      </w:pPr>
      <w:r>
        <w:t xml:space="preserve"> </w:t>
      </w:r>
    </w:p>
    <w:p w:rsidR="00CE682A" w:rsidRDefault="009D2613">
      <w:pPr>
        <w:spacing w:after="0" w:line="259" w:lineRule="auto"/>
        <w:ind w:left="5552" w:right="0" w:firstLine="0"/>
        <w:jc w:val="center"/>
      </w:pPr>
      <w:r>
        <w:t xml:space="preserve"> </w:t>
      </w:r>
    </w:p>
    <w:p w:rsidR="00CE682A" w:rsidRDefault="009D2613">
      <w:pPr>
        <w:spacing w:after="15" w:line="259" w:lineRule="auto"/>
        <w:ind w:left="1485" w:right="0" w:firstLine="0"/>
        <w:jc w:val="center"/>
      </w:pPr>
      <w:r>
        <w:t xml:space="preserve"> </w:t>
      </w:r>
    </w:p>
    <w:p w:rsidR="00CE682A" w:rsidRDefault="009D2613">
      <w:pPr>
        <w:spacing w:after="0" w:line="259" w:lineRule="auto"/>
        <w:ind w:left="1495" w:right="0" w:firstLine="0"/>
        <w:jc w:val="center"/>
      </w:pPr>
      <w:r>
        <w:rPr>
          <w:sz w:val="24"/>
        </w:rPr>
        <w:t xml:space="preserve"> </w:t>
      </w:r>
    </w:p>
    <w:p w:rsidR="00CE682A" w:rsidRDefault="009D2613">
      <w:pPr>
        <w:spacing w:after="14" w:line="259" w:lineRule="auto"/>
        <w:ind w:left="1308" w:right="0" w:firstLine="0"/>
        <w:jc w:val="left"/>
      </w:pPr>
      <w:r>
        <w:t xml:space="preserve"> </w:t>
      </w:r>
      <w:r>
        <w:tab/>
        <w:t xml:space="preserve"> </w:t>
      </w:r>
    </w:p>
    <w:p w:rsidR="00CE682A" w:rsidRDefault="009D2613">
      <w:pPr>
        <w:spacing w:after="11" w:line="259" w:lineRule="auto"/>
        <w:ind w:left="1308" w:right="0" w:firstLine="0"/>
        <w:jc w:val="left"/>
      </w:pPr>
      <w:r>
        <w:t xml:space="preserve"> </w:t>
      </w:r>
      <w:r>
        <w:tab/>
        <w:t xml:space="preserve"> </w:t>
      </w:r>
    </w:p>
    <w:p w:rsidR="00CE682A" w:rsidRDefault="009D2613">
      <w:pPr>
        <w:tabs>
          <w:tab w:val="center" w:pos="1986"/>
          <w:tab w:val="center" w:pos="7646"/>
        </w:tabs>
        <w:spacing w:after="51"/>
        <w:ind w:left="0" w:right="0" w:firstLine="0"/>
        <w:jc w:val="left"/>
      </w:pPr>
      <w:r>
        <w:rPr>
          <w:rFonts w:ascii="Calibri" w:eastAsia="Calibri" w:hAnsi="Calibri" w:cs="Calibri"/>
          <w:sz w:val="22"/>
        </w:rPr>
        <w:tab/>
      </w:r>
      <w:r>
        <w:t xml:space="preserve">Za prodávajícího: </w:t>
      </w:r>
      <w:r>
        <w:tab/>
      </w:r>
      <w:r>
        <w:t xml:space="preserve">Za kupujícího: </w:t>
      </w:r>
    </w:p>
    <w:p w:rsidR="00CE682A" w:rsidRDefault="009D2613">
      <w:pPr>
        <w:pStyle w:val="Nadpis1"/>
        <w:numPr>
          <w:ilvl w:val="0"/>
          <w:numId w:val="0"/>
        </w:numPr>
        <w:tabs>
          <w:tab w:val="center" w:pos="1308"/>
          <w:tab w:val="center" w:pos="7647"/>
        </w:tabs>
      </w:pPr>
      <w:r>
        <w:rPr>
          <w:rFonts w:ascii="Calibri" w:eastAsia="Calibri" w:hAnsi="Calibri" w:cs="Calibri"/>
          <w:sz w:val="22"/>
        </w:rPr>
        <w:tab/>
      </w:r>
      <w:r>
        <w:rPr>
          <w:sz w:val="20"/>
        </w:rPr>
        <w:t xml:space="preserve"> </w:t>
      </w:r>
      <w:r>
        <w:rPr>
          <w:sz w:val="20"/>
        </w:rPr>
        <w:tab/>
      </w:r>
      <w:r>
        <w:t>Mgr. Robert Plášil</w:t>
      </w:r>
      <w:r>
        <w:rPr>
          <w:sz w:val="20"/>
        </w:rPr>
        <w:t xml:space="preserve"> </w:t>
      </w:r>
    </w:p>
    <w:p w:rsidR="00CE682A" w:rsidRDefault="009D2613">
      <w:pPr>
        <w:tabs>
          <w:tab w:val="center" w:pos="1308"/>
          <w:tab w:val="center" w:pos="7646"/>
        </w:tabs>
        <w:ind w:left="0" w:right="0" w:firstLine="0"/>
        <w:jc w:val="left"/>
      </w:pPr>
      <w:r>
        <w:rPr>
          <w:rFonts w:ascii="Calibri" w:eastAsia="Calibri" w:hAnsi="Calibri" w:cs="Calibri"/>
          <w:sz w:val="22"/>
        </w:rPr>
        <w:tab/>
      </w:r>
      <w:r>
        <w:t xml:space="preserve"> </w:t>
      </w:r>
      <w:r>
        <w:tab/>
        <w:t>Předseda Okresního soudu v Chebu</w:t>
      </w:r>
      <w:r>
        <w:rPr>
          <w:sz w:val="24"/>
        </w:rPr>
        <w:t xml:space="preserve"> </w:t>
      </w:r>
    </w:p>
    <w:p w:rsidR="00CE682A" w:rsidRDefault="009D2613">
      <w:pPr>
        <w:spacing w:after="0" w:line="259" w:lineRule="auto"/>
        <w:ind w:left="1308" w:right="0" w:firstLine="0"/>
        <w:jc w:val="left"/>
      </w:pPr>
      <w:r>
        <w:rPr>
          <w:sz w:val="24"/>
        </w:rPr>
        <w:t xml:space="preserve"> </w:t>
      </w:r>
    </w:p>
    <w:p w:rsidR="00CE682A" w:rsidRDefault="009D2613">
      <w:pPr>
        <w:spacing w:after="0" w:line="259" w:lineRule="auto"/>
        <w:ind w:left="720" w:right="0" w:firstLine="0"/>
        <w:jc w:val="left"/>
      </w:pPr>
      <w:r>
        <w:rPr>
          <w:b/>
          <w:sz w:val="22"/>
        </w:rPr>
        <w:t xml:space="preserve"> </w:t>
      </w:r>
      <w:r>
        <w:rPr>
          <w:b/>
          <w:sz w:val="22"/>
        </w:rPr>
        <w:tab/>
        <w:t xml:space="preserve"> </w:t>
      </w:r>
    </w:p>
    <w:p w:rsidR="00CE682A" w:rsidRDefault="009D2613">
      <w:pPr>
        <w:spacing w:after="0" w:line="259" w:lineRule="auto"/>
        <w:ind w:left="771" w:right="0" w:firstLine="0"/>
        <w:jc w:val="center"/>
      </w:pPr>
      <w:r>
        <w:rPr>
          <w:b/>
          <w:sz w:val="22"/>
        </w:rPr>
        <w:lastRenderedPageBreak/>
        <w:t xml:space="preserve"> </w:t>
      </w:r>
    </w:p>
    <w:p w:rsidR="00CE682A" w:rsidRDefault="009D2613">
      <w:pPr>
        <w:spacing w:after="0" w:line="259" w:lineRule="auto"/>
        <w:ind w:left="727" w:right="0"/>
        <w:jc w:val="center"/>
      </w:pPr>
      <w:r>
        <w:rPr>
          <w:b/>
          <w:sz w:val="22"/>
        </w:rPr>
        <w:t xml:space="preserve">Příloha č. 1 - Specifikace dodávky </w:t>
      </w:r>
    </w:p>
    <w:p w:rsidR="00CE682A" w:rsidRDefault="009D2613">
      <w:pPr>
        <w:spacing w:after="0" w:line="259" w:lineRule="auto"/>
        <w:ind w:left="771" w:right="0" w:firstLine="0"/>
        <w:jc w:val="center"/>
      </w:pPr>
      <w:r>
        <w:rPr>
          <w:b/>
          <w:sz w:val="22"/>
        </w:rPr>
        <w:t xml:space="preserve"> </w:t>
      </w:r>
    </w:p>
    <w:p w:rsidR="00CE682A" w:rsidRDefault="009D2613">
      <w:pPr>
        <w:spacing w:after="0" w:line="259" w:lineRule="auto"/>
        <w:ind w:left="765" w:right="0" w:firstLine="0"/>
        <w:jc w:val="center"/>
      </w:pPr>
      <w:r>
        <w:rPr>
          <w:b/>
        </w:rPr>
        <w:t xml:space="preserve"> </w:t>
      </w:r>
    </w:p>
    <w:p w:rsidR="00CE682A" w:rsidRDefault="009D2613">
      <w:pPr>
        <w:spacing w:after="1" w:line="259" w:lineRule="auto"/>
        <w:ind w:left="720" w:right="0" w:firstLine="0"/>
        <w:jc w:val="left"/>
      </w:pPr>
      <w:r>
        <w:t xml:space="preserve"> </w:t>
      </w:r>
    </w:p>
    <w:p w:rsidR="00CE682A" w:rsidRDefault="009D2613">
      <w:pPr>
        <w:spacing w:after="48"/>
        <w:ind w:left="705" w:right="0" w:firstLine="0"/>
      </w:pPr>
      <w:r>
        <w:rPr>
          <w:sz w:val="22"/>
        </w:rPr>
        <w:t xml:space="preserve">Dodávka zahrnuje:  </w:t>
      </w:r>
    </w:p>
    <w:p w:rsidR="00CE682A" w:rsidRDefault="009D2613">
      <w:pPr>
        <w:numPr>
          <w:ilvl w:val="0"/>
          <w:numId w:val="8"/>
        </w:numPr>
        <w:spacing w:after="48"/>
        <w:ind w:right="0" w:hanging="360"/>
      </w:pPr>
      <w:r>
        <w:rPr>
          <w:sz w:val="22"/>
        </w:rPr>
        <w:t xml:space="preserve">40 kusů baterií CSB HRL12200WFR pro UPS EATON Powerware 9390 60kVA doporučených výrobcem (celá sada) </w:t>
      </w:r>
    </w:p>
    <w:p w:rsidR="00CE682A" w:rsidRDefault="009D2613">
      <w:pPr>
        <w:numPr>
          <w:ilvl w:val="0"/>
          <w:numId w:val="8"/>
        </w:numPr>
        <w:spacing w:after="48"/>
        <w:ind w:right="0" w:hanging="360"/>
      </w:pPr>
      <w:r>
        <w:rPr>
          <w:sz w:val="22"/>
        </w:rPr>
        <w:t xml:space="preserve">dodání </w:t>
      </w:r>
      <w:r>
        <w:rPr>
          <w:sz w:val="22"/>
        </w:rPr>
        <w:t xml:space="preserve">do místa plnění, UPS se nachází v prvním podzemním podlaží (lze zaparkovat na dvoře a odtud je bezbariérový přístup, max. šířka 70 cm, cca 120 m, nosnost výtahu je 1.000 Kg) </w:t>
      </w:r>
    </w:p>
    <w:p w:rsidR="00CE682A" w:rsidRDefault="009D2613">
      <w:pPr>
        <w:numPr>
          <w:ilvl w:val="0"/>
          <w:numId w:val="8"/>
        </w:numPr>
        <w:spacing w:after="10"/>
        <w:ind w:right="0" w:hanging="360"/>
      </w:pPr>
      <w:r>
        <w:rPr>
          <w:sz w:val="22"/>
        </w:rPr>
        <w:t>výměna starých baterií v UPS za nové a jejich uvedení do provozu způsobilým techn</w:t>
      </w:r>
      <w:r>
        <w:rPr>
          <w:sz w:val="22"/>
        </w:rPr>
        <w:t xml:space="preserve">ikem  </w:t>
      </w:r>
    </w:p>
    <w:p w:rsidR="00CE682A" w:rsidRDefault="009D2613">
      <w:pPr>
        <w:spacing w:after="16" w:line="259" w:lineRule="auto"/>
        <w:ind w:left="1440" w:right="0" w:firstLine="0"/>
        <w:jc w:val="left"/>
      </w:pPr>
      <w:r>
        <w:rPr>
          <w:sz w:val="28"/>
        </w:rPr>
        <w:t xml:space="preserve"> </w:t>
      </w:r>
    </w:p>
    <w:p w:rsidR="00CE682A" w:rsidRDefault="009D2613">
      <w:pPr>
        <w:spacing w:after="0" w:line="259" w:lineRule="auto"/>
        <w:ind w:left="720" w:right="0" w:firstLine="0"/>
        <w:jc w:val="left"/>
      </w:pPr>
      <w:r>
        <w:rPr>
          <w:b/>
          <w:sz w:val="28"/>
        </w:rPr>
        <w:t xml:space="preserve"> </w:t>
      </w:r>
      <w:r>
        <w:rPr>
          <w:b/>
          <w:sz w:val="28"/>
        </w:rPr>
        <w:tab/>
        <w:t xml:space="preserve"> </w:t>
      </w:r>
      <w:r>
        <w:br w:type="page"/>
      </w:r>
    </w:p>
    <w:p w:rsidR="00CE682A" w:rsidRDefault="009D2613">
      <w:pPr>
        <w:spacing w:after="0" w:line="259" w:lineRule="auto"/>
        <w:ind w:left="727" w:right="4"/>
        <w:jc w:val="center"/>
      </w:pPr>
      <w:r>
        <w:rPr>
          <w:b/>
          <w:sz w:val="22"/>
        </w:rPr>
        <w:lastRenderedPageBreak/>
        <w:t xml:space="preserve">Příloha č. 2 - Čestné prohlášení prodávajícího ke střetu zájmů a mezinárodním sankcím proti </w:t>
      </w:r>
    </w:p>
    <w:p w:rsidR="00CE682A" w:rsidRDefault="009D2613">
      <w:pPr>
        <w:spacing w:after="27" w:line="259" w:lineRule="auto"/>
        <w:ind w:left="727" w:right="1"/>
        <w:jc w:val="center"/>
      </w:pPr>
      <w:r>
        <w:rPr>
          <w:b/>
          <w:sz w:val="22"/>
        </w:rPr>
        <w:t xml:space="preserve">Rusku a Bělorusku </w:t>
      </w:r>
    </w:p>
    <w:p w:rsidR="00CE682A" w:rsidRDefault="009D2613">
      <w:pPr>
        <w:spacing w:after="0" w:line="259" w:lineRule="auto"/>
        <w:ind w:left="720" w:right="0" w:firstLine="0"/>
        <w:jc w:val="left"/>
      </w:pPr>
      <w:r>
        <w:rPr>
          <w:b/>
          <w:sz w:val="28"/>
        </w:rPr>
        <w:t xml:space="preserve"> </w:t>
      </w:r>
    </w:p>
    <w:p w:rsidR="00CE682A" w:rsidRDefault="009D2613">
      <w:pPr>
        <w:spacing w:after="0" w:line="259" w:lineRule="auto"/>
        <w:ind w:left="720" w:right="0" w:firstLine="0"/>
        <w:jc w:val="left"/>
      </w:pPr>
      <w:r>
        <w:rPr>
          <w:sz w:val="28"/>
        </w:rPr>
        <w:t xml:space="preserve"> </w:t>
      </w:r>
    </w:p>
    <w:p w:rsidR="00CE682A" w:rsidRDefault="009D2613">
      <w:pPr>
        <w:spacing w:after="280" w:line="259" w:lineRule="auto"/>
        <w:ind w:left="720" w:right="0" w:firstLine="0"/>
        <w:jc w:val="left"/>
      </w:pPr>
      <w:r>
        <w:rPr>
          <w:sz w:val="28"/>
        </w:rPr>
        <w:t xml:space="preserve"> </w:t>
      </w:r>
    </w:p>
    <w:p w:rsidR="00CE682A" w:rsidRDefault="009D2613">
      <w:pPr>
        <w:spacing w:after="108"/>
        <w:ind w:left="715" w:right="0"/>
        <w:jc w:val="left"/>
      </w:pPr>
      <w:r>
        <w:rPr>
          <w:b/>
          <w:sz w:val="22"/>
          <w:u w:val="single" w:color="000000"/>
        </w:rPr>
        <w:t>Čestné prohlášení k střetu zájmů dle zákona č. 159/2006 Sb., o střetu zájmů, ve znění pozdějších</w:t>
      </w:r>
      <w:r>
        <w:rPr>
          <w:b/>
          <w:sz w:val="22"/>
        </w:rPr>
        <w:t xml:space="preserve"> </w:t>
      </w:r>
      <w:r>
        <w:rPr>
          <w:b/>
          <w:sz w:val="22"/>
          <w:u w:val="single" w:color="000000"/>
        </w:rPr>
        <w:t>předpisů (dále jen „zákon o</w:t>
      </w:r>
      <w:r>
        <w:rPr>
          <w:b/>
          <w:sz w:val="22"/>
          <w:u w:val="single" w:color="000000"/>
        </w:rPr>
        <w:t xml:space="preserve"> střetu zájmů“)</w:t>
      </w:r>
      <w:r>
        <w:rPr>
          <w:b/>
          <w:sz w:val="22"/>
        </w:rPr>
        <w:t xml:space="preserve"> </w:t>
      </w:r>
    </w:p>
    <w:p w:rsidR="00CE682A" w:rsidRDefault="009D2613">
      <w:pPr>
        <w:spacing w:after="133"/>
        <w:ind w:left="705" w:right="0" w:firstLine="0"/>
      </w:pPr>
      <w:r>
        <w:rPr>
          <w:sz w:val="22"/>
        </w:rPr>
        <w:t xml:space="preserve">Prodávající tímto čestně prohlašuje, že:  </w:t>
      </w:r>
    </w:p>
    <w:p w:rsidR="00CE682A" w:rsidRDefault="009D2613">
      <w:pPr>
        <w:numPr>
          <w:ilvl w:val="0"/>
          <w:numId w:val="9"/>
        </w:numPr>
        <w:spacing w:after="350"/>
        <w:ind w:left="988" w:right="0" w:hanging="283"/>
      </w:pPr>
      <w:r>
        <w:rPr>
          <w:sz w:val="22"/>
        </w:rPr>
        <w:t xml:space="preserve">není obchodní společností, ve které veřejný funkcionář uvedený v ust. § 2 odst. 1 písm. c) zákona o střetu zájmů (tj. člen vlády nebo vedoucí jiného ústředního správního úřadu, v </w:t>
      </w:r>
      <w:r>
        <w:rPr>
          <w:sz w:val="22"/>
        </w:rPr>
        <w:t xml:space="preserve">jehož čele není člen vlády) nebo jím ovládaná osoba vlastní podíl představující alespoň 25 % účasti společníka v obchodní společnosti. </w:t>
      </w:r>
    </w:p>
    <w:p w:rsidR="00CE682A" w:rsidRDefault="009D2613">
      <w:pPr>
        <w:spacing w:after="108"/>
        <w:ind w:left="715" w:right="0"/>
        <w:jc w:val="left"/>
      </w:pPr>
      <w:r>
        <w:rPr>
          <w:b/>
          <w:sz w:val="22"/>
          <w:u w:val="single" w:color="000000"/>
        </w:rPr>
        <w:t>Čestné prohlášení k mezinárodním sankcím proti Rusku a Bělorusku</w:t>
      </w:r>
      <w:r>
        <w:rPr>
          <w:b/>
          <w:sz w:val="22"/>
        </w:rPr>
        <w:t xml:space="preserve"> </w:t>
      </w:r>
    </w:p>
    <w:p w:rsidR="00CE682A" w:rsidRDefault="009D2613">
      <w:pPr>
        <w:spacing w:after="133"/>
        <w:ind w:left="705" w:right="0" w:firstLine="0"/>
      </w:pPr>
      <w:r>
        <w:rPr>
          <w:sz w:val="22"/>
        </w:rPr>
        <w:t xml:space="preserve">Prodávající tímto čestně prohlašuje, že: </w:t>
      </w:r>
    </w:p>
    <w:p w:rsidR="00CE682A" w:rsidRDefault="009D2613">
      <w:pPr>
        <w:numPr>
          <w:ilvl w:val="0"/>
          <w:numId w:val="9"/>
        </w:numPr>
        <w:spacing w:after="48"/>
        <w:ind w:left="988" w:right="0" w:hanging="283"/>
      </w:pPr>
      <w:r>
        <w:rPr>
          <w:sz w:val="22"/>
        </w:rPr>
        <w:t xml:space="preserve">on ani kterýkoli z jeho poddodavatelů či jiných osob dle ust. § 83 zákona č. 134/2016 Sb., o zadávání veřejných zakázek, ve znění pozdějších předpisů, který se bude podílet na plnění předmětné veřejné zakázky v rozsahu více než 10 % smluvní ceny, </w:t>
      </w:r>
    </w:p>
    <w:p w:rsidR="00CE682A" w:rsidRDefault="009D2613">
      <w:pPr>
        <w:numPr>
          <w:ilvl w:val="1"/>
          <w:numId w:val="9"/>
        </w:numPr>
        <w:spacing w:after="48"/>
        <w:ind w:left="1573" w:right="0" w:hanging="286"/>
      </w:pPr>
      <w:r>
        <w:rPr>
          <w:sz w:val="22"/>
        </w:rPr>
        <w:t>není rus</w:t>
      </w:r>
      <w:r>
        <w:rPr>
          <w:sz w:val="22"/>
        </w:rPr>
        <w:t xml:space="preserve">kým státním příslušníkem, fyzickou či právnickou osobou nebo subjektem či orgánem se sídlem v Rusku, </w:t>
      </w:r>
    </w:p>
    <w:p w:rsidR="00CE682A" w:rsidRDefault="009D2613">
      <w:pPr>
        <w:numPr>
          <w:ilvl w:val="1"/>
          <w:numId w:val="9"/>
        </w:numPr>
        <w:spacing w:after="48"/>
        <w:ind w:left="1573" w:right="0" w:hanging="286"/>
      </w:pPr>
      <w:r>
        <w:rPr>
          <w:sz w:val="22"/>
        </w:rPr>
        <w:t>není právnickou osobou, subjektem nebo orgánem, které jsou z více než 50 % přímo či nepřímo vlastněny některým ze subjektů uvedených v písmeni a) tohoto o</w:t>
      </w:r>
      <w:r>
        <w:rPr>
          <w:sz w:val="22"/>
        </w:rPr>
        <w:t xml:space="preserve">dstavce, ani </w:t>
      </w:r>
    </w:p>
    <w:p w:rsidR="00CE682A" w:rsidRDefault="009D2613">
      <w:pPr>
        <w:numPr>
          <w:ilvl w:val="1"/>
          <w:numId w:val="9"/>
        </w:numPr>
        <w:spacing w:after="76"/>
        <w:ind w:left="1573" w:right="0" w:hanging="286"/>
      </w:pPr>
      <w:r>
        <w:rPr>
          <w:sz w:val="22"/>
        </w:rPr>
        <w:t xml:space="preserve">není fyzickou nebo právnickou osobou, která jednají jménem nebo na pokyn některého ze subjektů uvedených v písmeni a) nebo b) tohoto odstavce; </w:t>
      </w:r>
    </w:p>
    <w:p w:rsidR="00CE682A" w:rsidRDefault="009D2613">
      <w:pPr>
        <w:numPr>
          <w:ilvl w:val="0"/>
          <w:numId w:val="9"/>
        </w:numPr>
        <w:spacing w:after="76"/>
        <w:ind w:left="988" w:right="0" w:hanging="283"/>
      </w:pPr>
      <w:r>
        <w:rPr>
          <w:sz w:val="22"/>
        </w:rPr>
        <w:t>není osobou uvedenou v sankčním seznamu v příloze nařízení Rady (EU) č. 269/2014 ze dne 17. 3. 201</w:t>
      </w:r>
      <w:r>
        <w:rPr>
          <w:sz w:val="22"/>
        </w:rPr>
        <w:t xml:space="preserve">4, o omezujících opatřeních vzhledem k činnostem narušujícím nebo ohrožujícím územní celistvost, svrchovanost a nezávislost Ukrajiny (ve znění pozdějších aktualizací) nebo nařízení Rady (ES) č. 765/2006 ze dne 18. května 2006 o omezujících opatřeních vůči </w:t>
      </w:r>
      <w:r>
        <w:rPr>
          <w:sz w:val="22"/>
        </w:rPr>
        <w:t xml:space="preserve">prezidentu Lukašenkovi a některým představitelům Běloruska (ve znění pozdějších aktualizací); </w:t>
      </w:r>
    </w:p>
    <w:p w:rsidR="00CE682A" w:rsidRDefault="009D2613">
      <w:pPr>
        <w:numPr>
          <w:ilvl w:val="0"/>
          <w:numId w:val="9"/>
        </w:numPr>
        <w:spacing w:after="100"/>
        <w:ind w:left="988" w:right="0" w:hanging="283"/>
      </w:pPr>
      <w:r>
        <w:rPr>
          <w:sz w:val="22"/>
        </w:rPr>
        <w:t>žádné finanční prostředky, které obdrží za plnění Veřejné zakázky, přímo ani nepřímo nezpřístupní fyzickým nebo právnickým osobám, subjektům či orgánům s nimi sp</w:t>
      </w:r>
      <w:r>
        <w:rPr>
          <w:sz w:val="22"/>
        </w:rPr>
        <w:t>ojeným nebo v jejich prospěch uvedeným v sankčním seznamu v příloze nařízení Rady (EU) č. 269/2014 ze dne 17. března 2014, o omezujících opatřeních vzhledem k činnostem narušujícím nebo ohrožujícím územní celistvost, svrchovanost a nezávislost Ukrajiny (ve</w:t>
      </w:r>
      <w:r>
        <w:rPr>
          <w:sz w:val="22"/>
        </w:rPr>
        <w:t xml:space="preserve"> znění pozdějších aktualizací) nebo nařízení Rady (ES) č. 765/2006 ze dne 18. května 2006 o omezujících opatřeních vůči prezidentu Lukašenkovi a některým představitelům Běloruska (ve znění pozdějších aktualizací). </w:t>
      </w:r>
    </w:p>
    <w:p w:rsidR="00CE682A" w:rsidRDefault="009D2613">
      <w:pPr>
        <w:spacing w:after="0" w:line="259" w:lineRule="auto"/>
        <w:ind w:left="720" w:right="0" w:firstLine="0"/>
        <w:jc w:val="left"/>
      </w:pPr>
      <w:r>
        <w:rPr>
          <w:sz w:val="28"/>
        </w:rPr>
        <w:t xml:space="preserve"> </w:t>
      </w:r>
    </w:p>
    <w:sectPr w:rsidR="00CE682A">
      <w:footerReference w:type="even" r:id="rId7"/>
      <w:footerReference w:type="default" r:id="rId8"/>
      <w:footerReference w:type="first" r:id="rId9"/>
      <w:pgSz w:w="11906" w:h="16838"/>
      <w:pgMar w:top="1464" w:right="1413" w:bottom="2779" w:left="698" w:header="708"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D2613">
      <w:pPr>
        <w:spacing w:after="0" w:line="240" w:lineRule="auto"/>
      </w:pPr>
      <w:r>
        <w:separator/>
      </w:r>
    </w:p>
  </w:endnote>
  <w:endnote w:type="continuationSeparator" w:id="0">
    <w:p w:rsidR="00000000" w:rsidRDefault="009D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CA Arial CE">
    <w:panose1 w:val="020B0600020102020204"/>
    <w:charset w:val="00"/>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2A" w:rsidRDefault="009D2613">
    <w:pPr>
      <w:spacing w:after="0" w:line="259" w:lineRule="auto"/>
      <w:ind w:left="720" w:right="0" w:firstLine="0"/>
      <w:jc w:val="left"/>
    </w:pPr>
    <w:r>
      <w:rPr>
        <w:rFonts w:ascii="Times New Roman" w:eastAsia="Times New Roman" w:hAnsi="Times New Roman" w:cs="Times New Roman"/>
      </w:rPr>
      <w:t xml:space="preserve">Strana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(celkem </w:t>
    </w:r>
    <w:r>
      <w:fldChar w:fldCharType="begin"/>
    </w:r>
    <w:r>
      <w:instrText xml:space="preserve"> NUMPAGES   \* MERGEFORMAT </w:instrText>
    </w:r>
    <w:r>
      <w:fldChar w:fldCharType="separate"/>
    </w:r>
    <w:r>
      <w:rPr>
        <w:rFonts w:ascii="Times New Roman" w:eastAsia="Times New Roman" w:hAnsi="Times New Roman" w:cs="Times New Roman"/>
      </w:rPr>
      <w:t>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2A" w:rsidRDefault="009D2613">
    <w:pPr>
      <w:spacing w:after="0" w:line="259" w:lineRule="auto"/>
      <w:ind w:left="720" w:right="0" w:firstLine="0"/>
      <w:jc w:val="left"/>
    </w:pPr>
    <w:r>
      <w:rPr>
        <w:rFonts w:ascii="Times New Roman" w:eastAsia="Times New Roman" w:hAnsi="Times New Roman" w:cs="Times New Roman"/>
      </w:rPr>
      <w:t xml:space="preserve">Strana </w:t>
    </w:r>
    <w:r>
      <w:fldChar w:fldCharType="begin"/>
    </w:r>
    <w:r>
      <w:instrText xml:space="preserve"> PAGE   \* MERGEFORMAT </w:instrText>
    </w:r>
    <w:r>
      <w:fldChar w:fldCharType="separate"/>
    </w:r>
    <w:r w:rsidRPr="009D2613">
      <w:rPr>
        <w:rFonts w:ascii="Times New Roman" w:eastAsia="Times New Roman" w:hAnsi="Times New Roman" w:cs="Times New Roman"/>
        <w:noProof/>
      </w:rPr>
      <w:t>6</w:t>
    </w:r>
    <w:r>
      <w:rPr>
        <w:rFonts w:ascii="Times New Roman" w:eastAsia="Times New Roman" w:hAnsi="Times New Roman" w:cs="Times New Roman"/>
      </w:rPr>
      <w:fldChar w:fldCharType="end"/>
    </w:r>
    <w:r>
      <w:rPr>
        <w:rFonts w:ascii="Times New Roman" w:eastAsia="Times New Roman" w:hAnsi="Times New Roman" w:cs="Times New Roman"/>
      </w:rPr>
      <w:t xml:space="preserve"> (celkem </w:t>
    </w:r>
    <w:r>
      <w:fldChar w:fldCharType="begin"/>
    </w:r>
    <w:r>
      <w:instrText xml:space="preserve"> NUMPAGES   \* MERGEFORMAT </w:instrText>
    </w:r>
    <w:r>
      <w:fldChar w:fldCharType="separate"/>
    </w:r>
    <w:r w:rsidRPr="009D2613">
      <w:rPr>
        <w:rFonts w:ascii="Times New Roman" w:eastAsia="Times New Roman" w:hAnsi="Times New Roman" w:cs="Times New Roman"/>
        <w:noProof/>
      </w:rPr>
      <w:t>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2A" w:rsidRDefault="009D2613">
    <w:pPr>
      <w:spacing w:after="0" w:line="259" w:lineRule="auto"/>
      <w:ind w:left="720" w:right="0" w:firstLine="0"/>
      <w:jc w:val="left"/>
    </w:pPr>
    <w:r>
      <w:rPr>
        <w:rFonts w:ascii="Times New Roman" w:eastAsia="Times New Roman" w:hAnsi="Times New Roman" w:cs="Times New Roman"/>
      </w:rPr>
      <w:t xml:space="preserve">Strana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(celkem </w:t>
    </w:r>
    <w:r>
      <w:fldChar w:fldCharType="begin"/>
    </w:r>
    <w:r>
      <w:instrText xml:space="preserve"> NUMPAGES   \* MERGEFORMAT </w:instrText>
    </w:r>
    <w:r>
      <w:fldChar w:fldCharType="separate"/>
    </w:r>
    <w:r>
      <w:rPr>
        <w:rFonts w:ascii="Times New Roman" w:eastAsia="Times New Roman" w:hAnsi="Times New Roman" w:cs="Times New Roman"/>
      </w:rPr>
      <w:t>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D2613">
      <w:pPr>
        <w:spacing w:after="0" w:line="240" w:lineRule="auto"/>
      </w:pPr>
      <w:r>
        <w:separator/>
      </w:r>
    </w:p>
  </w:footnote>
  <w:footnote w:type="continuationSeparator" w:id="0">
    <w:p w:rsidR="00000000" w:rsidRDefault="009D2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FD9"/>
    <w:multiLevelType w:val="hybridMultilevel"/>
    <w:tmpl w:val="BF222852"/>
    <w:lvl w:ilvl="0" w:tplc="306E4CCE">
      <w:start w:val="1"/>
      <w:numFmt w:val="decimal"/>
      <w:lvlText w:val="%1."/>
      <w:lvlJc w:val="left"/>
      <w:pPr>
        <w:ind w:left="9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D458DEBE">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CA4C6258">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65D63FA8">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85CA4044">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F17A6622">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8D161A06">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D3D296EE">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D5C810BC">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0929EF"/>
    <w:multiLevelType w:val="hybridMultilevel"/>
    <w:tmpl w:val="E0861B04"/>
    <w:lvl w:ilvl="0" w:tplc="B8B0C474">
      <w:start w:val="156"/>
      <w:numFmt w:val="decimal"/>
      <w:pStyle w:val="Nadpis1"/>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C980108">
      <w:start w:val="1"/>
      <w:numFmt w:val="lowerLetter"/>
      <w:lvlText w:val="%2"/>
      <w:lvlJc w:val="left"/>
      <w:pPr>
        <w:ind w:left="34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4FCA712">
      <w:start w:val="1"/>
      <w:numFmt w:val="lowerRoman"/>
      <w:lvlText w:val="%3"/>
      <w:lvlJc w:val="left"/>
      <w:pPr>
        <w:ind w:left="42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2C20948">
      <w:start w:val="1"/>
      <w:numFmt w:val="decimal"/>
      <w:lvlText w:val="%4"/>
      <w:lvlJc w:val="left"/>
      <w:pPr>
        <w:ind w:left="49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00AF4AA">
      <w:start w:val="1"/>
      <w:numFmt w:val="lowerLetter"/>
      <w:lvlText w:val="%5"/>
      <w:lvlJc w:val="left"/>
      <w:pPr>
        <w:ind w:left="56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E846F06">
      <w:start w:val="1"/>
      <w:numFmt w:val="lowerRoman"/>
      <w:lvlText w:val="%6"/>
      <w:lvlJc w:val="left"/>
      <w:pPr>
        <w:ind w:left="63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28025BC">
      <w:start w:val="1"/>
      <w:numFmt w:val="decimal"/>
      <w:lvlText w:val="%7"/>
      <w:lvlJc w:val="left"/>
      <w:pPr>
        <w:ind w:left="70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9C6234E">
      <w:start w:val="1"/>
      <w:numFmt w:val="lowerLetter"/>
      <w:lvlText w:val="%8"/>
      <w:lvlJc w:val="left"/>
      <w:pPr>
        <w:ind w:left="78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5220740">
      <w:start w:val="1"/>
      <w:numFmt w:val="lowerRoman"/>
      <w:lvlText w:val="%9"/>
      <w:lvlJc w:val="left"/>
      <w:pPr>
        <w:ind w:left="85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AA4BE4"/>
    <w:multiLevelType w:val="hybridMultilevel"/>
    <w:tmpl w:val="44F011D6"/>
    <w:lvl w:ilvl="0" w:tplc="ACF0E40E">
      <w:start w:val="1"/>
      <w:numFmt w:val="decimal"/>
      <w:lvlText w:val="%1."/>
      <w:lvlJc w:val="left"/>
      <w:pPr>
        <w:ind w:left="113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7164AC1E">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83E0944E">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DDBAB328">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82D46302">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A6B84F10">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77AC9736">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97809126">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0172B0BA">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AB07A8"/>
    <w:multiLevelType w:val="hybridMultilevel"/>
    <w:tmpl w:val="F13E866C"/>
    <w:lvl w:ilvl="0" w:tplc="530A39F6">
      <w:start w:val="1"/>
      <w:numFmt w:val="decimal"/>
      <w:lvlText w:val="%1."/>
      <w:lvlJc w:val="left"/>
      <w:pPr>
        <w:ind w:left="989"/>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DBA25904">
      <w:start w:val="1"/>
      <w:numFmt w:val="lowerLetter"/>
      <w:lvlText w:val="%2"/>
      <w:lvlJc w:val="left"/>
      <w:pPr>
        <w:ind w:left="1105"/>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856C0A08">
      <w:start w:val="1"/>
      <w:numFmt w:val="lowerRoman"/>
      <w:lvlText w:val="%3"/>
      <w:lvlJc w:val="left"/>
      <w:pPr>
        <w:ind w:left="1825"/>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13C49F0E">
      <w:start w:val="1"/>
      <w:numFmt w:val="decimal"/>
      <w:lvlText w:val="%4"/>
      <w:lvlJc w:val="left"/>
      <w:pPr>
        <w:ind w:left="2545"/>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4AFC00B4">
      <w:start w:val="1"/>
      <w:numFmt w:val="lowerLetter"/>
      <w:lvlText w:val="%5"/>
      <w:lvlJc w:val="left"/>
      <w:pPr>
        <w:ind w:left="3265"/>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45FE977E">
      <w:start w:val="1"/>
      <w:numFmt w:val="lowerRoman"/>
      <w:lvlText w:val="%6"/>
      <w:lvlJc w:val="left"/>
      <w:pPr>
        <w:ind w:left="3985"/>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6A163390">
      <w:start w:val="1"/>
      <w:numFmt w:val="decimal"/>
      <w:lvlText w:val="%7"/>
      <w:lvlJc w:val="left"/>
      <w:pPr>
        <w:ind w:left="4705"/>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7E18E810">
      <w:start w:val="1"/>
      <w:numFmt w:val="lowerLetter"/>
      <w:lvlText w:val="%8"/>
      <w:lvlJc w:val="left"/>
      <w:pPr>
        <w:ind w:left="5425"/>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58C03752">
      <w:start w:val="1"/>
      <w:numFmt w:val="lowerRoman"/>
      <w:lvlText w:val="%9"/>
      <w:lvlJc w:val="left"/>
      <w:pPr>
        <w:ind w:left="6145"/>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C12F21"/>
    <w:multiLevelType w:val="hybridMultilevel"/>
    <w:tmpl w:val="A0964D08"/>
    <w:lvl w:ilvl="0" w:tplc="BF780FFA">
      <w:start w:val="2"/>
      <w:numFmt w:val="decimal"/>
      <w:lvlText w:val="%1."/>
      <w:lvlJc w:val="left"/>
      <w:pPr>
        <w:ind w:left="1133"/>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2A1844D4">
      <w:start w:val="1"/>
      <w:numFmt w:val="decimal"/>
      <w:lvlText w:val="%2."/>
      <w:lvlJc w:val="left"/>
      <w:pPr>
        <w:ind w:left="1065"/>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C7D014BA">
      <w:start w:val="1"/>
      <w:numFmt w:val="lowerRoman"/>
      <w:lvlText w:val="%3"/>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6ED2E7DA">
      <w:start w:val="1"/>
      <w:numFmt w:val="decimal"/>
      <w:lvlText w:val="%4"/>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3B9AFD46">
      <w:start w:val="1"/>
      <w:numFmt w:val="lowerLetter"/>
      <w:lvlText w:val="%5"/>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F86877DC">
      <w:start w:val="1"/>
      <w:numFmt w:val="lowerRoman"/>
      <w:lvlText w:val="%6"/>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9F145D9E">
      <w:start w:val="1"/>
      <w:numFmt w:val="decimal"/>
      <w:lvlText w:val="%7"/>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E02A61F4">
      <w:start w:val="1"/>
      <w:numFmt w:val="lowerLetter"/>
      <w:lvlText w:val="%8"/>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4D9E24D8">
      <w:start w:val="1"/>
      <w:numFmt w:val="lowerRoman"/>
      <w:lvlText w:val="%9"/>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E9464B"/>
    <w:multiLevelType w:val="hybridMultilevel"/>
    <w:tmpl w:val="E0AE16DC"/>
    <w:lvl w:ilvl="0" w:tplc="36745A76">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EAA03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AB62E9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36F90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F8BCE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82A5F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4BA7FC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B6AC91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F46E0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271543"/>
    <w:multiLevelType w:val="hybridMultilevel"/>
    <w:tmpl w:val="E06405F6"/>
    <w:lvl w:ilvl="0" w:tplc="0DAAAF40">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E602E">
      <w:start w:val="1"/>
      <w:numFmt w:val="lowerLetter"/>
      <w:lvlText w:val="%2)"/>
      <w:lvlJc w:val="left"/>
      <w:pPr>
        <w:ind w:left="157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550D97C">
      <w:start w:val="1"/>
      <w:numFmt w:val="lowerRoman"/>
      <w:lvlText w:val="%3"/>
      <w:lvlJc w:val="left"/>
      <w:pPr>
        <w:ind w:left="164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FF2898C">
      <w:start w:val="1"/>
      <w:numFmt w:val="decimal"/>
      <w:lvlText w:val="%4"/>
      <w:lvlJc w:val="left"/>
      <w:pPr>
        <w:ind w:left="236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43FC9066">
      <w:start w:val="1"/>
      <w:numFmt w:val="lowerLetter"/>
      <w:lvlText w:val="%5"/>
      <w:lvlJc w:val="left"/>
      <w:pPr>
        <w:ind w:left="308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20E53AE">
      <w:start w:val="1"/>
      <w:numFmt w:val="lowerRoman"/>
      <w:lvlText w:val="%6"/>
      <w:lvlJc w:val="left"/>
      <w:pPr>
        <w:ind w:left="380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FCCB6D4">
      <w:start w:val="1"/>
      <w:numFmt w:val="decimal"/>
      <w:lvlText w:val="%7"/>
      <w:lvlJc w:val="left"/>
      <w:pPr>
        <w:ind w:left="452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985EF2C2">
      <w:start w:val="1"/>
      <w:numFmt w:val="lowerLetter"/>
      <w:lvlText w:val="%8"/>
      <w:lvlJc w:val="left"/>
      <w:pPr>
        <w:ind w:left="524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7E8ADFF4">
      <w:start w:val="1"/>
      <w:numFmt w:val="lowerRoman"/>
      <w:lvlText w:val="%9"/>
      <w:lvlJc w:val="left"/>
      <w:pPr>
        <w:ind w:left="596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8861DD"/>
    <w:multiLevelType w:val="hybridMultilevel"/>
    <w:tmpl w:val="68806DBA"/>
    <w:lvl w:ilvl="0" w:tplc="D4CC3468">
      <w:start w:val="1"/>
      <w:numFmt w:val="decimal"/>
      <w:lvlText w:val="%1"/>
      <w:lvlJc w:val="left"/>
      <w:pPr>
        <w:ind w:left="3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D90E8AC2">
      <w:start w:val="1"/>
      <w:numFmt w:val="decimal"/>
      <w:lvlText w:val="%2."/>
      <w:lvlJc w:val="left"/>
      <w:pPr>
        <w:ind w:left="1133"/>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C57EF3B4">
      <w:start w:val="1"/>
      <w:numFmt w:val="lowerRoman"/>
      <w:lvlText w:val="%3"/>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C4E4FFA4">
      <w:start w:val="1"/>
      <w:numFmt w:val="decimal"/>
      <w:lvlText w:val="%4"/>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C108DA06">
      <w:start w:val="1"/>
      <w:numFmt w:val="lowerLetter"/>
      <w:lvlText w:val="%5"/>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C360C648">
      <w:start w:val="1"/>
      <w:numFmt w:val="lowerRoman"/>
      <w:lvlText w:val="%6"/>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676628DE">
      <w:start w:val="1"/>
      <w:numFmt w:val="decimal"/>
      <w:lvlText w:val="%7"/>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2C7622F4">
      <w:start w:val="1"/>
      <w:numFmt w:val="lowerLetter"/>
      <w:lvlText w:val="%8"/>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408A556A">
      <w:start w:val="1"/>
      <w:numFmt w:val="lowerRoman"/>
      <w:lvlText w:val="%9"/>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4F0718"/>
    <w:multiLevelType w:val="hybridMultilevel"/>
    <w:tmpl w:val="8ED06A1A"/>
    <w:lvl w:ilvl="0" w:tplc="FC806B24">
      <w:start w:val="1"/>
      <w:numFmt w:val="decimal"/>
      <w:lvlText w:val="%1."/>
      <w:lvlJc w:val="left"/>
      <w:pPr>
        <w:ind w:left="1133"/>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D8DACC20">
      <w:start w:val="1"/>
      <w:numFmt w:val="lowerLetter"/>
      <w:lvlText w:val="%2"/>
      <w:lvlJc w:val="left"/>
      <w:pPr>
        <w:ind w:left="10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775C9DA8">
      <w:start w:val="1"/>
      <w:numFmt w:val="lowerRoman"/>
      <w:lvlText w:val="%3"/>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E22895D8">
      <w:start w:val="1"/>
      <w:numFmt w:val="decimal"/>
      <w:lvlText w:val="%4"/>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E768FD68">
      <w:start w:val="1"/>
      <w:numFmt w:val="lowerLetter"/>
      <w:lvlText w:val="%5"/>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46D0EE08">
      <w:start w:val="1"/>
      <w:numFmt w:val="lowerRoman"/>
      <w:lvlText w:val="%6"/>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56F20282">
      <w:start w:val="1"/>
      <w:numFmt w:val="decimal"/>
      <w:lvlText w:val="%7"/>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71AAEB42">
      <w:start w:val="1"/>
      <w:numFmt w:val="lowerLetter"/>
      <w:lvlText w:val="%8"/>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0BBEF4DC">
      <w:start w:val="1"/>
      <w:numFmt w:val="lowerRoman"/>
      <w:lvlText w:val="%9"/>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A17727"/>
    <w:multiLevelType w:val="hybridMultilevel"/>
    <w:tmpl w:val="DC984C18"/>
    <w:lvl w:ilvl="0" w:tplc="9DC287EC">
      <w:start w:val="1"/>
      <w:numFmt w:val="decimal"/>
      <w:lvlText w:val="%1"/>
      <w:lvlJc w:val="left"/>
      <w:pPr>
        <w:ind w:left="3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0A4E9F34">
      <w:start w:val="1"/>
      <w:numFmt w:val="decimal"/>
      <w:lvlText w:val="%2."/>
      <w:lvlJc w:val="left"/>
      <w:pPr>
        <w:ind w:left="989"/>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3B9ACBFA">
      <w:start w:val="1"/>
      <w:numFmt w:val="lowerRoman"/>
      <w:lvlText w:val="%3"/>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C7E06588">
      <w:start w:val="1"/>
      <w:numFmt w:val="decimal"/>
      <w:lvlText w:val="%4"/>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7122A986">
      <w:start w:val="1"/>
      <w:numFmt w:val="lowerLetter"/>
      <w:lvlText w:val="%5"/>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0A607A8C">
      <w:start w:val="1"/>
      <w:numFmt w:val="lowerRoman"/>
      <w:lvlText w:val="%6"/>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BFA4AF02">
      <w:start w:val="1"/>
      <w:numFmt w:val="decimal"/>
      <w:lvlText w:val="%7"/>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58FC254C">
      <w:start w:val="1"/>
      <w:numFmt w:val="lowerLetter"/>
      <w:lvlText w:val="%8"/>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348AEDF6">
      <w:start w:val="1"/>
      <w:numFmt w:val="lowerRoman"/>
      <w:lvlText w:val="%9"/>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8"/>
  </w:num>
  <w:num w:numId="4">
    <w:abstractNumId w:val="4"/>
  </w:num>
  <w:num w:numId="5">
    <w:abstractNumId w:val="9"/>
  </w:num>
  <w:num w:numId="6">
    <w:abstractNumId w:val="7"/>
  </w:num>
  <w:num w:numId="7">
    <w:abstractNumId w:val="2"/>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2A"/>
    <w:rsid w:val="009D2613"/>
    <w:rsid w:val="00CE68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94809-2C61-4EA2-A880-89828198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8" w:lineRule="auto"/>
      <w:ind w:left="730" w:right="5362" w:hanging="10"/>
      <w:jc w:val="both"/>
    </w:pPr>
    <w:rPr>
      <w:rFonts w:ascii="Garamond" w:eastAsia="Garamond" w:hAnsi="Garamond" w:cs="Garamond"/>
      <w:color w:val="000000"/>
      <w:sz w:val="20"/>
    </w:rPr>
  </w:style>
  <w:style w:type="paragraph" w:styleId="Nadpis1">
    <w:name w:val="heading 1"/>
    <w:next w:val="Normln"/>
    <w:link w:val="Nadpis1Char"/>
    <w:uiPriority w:val="9"/>
    <w:unhideWhenUsed/>
    <w:qFormat/>
    <w:pPr>
      <w:keepNext/>
      <w:keepLines/>
      <w:numPr>
        <w:numId w:val="10"/>
      </w:numPr>
      <w:spacing w:after="18"/>
      <w:ind w:left="1090" w:hanging="10"/>
      <w:outlineLvl w:val="0"/>
    </w:pPr>
    <w:rPr>
      <w:rFonts w:ascii="Garamond" w:eastAsia="Garamond" w:hAnsi="Garamond" w:cs="Garamond"/>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Garamond" w:eastAsia="Garamond" w:hAnsi="Garamond" w:cs="Garamond"/>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9022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MSp</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Okresní soud</dc:creator>
  <cp:keywords/>
  <cp:lastModifiedBy>Bednár Tomáš</cp:lastModifiedBy>
  <cp:revision>2</cp:revision>
  <dcterms:created xsi:type="dcterms:W3CDTF">2023-06-22T05:35:00Z</dcterms:created>
  <dcterms:modified xsi:type="dcterms:W3CDTF">2023-06-22T05:35:00Z</dcterms:modified>
</cp:coreProperties>
</file>