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5C46" w14:textId="77777777" w:rsidR="008510CE" w:rsidRPr="00BD4D52" w:rsidRDefault="00813BBA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4BBBD1F4" w14:textId="77777777" w:rsidR="008510CE" w:rsidRDefault="008510CE" w:rsidP="008510CE">
      <w:pPr>
        <w:pStyle w:val="Nzev"/>
        <w:spacing w:before="0" w:after="0"/>
      </w:pPr>
    </w:p>
    <w:p w14:paraId="7F726663" w14:textId="77777777" w:rsidR="00823A07" w:rsidRDefault="00813BBA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14:paraId="62CEE19E" w14:textId="77777777" w:rsidR="00823A07" w:rsidRDefault="00813BBA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35B25BC4" w14:textId="77777777" w:rsidR="00823A07" w:rsidRDefault="00813BBA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Archiv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bezpečnostních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složek</w:t>
      </w:r>
      <w:proofErr w:type="spellEnd"/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14:paraId="1677413A" w14:textId="77777777" w:rsidR="00823A07" w:rsidRPr="004C32B6" w:rsidRDefault="00813BBA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780E0B6F" w14:textId="77777777" w:rsidR="008510CE" w:rsidRPr="00CC397E" w:rsidRDefault="00813BBA" w:rsidP="006D19ED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14:paraId="4DD99876" w14:textId="77777777" w:rsidR="008510CE" w:rsidRPr="00CC397E" w:rsidRDefault="00813BBA" w:rsidP="00CC397E">
      <w:pPr>
        <w:pStyle w:val="Nadpis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14:paraId="2FBAB984" w14:textId="77777777" w:rsidR="00B73E2E" w:rsidRDefault="00B230D8" w:rsidP="00C03643">
      <w:pPr>
        <w:ind w:left="1418" w:hanging="1418"/>
      </w:pPr>
      <w:proofErr w:type="spellStart"/>
      <w:r w:rsidRPr="00E45B79">
        <w:rPr>
          <w:lang w:val="en-US"/>
        </w:rPr>
        <w:t>Archiv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bezpečnostních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složek</w:t>
      </w:r>
      <w:proofErr w:type="spellEnd"/>
    </w:p>
    <w:p w14:paraId="296BBDD8" w14:textId="77777777" w:rsidR="00B73E2E" w:rsidRDefault="00813BBA" w:rsidP="00B73E2E">
      <w:proofErr w:type="spellStart"/>
      <w:r w:rsidRPr="00E45B79">
        <w:rPr>
          <w:lang w:val="en-US"/>
        </w:rPr>
        <w:t>Siwiecova</w:t>
      </w:r>
      <w:proofErr w:type="spellEnd"/>
      <w:r w:rsidRPr="00E45B79">
        <w:t xml:space="preserve"> </w:t>
      </w:r>
      <w:r w:rsidRPr="00E45B79">
        <w:rPr>
          <w:lang w:val="en-US"/>
        </w:rPr>
        <w:t>2428</w:t>
      </w:r>
      <w:r w:rsidRPr="00E45B79">
        <w:t>/</w:t>
      </w:r>
      <w:r w:rsidRPr="00E45B79">
        <w:rPr>
          <w:lang w:val="en-US"/>
        </w:rPr>
        <w:t>2</w:t>
      </w:r>
    </w:p>
    <w:p w14:paraId="255EC67C" w14:textId="77777777" w:rsidR="00B73E2E" w:rsidRDefault="00813BBA" w:rsidP="00B73E2E">
      <w:r w:rsidRPr="00E45B79">
        <w:rPr>
          <w:lang w:val="en-US"/>
        </w:rPr>
        <w:t>13000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Žižkov</w:t>
      </w:r>
      <w:proofErr w:type="spellEnd"/>
    </w:p>
    <w:p w14:paraId="2823B20C" w14:textId="7AEDCF34" w:rsidR="005B570A" w:rsidRDefault="00813BBA" w:rsidP="008510CE">
      <w:r w:rsidRPr="00E45B79">
        <w:t xml:space="preserve">IČO: </w:t>
      </w:r>
      <w:r w:rsidRPr="00E45B79">
        <w:rPr>
          <w:lang w:val="en-US"/>
        </w:rPr>
        <w:t>75112817</w:t>
      </w:r>
    </w:p>
    <w:p w14:paraId="7C72318D" w14:textId="77777777" w:rsidR="008510CE" w:rsidRPr="00351810" w:rsidRDefault="008510CE" w:rsidP="008510CE"/>
    <w:p w14:paraId="1758FEB7" w14:textId="0F4210C8" w:rsidR="008510CE" w:rsidRPr="00757DD3" w:rsidRDefault="00813BBA" w:rsidP="008510CE">
      <w:r w:rsidRPr="00351810">
        <w:t xml:space="preserve">Kontaktní osoba: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Albert</w:t>
      </w:r>
      <w:r w:rsidRPr="00351810">
        <w:t xml:space="preserve"> </w:t>
      </w:r>
      <w:r w:rsidRPr="00351810">
        <w:rPr>
          <w:lang w:val="en-US"/>
        </w:rPr>
        <w:t>Sidó</w:t>
      </w:r>
      <w:r w:rsidRPr="00351810">
        <w:br/>
        <w:t xml:space="preserve">tel.: </w:t>
      </w:r>
      <w:r w:rsidRPr="00351810">
        <w:rPr>
          <w:lang w:val="en-US"/>
        </w:rPr>
        <w:t>+420 221008227</w:t>
      </w:r>
      <w:r w:rsidRPr="00351810">
        <w:br/>
        <w:t xml:space="preserve">email: </w:t>
      </w:r>
      <w:r w:rsidRPr="00351810">
        <w:rPr>
          <w:lang w:val="en-US"/>
        </w:rPr>
        <w:t>albert.sido@abscr.cz</w:t>
      </w:r>
    </w:p>
    <w:p w14:paraId="4C306189" w14:textId="77777777" w:rsidR="008510CE" w:rsidRPr="00CC397E" w:rsidRDefault="00813BBA" w:rsidP="006D19ED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771AA14E" w14:textId="77777777" w:rsidR="008510CE" w:rsidRPr="00DB162F" w:rsidRDefault="00813BBA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0D68D0" w14:paraId="76F13BAF" w14:textId="77777777" w:rsidTr="000A4F8A">
        <w:trPr>
          <w:cantSplit/>
        </w:trPr>
        <w:tc>
          <w:tcPr>
            <w:tcW w:w="4106" w:type="dxa"/>
            <w:vAlign w:val="center"/>
          </w:tcPr>
          <w:p w14:paraId="53AB13B0" w14:textId="77777777" w:rsidR="008510CE" w:rsidRPr="005A68A8" w:rsidRDefault="00813BBA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651F2592" w14:textId="0514791D" w:rsidR="008510CE" w:rsidRPr="005A68A8" w:rsidRDefault="00813BBA" w:rsidP="008510CE">
            <w:bookmarkStart w:id="3" w:name="_Hlk131051937"/>
            <w:r w:rsidRPr="005A68A8">
              <w:t xml:space="preserve">Čistící </w:t>
            </w:r>
            <w:r w:rsidR="00600A1C" w:rsidRPr="005A68A8">
              <w:t>prostředky – náhradní</w:t>
            </w:r>
            <w:r w:rsidRPr="005A68A8">
              <w:t xml:space="preserve"> plnění </w:t>
            </w:r>
            <w:bookmarkEnd w:id="3"/>
          </w:p>
        </w:tc>
      </w:tr>
      <w:tr w:rsidR="000D68D0" w14:paraId="0186D9A7" w14:textId="77777777" w:rsidTr="000A4F8A">
        <w:trPr>
          <w:cantSplit/>
        </w:trPr>
        <w:tc>
          <w:tcPr>
            <w:tcW w:w="4106" w:type="dxa"/>
            <w:vAlign w:val="center"/>
          </w:tcPr>
          <w:p w14:paraId="1F8BAD20" w14:textId="77777777" w:rsidR="008510CE" w:rsidRPr="005A68A8" w:rsidRDefault="00813BBA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4C7D648A" w14:textId="77777777" w:rsidR="008510CE" w:rsidRPr="005A68A8" w:rsidRDefault="00813BBA" w:rsidP="008510CE">
            <w:r w:rsidRPr="005A68A8">
              <w:t>Veřejná zakázka na dodávky</w:t>
            </w:r>
          </w:p>
        </w:tc>
      </w:tr>
      <w:tr w:rsidR="000D68D0" w14:paraId="4DA764AE" w14:textId="77777777" w:rsidTr="000A4F8A">
        <w:trPr>
          <w:cantSplit/>
        </w:trPr>
        <w:tc>
          <w:tcPr>
            <w:tcW w:w="4106" w:type="dxa"/>
            <w:vAlign w:val="center"/>
          </w:tcPr>
          <w:p w14:paraId="2D589524" w14:textId="77777777" w:rsidR="008510CE" w:rsidRPr="005A68A8" w:rsidRDefault="00813BBA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A5E45C5" w14:textId="08D4008D" w:rsidR="008510CE" w:rsidRPr="005A68A8" w:rsidRDefault="00813BBA" w:rsidP="008510CE">
            <w:r w:rsidRPr="005A68A8">
              <w:t>N006/23/V000</w:t>
            </w:r>
            <w:r w:rsidR="00600A1C">
              <w:t>13151</w:t>
            </w:r>
          </w:p>
        </w:tc>
      </w:tr>
      <w:tr w:rsidR="000D68D0" w14:paraId="22F7DAD9" w14:textId="77777777" w:rsidTr="008510CE">
        <w:trPr>
          <w:cantSplit/>
        </w:trPr>
        <w:tc>
          <w:tcPr>
            <w:tcW w:w="4111" w:type="dxa"/>
          </w:tcPr>
          <w:p w14:paraId="29CE3BBB" w14:textId="77777777" w:rsidR="008510CE" w:rsidRPr="005A68A8" w:rsidRDefault="00813BBA" w:rsidP="008510CE">
            <w:r w:rsidRPr="005A68A8">
              <w:t>Typ veřejné zakázky:</w:t>
            </w:r>
          </w:p>
        </w:tc>
        <w:tc>
          <w:tcPr>
            <w:tcW w:w="4949" w:type="dxa"/>
          </w:tcPr>
          <w:p w14:paraId="67D64A93" w14:textId="77777777" w:rsidR="008510CE" w:rsidRPr="005A68A8" w:rsidRDefault="00813BBA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0D68D0" w14:paraId="788D2BAE" w14:textId="77777777" w:rsidTr="008510CE">
        <w:trPr>
          <w:cantSplit/>
        </w:trPr>
        <w:tc>
          <w:tcPr>
            <w:tcW w:w="4111" w:type="dxa"/>
          </w:tcPr>
          <w:p w14:paraId="19936A76" w14:textId="77777777" w:rsidR="008510CE" w:rsidRPr="005A68A8" w:rsidRDefault="00813BBA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4767EA1D" w14:textId="77777777" w:rsidR="008510CE" w:rsidRPr="005A68A8" w:rsidRDefault="00813BBA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2E6BA9B2" w14:textId="77777777" w:rsidR="008510CE" w:rsidRDefault="008510CE" w:rsidP="008510CE"/>
    <w:p w14:paraId="7359EE0C" w14:textId="77777777" w:rsidR="008510CE" w:rsidRDefault="00813BBA" w:rsidP="008510CE">
      <w:r w:rsidRPr="004466AF">
        <w:t>Na zadání veřejné zakázky se vztahuje výjimka ze ZZVZ</w:t>
      </w:r>
      <w:r w:rsidR="00C53BBF">
        <w:t>.</w:t>
      </w:r>
    </w:p>
    <w:p w14:paraId="5C0E4123" w14:textId="77777777" w:rsidR="008510CE" w:rsidRDefault="00813BBA" w:rsidP="00C53BBF">
      <w:r>
        <w:t>Odůvodnění výjimky:</w:t>
      </w:r>
      <w:r w:rsidR="00C53BBF">
        <w:t xml:space="preserve"> Zadavatel zadává veřejnou zakázku, na kterou se vztahuje ustanovení</w:t>
      </w:r>
      <w:r>
        <w:t xml:space="preserve"> § 31 ZZVZ</w:t>
      </w:r>
      <w:r w:rsidR="00C53BBF">
        <w:t xml:space="preserve"> </w:t>
      </w:r>
    </w:p>
    <w:p w14:paraId="29E5C271" w14:textId="77777777" w:rsidR="00C53BBF" w:rsidRDefault="00813BBA" w:rsidP="00C53BBF">
      <w:r>
        <w:t>Upřesnění odůvodnění výjimk</w:t>
      </w:r>
      <w:r w:rsidR="0038086B">
        <w:t>y:</w:t>
      </w:r>
    </w:p>
    <w:p w14:paraId="6E614403" w14:textId="77777777" w:rsidR="008510CE" w:rsidRDefault="00813BBA" w:rsidP="00DD4826">
      <w:r>
        <w:lastRenderedPageBreak/>
        <w:t>Veřejnou zakázku malého rozsahu. Při jejím zadávání je však zadavatel povinen dodržet zásady podle § 6 ZZVZ.</w:t>
      </w:r>
    </w:p>
    <w:p w14:paraId="247B1490" w14:textId="77777777" w:rsidR="00DD4826" w:rsidRDefault="00DD4826" w:rsidP="008510CE"/>
    <w:p w14:paraId="20D09A54" w14:textId="77777777" w:rsidR="00E33763" w:rsidRDefault="00813BBA" w:rsidP="00E33763">
      <w:pPr>
        <w:pStyle w:val="Nadpis2"/>
      </w:pPr>
      <w:r w:rsidRPr="00F4692D">
        <w:t>2.2.</w:t>
      </w:r>
      <w:r w:rsidRPr="00F4692D">
        <w:tab/>
        <w:t>Předmět veřejné zakázky</w:t>
      </w:r>
    </w:p>
    <w:p w14:paraId="7DBD3CF6" w14:textId="77777777" w:rsidR="00E17873" w:rsidRDefault="007F57FD" w:rsidP="00E17873">
      <w:pPr>
        <w:rPr>
          <w:color w:val="1F497D" w:themeColor="text2"/>
          <w:sz w:val="16"/>
          <w:szCs w:val="16"/>
          <w:lang w:val="en-US"/>
        </w:rPr>
      </w:pPr>
      <w:r w:rsidRPr="000C148F">
        <w:rPr>
          <w:color w:val="1F497D" w:themeColor="text2"/>
          <w:sz w:val="16"/>
          <w:szCs w:val="16"/>
          <w:lang w:val="en-US"/>
        </w:rPr>
        <w:t xml:space="preserve"> </w:t>
      </w:r>
    </w:p>
    <w:p w14:paraId="5FD8AF43" w14:textId="77777777" w:rsidR="00C24645" w:rsidRDefault="00813BBA" w:rsidP="00C24645">
      <w:pPr>
        <w:keepNext/>
        <w:spacing w:before="240" w:after="120"/>
        <w:contextualSpacing/>
        <w:rPr>
          <w:color w:val="000000" w:themeColor="text1"/>
        </w:rPr>
      </w:pPr>
      <w:r>
        <w:rPr>
          <w:bCs/>
          <w:color w:val="000000" w:themeColor="text1"/>
        </w:rPr>
        <w:t xml:space="preserve">Název předmětu: </w:t>
      </w:r>
      <w:r w:rsidRPr="00AB097D">
        <w:rPr>
          <w:color w:val="000000" w:themeColor="text1"/>
        </w:rPr>
        <w:t>Čisticí a lešticí výrobky</w:t>
      </w:r>
    </w:p>
    <w:p w14:paraId="16C88DF6" w14:textId="77777777" w:rsidR="00C24645" w:rsidRDefault="00C24645" w:rsidP="00C24645">
      <w:pPr>
        <w:keepNext/>
        <w:spacing w:before="240" w:after="120"/>
        <w:contextualSpacing/>
        <w:rPr>
          <w:bCs/>
          <w:color w:val="000000" w:themeColor="text1"/>
        </w:rPr>
      </w:pPr>
    </w:p>
    <w:p w14:paraId="26FACA12" w14:textId="77777777" w:rsidR="00C24645" w:rsidRDefault="00813BBA" w:rsidP="00C24645">
      <w:pPr>
        <w:keepNext/>
        <w:spacing w:before="240" w:after="120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NIPEZ: </w:t>
      </w:r>
      <w:r w:rsidRPr="00AB097D">
        <w:rPr>
          <w:color w:val="000000" w:themeColor="text1"/>
        </w:rPr>
        <w:t>39800000-0</w:t>
      </w:r>
      <w:r>
        <w:rPr>
          <w:color w:val="000000" w:themeColor="text1"/>
        </w:rPr>
        <w:t xml:space="preserve"> - </w:t>
      </w:r>
      <w:r w:rsidRPr="00AB097D">
        <w:rPr>
          <w:color w:val="000000" w:themeColor="text1"/>
        </w:rPr>
        <w:t>Čisticí a lešticí výrobky</w:t>
      </w:r>
    </w:p>
    <w:p w14:paraId="7E26D4C0" w14:textId="77777777" w:rsidR="00C24645" w:rsidRDefault="00813BBA" w:rsidP="00C24645">
      <w:pPr>
        <w:keepNext/>
        <w:spacing w:before="240" w:after="120"/>
        <w:contextualSpacing/>
        <w:rPr>
          <w:color w:val="000000" w:themeColor="text1"/>
        </w:rPr>
      </w:pPr>
      <w:r>
        <w:rPr>
          <w:bCs/>
          <w:color w:val="000000" w:themeColor="text1"/>
        </w:rPr>
        <w:t xml:space="preserve">CPV: </w:t>
      </w:r>
      <w:r w:rsidRPr="00AB097D">
        <w:rPr>
          <w:color w:val="000000" w:themeColor="text1"/>
        </w:rPr>
        <w:t>39800000-0</w:t>
      </w:r>
      <w:r>
        <w:rPr>
          <w:color w:val="000000" w:themeColor="text1"/>
        </w:rPr>
        <w:t xml:space="preserve"> - </w:t>
      </w:r>
      <w:r w:rsidRPr="00AB097D">
        <w:rPr>
          <w:color w:val="000000" w:themeColor="text1"/>
        </w:rPr>
        <w:t>Čisticí a lešticí výrobky</w:t>
      </w:r>
    </w:p>
    <w:p w14:paraId="32BCBD24" w14:textId="77777777" w:rsidR="00E17873" w:rsidRDefault="00E17873" w:rsidP="00C02E30">
      <w:pPr>
        <w:keepNext/>
        <w:ind w:left="284"/>
        <w:rPr>
          <w:bCs/>
          <w:color w:val="000000" w:themeColor="text1"/>
        </w:rPr>
      </w:pPr>
    </w:p>
    <w:p w14:paraId="0DB0DD6E" w14:textId="77777777" w:rsidR="00C24645" w:rsidRPr="00C24645" w:rsidRDefault="00813BBA" w:rsidP="00C24645">
      <w:pPr>
        <w:keepNext/>
        <w:spacing w:before="240" w:after="120"/>
        <w:contextualSpacing/>
        <w:rPr>
          <w:bCs/>
          <w:color w:val="000000" w:themeColor="text1"/>
        </w:rPr>
      </w:pPr>
      <w:r w:rsidRPr="00C24645">
        <w:rPr>
          <w:bCs/>
          <w:color w:val="000000" w:themeColor="text1"/>
        </w:rPr>
        <w:t>Stručný popis předmětu VZ:</w:t>
      </w:r>
    </w:p>
    <w:p w14:paraId="552B8626" w14:textId="77777777" w:rsidR="00C24645" w:rsidRPr="00AB097D" w:rsidRDefault="00C24645" w:rsidP="00C24645">
      <w:pPr>
        <w:keepNext/>
        <w:rPr>
          <w:bCs/>
          <w:color w:val="000000" w:themeColor="text1"/>
        </w:rPr>
      </w:pPr>
    </w:p>
    <w:p w14:paraId="01C63AB2" w14:textId="16B7B2F5" w:rsidR="00E17873" w:rsidRPr="00AB097D" w:rsidRDefault="00594544" w:rsidP="00594544">
      <w:pPr>
        <w:rPr>
          <w:bCs/>
          <w:color w:val="000000" w:themeColor="text1"/>
          <w:highlight w:val="lightGray"/>
        </w:rPr>
      </w:pPr>
      <w:r>
        <w:rPr>
          <w:color w:val="000000" w:themeColor="text1"/>
        </w:rPr>
        <w:t>Dodávka č</w:t>
      </w:r>
      <w:r w:rsidR="00813BBA" w:rsidRPr="00AB097D">
        <w:rPr>
          <w:color w:val="000000" w:themeColor="text1"/>
        </w:rPr>
        <w:t>istící</w:t>
      </w:r>
      <w:r>
        <w:rPr>
          <w:color w:val="000000" w:themeColor="text1"/>
        </w:rPr>
        <w:t>ch</w:t>
      </w:r>
      <w:r w:rsidR="00813BBA" w:rsidRPr="00AB097D">
        <w:rPr>
          <w:color w:val="000000" w:themeColor="text1"/>
        </w:rPr>
        <w:t xml:space="preserve"> a </w:t>
      </w:r>
      <w:r w:rsidR="00A805F8">
        <w:rPr>
          <w:color w:val="000000" w:themeColor="text1"/>
        </w:rPr>
        <w:t>leštící</w:t>
      </w:r>
      <w:r>
        <w:rPr>
          <w:color w:val="000000" w:themeColor="text1"/>
        </w:rPr>
        <w:t>ch</w:t>
      </w:r>
      <w:r w:rsidR="00813BBA" w:rsidRPr="00AB097D">
        <w:rPr>
          <w:color w:val="000000" w:themeColor="text1"/>
        </w:rPr>
        <w:t xml:space="preserve"> </w:t>
      </w:r>
      <w:r w:rsidR="00A805F8">
        <w:rPr>
          <w:color w:val="000000" w:themeColor="text1"/>
        </w:rPr>
        <w:t>výrobk</w:t>
      </w:r>
      <w:r>
        <w:rPr>
          <w:color w:val="000000" w:themeColor="text1"/>
        </w:rPr>
        <w:t>ů</w:t>
      </w:r>
      <w:r w:rsidR="00A805F8">
        <w:rPr>
          <w:color w:val="000000" w:themeColor="text1"/>
        </w:rPr>
        <w:t xml:space="preserve"> v režimu náhradního </w:t>
      </w:r>
      <w:r w:rsidR="00813BBA" w:rsidRPr="00AB097D">
        <w:rPr>
          <w:color w:val="000000" w:themeColor="text1"/>
        </w:rPr>
        <w:t>plnění (platí ustanovení § 38 zákona 134/2016).</w:t>
      </w:r>
    </w:p>
    <w:p w14:paraId="2CC67ECE" w14:textId="77777777"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14:paraId="55FB6AE5" w14:textId="77777777" w:rsidR="00E17873" w:rsidRPr="00AB097D" w:rsidRDefault="00813BBA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2940BDAB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0D68D0" w14:paraId="153BCC12" w14:textId="77777777" w:rsidTr="00696F41">
        <w:trPr>
          <w:cantSplit/>
          <w:trHeight w:val="510"/>
        </w:trPr>
        <w:tc>
          <w:tcPr>
            <w:tcW w:w="593" w:type="pct"/>
            <w:vAlign w:val="center"/>
          </w:tcPr>
          <w:p w14:paraId="33B900DE" w14:textId="77777777" w:rsidR="00145662" w:rsidRPr="00AB097D" w:rsidRDefault="00813BBA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5B6323E2" w14:textId="77777777" w:rsidR="00145662" w:rsidRPr="00AB097D" w:rsidRDefault="00813BBA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056469C6" w14:textId="77777777" w:rsidR="00145662" w:rsidRPr="00AB097D" w:rsidRDefault="00813BBA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14:paraId="783A8E25" w14:textId="77777777" w:rsidR="00145662" w:rsidRPr="00AB097D" w:rsidRDefault="00813BBA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96C0AA3" w14:textId="77777777" w:rsidR="00145662" w:rsidRPr="00AB097D" w:rsidRDefault="00813BBA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40E11051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0D68D0" w14:paraId="61353136" w14:textId="77777777" w:rsidTr="00696F41">
        <w:trPr>
          <w:cantSplit/>
          <w:trHeight w:val="510"/>
        </w:trPr>
        <w:tc>
          <w:tcPr>
            <w:tcW w:w="593" w:type="pct"/>
            <w:vAlign w:val="center"/>
          </w:tcPr>
          <w:p w14:paraId="32107D72" w14:textId="77777777" w:rsidR="00145662" w:rsidRPr="00AB097D" w:rsidRDefault="00813BBA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Čisticí a lešticí výrobky</w:t>
            </w:r>
          </w:p>
        </w:tc>
        <w:tc>
          <w:tcPr>
            <w:tcW w:w="718" w:type="pct"/>
            <w:vAlign w:val="center"/>
          </w:tcPr>
          <w:p w14:paraId="3DA94D04" w14:textId="77777777" w:rsidR="00145662" w:rsidRPr="00AB097D" w:rsidRDefault="00813BBA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39800000-0</w:t>
            </w:r>
          </w:p>
        </w:tc>
        <w:tc>
          <w:tcPr>
            <w:tcW w:w="599" w:type="pct"/>
            <w:vAlign w:val="center"/>
          </w:tcPr>
          <w:p w14:paraId="22FC5AB0" w14:textId="77777777" w:rsidR="00145662" w:rsidRPr="00AB097D" w:rsidRDefault="00813BBA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Čisticí a lešticí výrobky</w:t>
            </w:r>
          </w:p>
        </w:tc>
        <w:tc>
          <w:tcPr>
            <w:tcW w:w="722" w:type="pct"/>
            <w:vAlign w:val="center"/>
          </w:tcPr>
          <w:p w14:paraId="462FC94F" w14:textId="77777777" w:rsidR="00145662" w:rsidRPr="00AB097D" w:rsidRDefault="00813BBA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39800000-0</w:t>
            </w:r>
          </w:p>
        </w:tc>
        <w:tc>
          <w:tcPr>
            <w:tcW w:w="599" w:type="pct"/>
            <w:vAlign w:val="center"/>
          </w:tcPr>
          <w:p w14:paraId="324ABE75" w14:textId="77777777" w:rsidR="00145662" w:rsidRPr="00AB097D" w:rsidRDefault="00813BBA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Čisticí a lešticí výrobky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78795169" w14:textId="77777777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50ADDF6D" w14:textId="341C7559" w:rsidR="00E17873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14:paraId="42CEB5E4" w14:textId="052A7750" w:rsidR="005C689E" w:rsidRPr="00AB097D" w:rsidRDefault="005C689E" w:rsidP="00A805F8">
      <w:pPr>
        <w:keepNext/>
        <w:keepLines/>
        <w:jc w:val="both"/>
        <w:rPr>
          <w:b/>
          <w:bCs/>
          <w:color w:val="000000" w:themeColor="text1"/>
          <w:highlight w:val="lightGray"/>
        </w:rPr>
      </w:pPr>
      <w:r>
        <w:t xml:space="preserve">Výčet čisticích a </w:t>
      </w:r>
      <w:r w:rsidR="00A805F8">
        <w:t>leštících</w:t>
      </w:r>
      <w:r>
        <w:t xml:space="preserve"> prostředků včetně požadovaného množství je uveden</w:t>
      </w:r>
      <w:r w:rsidR="00A805F8">
        <w:t>o</w:t>
      </w:r>
      <w:r>
        <w:t xml:space="preserve"> v příloze č. 2 </w:t>
      </w:r>
      <w:r w:rsidR="00EB1BF5" w:rsidRPr="00EB1BF5">
        <w:rPr>
          <w:i/>
          <w:iCs/>
        </w:rPr>
        <w:t>„</w:t>
      </w:r>
      <w:r w:rsidRPr="00EB1BF5">
        <w:rPr>
          <w:i/>
          <w:iCs/>
        </w:rPr>
        <w:t>P2_Nákupní košík“</w:t>
      </w:r>
      <w:r>
        <w:t>.</w:t>
      </w:r>
    </w:p>
    <w:p w14:paraId="39612746" w14:textId="6B573B53"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14:paraId="5F2C77A1" w14:textId="77777777" w:rsidR="00E17873" w:rsidRPr="003E3C10" w:rsidRDefault="00813BBA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47F6351A" w14:textId="77777777" w:rsidR="00B42812" w:rsidRPr="002E5A57" w:rsidRDefault="00B42812" w:rsidP="00AB097D">
      <w:pPr>
        <w:ind w:left="284"/>
      </w:pPr>
    </w:p>
    <w:p w14:paraId="4B600993" w14:textId="77777777" w:rsidR="00E17873" w:rsidRPr="002E5A57" w:rsidRDefault="00813BBA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Čisticí a lešticí výrobky</w:t>
      </w:r>
    </w:p>
    <w:p w14:paraId="3E5C3228" w14:textId="77777777" w:rsidR="00E17873" w:rsidRPr="002E5A57" w:rsidRDefault="00E17873" w:rsidP="00F81FD5">
      <w:pPr>
        <w:ind w:left="284"/>
      </w:pPr>
    </w:p>
    <w:p w14:paraId="43CD2508" w14:textId="77777777" w:rsidR="008510CE" w:rsidRPr="00F4692D" w:rsidRDefault="00813BBA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30128AA2" w14:textId="17EC6D27" w:rsidR="008510CE" w:rsidRPr="00F4692D" w:rsidRDefault="00813BBA" w:rsidP="008510CE">
      <w:pPr>
        <w:contextualSpacing/>
      </w:pPr>
      <w:r w:rsidRPr="00F4692D">
        <w:t xml:space="preserve">Předpokládaná doba plnění veřejné zakázky je: od </w:t>
      </w:r>
      <w:r w:rsidR="00600A1C">
        <w:t>1</w:t>
      </w:r>
      <w:r w:rsidRPr="00F4692D">
        <w:t>.</w:t>
      </w:r>
      <w:r w:rsidR="00600A1C">
        <w:t>6</w:t>
      </w:r>
      <w:r w:rsidRPr="00F4692D">
        <w:t>.2023</w:t>
      </w:r>
      <w:r>
        <w:rPr>
          <w:bCs/>
        </w:rPr>
        <w:t xml:space="preserve"> </w:t>
      </w:r>
      <w:r w:rsidRPr="00F4692D">
        <w:rPr>
          <w:bCs/>
        </w:rPr>
        <w:t>do 31.12.2024</w:t>
      </w:r>
    </w:p>
    <w:p w14:paraId="525D43D0" w14:textId="77777777" w:rsidR="008510CE" w:rsidRDefault="008510CE" w:rsidP="008510CE"/>
    <w:p w14:paraId="5EFF7008" w14:textId="7E1A4F6E" w:rsidR="00A65BF3" w:rsidRDefault="00813BBA" w:rsidP="0035470A">
      <w:r>
        <w:t>Hlavní místo plnění veřejné zakázky: Hlavní město Praha</w:t>
      </w:r>
      <w:r w:rsidR="00757DD3">
        <w:t xml:space="preserve"> a Jihomoravský kraj</w:t>
      </w:r>
    </w:p>
    <w:p w14:paraId="0879CB36" w14:textId="77777777" w:rsidR="00A65BF3" w:rsidRDefault="00A65BF3" w:rsidP="0035470A"/>
    <w:p w14:paraId="43758419" w14:textId="77777777" w:rsidR="00FD09E4" w:rsidRDefault="00813BBA" w:rsidP="00CC397E">
      <w:r w:rsidRPr="00F4692D">
        <w:t>Místo plnění veřejné zakázky:</w:t>
      </w:r>
    </w:p>
    <w:p w14:paraId="072C10DF" w14:textId="0C300C5F" w:rsidR="009266A2" w:rsidRDefault="00813BBA" w:rsidP="0035470A">
      <w:r w:rsidRPr="00F4692D">
        <w:t>Archiv bezpečnostních složek, Branické náměstí 777/2, Praha 4, 147 00</w:t>
      </w:r>
      <w:r w:rsidRPr="00F4692D">
        <w:br/>
        <w:t xml:space="preserve">Archiv bezpečnostních složek, Kanice 176, </w:t>
      </w:r>
      <w:r w:rsidR="00204982">
        <w:t>Brno – venkov,</w:t>
      </w:r>
      <w:r w:rsidR="00204982" w:rsidRPr="00F4692D">
        <w:t xml:space="preserve"> </w:t>
      </w:r>
      <w:r w:rsidRPr="00F4692D">
        <w:t>664 01</w:t>
      </w:r>
      <w:r w:rsidR="00594544">
        <w:t xml:space="preserve"> </w:t>
      </w:r>
    </w:p>
    <w:p w14:paraId="11474605" w14:textId="7655DAB2" w:rsidR="00757DD3" w:rsidRDefault="00757DD3" w:rsidP="0035470A"/>
    <w:p w14:paraId="6D1670DF" w14:textId="77777777" w:rsidR="009266A2" w:rsidRPr="00292F9C" w:rsidRDefault="009266A2" w:rsidP="009266A2">
      <w:pPr>
        <w:pStyle w:val="cislovani"/>
        <w:numPr>
          <w:ilvl w:val="0"/>
          <w:numId w:val="16"/>
        </w:numPr>
        <w:rPr>
          <w:rFonts w:cs="Arial"/>
          <w:caps/>
          <w:smallCaps w:val="0"/>
          <w:kern w:val="32"/>
          <w:szCs w:val="32"/>
        </w:rPr>
      </w:pPr>
      <w:r w:rsidRPr="0090144B">
        <w:rPr>
          <w:rStyle w:val="Nadpis1Char"/>
          <w:b/>
          <w:bCs w:val="0"/>
          <w:smallCaps w:val="0"/>
        </w:rPr>
        <w:t>Kvalifikace dodavatelů</w:t>
      </w:r>
      <w:bookmarkStart w:id="4" w:name="__RefHeading__21_2138858144"/>
      <w:bookmarkEnd w:id="4"/>
    </w:p>
    <w:p w14:paraId="10F50C15" w14:textId="77777777" w:rsidR="009266A2" w:rsidRPr="00292F9C" w:rsidRDefault="009266A2" w:rsidP="009266A2">
      <w:pPr>
        <w:pStyle w:val="Nadpis2"/>
        <w:rPr>
          <w:b w:val="0"/>
        </w:rPr>
      </w:pPr>
      <w:r>
        <w:t>3.1.</w:t>
      </w:r>
      <w:r>
        <w:tab/>
      </w:r>
      <w:r w:rsidRPr="00292F9C">
        <w:t xml:space="preserve">Základní </w:t>
      </w:r>
      <w:r>
        <w:t>způsobilost</w:t>
      </w:r>
      <w:r w:rsidRPr="00292F9C">
        <w:t xml:space="preserve"> dle § 74 odst. 1 písm. a) ZZVZ:</w:t>
      </w:r>
      <w:r>
        <w:t xml:space="preserve"> </w:t>
      </w:r>
    </w:p>
    <w:p w14:paraId="23DD38DA" w14:textId="77777777" w:rsidR="009266A2" w:rsidRDefault="009266A2" w:rsidP="009266A2">
      <w:pPr>
        <w:tabs>
          <w:tab w:val="left" w:pos="709"/>
        </w:tabs>
        <w:autoSpaceDE w:val="0"/>
        <w:autoSpaceDN w:val="0"/>
        <w:adjustRightInd w:val="0"/>
        <w:jc w:val="both"/>
      </w:pPr>
      <w:r w:rsidRPr="0075060D">
        <w:t>Dodavatel 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nepřihlíží.</w:t>
      </w:r>
      <w:r w:rsidRPr="0075060D">
        <w:br/>
        <w:t xml:space="preserve">Je-li dodavatelem právnická osoba, musí podmínku podle § 74 odstavce 1 písm. a) ZZVZ splňovat tato právnická osoba a zároveň každý člen statutárního orgánu. Je-li členem </w:t>
      </w:r>
      <w:r w:rsidRPr="0075060D">
        <w:lastRenderedPageBreak/>
        <w:t xml:space="preserve">statutárního orgánu dodavatele právnická osoba, musí podmínku podle </w:t>
      </w:r>
      <w:r>
        <w:br/>
      </w:r>
      <w:r w:rsidRPr="0075060D">
        <w:t xml:space="preserve">§ 74 odstavce 1 písm. </w:t>
      </w:r>
      <w:r>
        <w:t xml:space="preserve">a) </w:t>
      </w:r>
      <w:r w:rsidRPr="0075060D">
        <w:t>ZZVZ splňovat</w:t>
      </w:r>
      <w:r>
        <w:t>:</w:t>
      </w:r>
    </w:p>
    <w:p w14:paraId="78DAD803" w14:textId="77777777" w:rsidR="009266A2" w:rsidRPr="00FF5112" w:rsidRDefault="009266A2" w:rsidP="009266A2">
      <w:pPr>
        <w:tabs>
          <w:tab w:val="left" w:pos="709"/>
        </w:tabs>
        <w:autoSpaceDE w:val="0"/>
        <w:autoSpaceDN w:val="0"/>
        <w:adjustRightInd w:val="0"/>
      </w:pPr>
      <w:r w:rsidRPr="0075060D">
        <w:br/>
        <w:t>a) tato právnická osoba,</w:t>
      </w:r>
      <w:r w:rsidRPr="0075060D">
        <w:br/>
        <w:t>b) každý člen statutárního orgánu této právnické osoby a</w:t>
      </w:r>
      <w:r w:rsidRPr="0075060D">
        <w:br/>
        <w:t>c) osoba zastupující tuto právnickou osobu v statutárním orgánu dodavatele.</w:t>
      </w:r>
    </w:p>
    <w:p w14:paraId="7E9DDC9A" w14:textId="77777777" w:rsidR="009266A2" w:rsidRPr="004C2A7A" w:rsidRDefault="009266A2" w:rsidP="009266A2">
      <w:pPr>
        <w:keepNext/>
        <w:autoSpaceDE w:val="0"/>
        <w:autoSpaceDN w:val="0"/>
        <w:adjustRightInd w:val="0"/>
        <w:rPr>
          <w:bCs/>
        </w:rPr>
      </w:pPr>
      <w:r w:rsidRPr="004C2A7A">
        <w:rPr>
          <w:bCs/>
        </w:rPr>
        <w:t>Způsob prokázání:</w:t>
      </w:r>
    </w:p>
    <w:p w14:paraId="09250758" w14:textId="77777777" w:rsidR="009266A2" w:rsidRPr="004C2A7A" w:rsidRDefault="009266A2" w:rsidP="009266A2">
      <w:pPr>
        <w:tabs>
          <w:tab w:val="left" w:pos="709"/>
        </w:tabs>
        <w:rPr>
          <w:bCs/>
        </w:rPr>
      </w:pPr>
      <w:r w:rsidRPr="004C2A7A">
        <w:rPr>
          <w:bCs/>
        </w:rPr>
        <w:t>Výpis z evidence Rejstříku trestů</w:t>
      </w:r>
    </w:p>
    <w:p w14:paraId="6C977722" w14:textId="77777777" w:rsidR="009266A2" w:rsidRPr="00292F9C" w:rsidRDefault="009266A2" w:rsidP="009266A2">
      <w:pPr>
        <w:pStyle w:val="Odstavecseseznamem"/>
        <w:tabs>
          <w:tab w:val="left" w:pos="709"/>
        </w:tabs>
        <w:ind w:left="360"/>
        <w:jc w:val="both"/>
        <w:rPr>
          <w:bCs/>
        </w:rPr>
      </w:pPr>
    </w:p>
    <w:p w14:paraId="09C24E16" w14:textId="77777777" w:rsidR="009266A2" w:rsidRPr="00292F9C" w:rsidRDefault="009266A2" w:rsidP="009266A2">
      <w:pPr>
        <w:pStyle w:val="Nadpis2"/>
        <w:rPr>
          <w:b w:val="0"/>
        </w:rPr>
      </w:pPr>
      <w:r>
        <w:t>3.2.</w:t>
      </w:r>
      <w:r>
        <w:tab/>
      </w:r>
      <w:r w:rsidRPr="00292F9C">
        <w:t xml:space="preserve">Základní </w:t>
      </w:r>
      <w:r>
        <w:t xml:space="preserve">způsobilost </w:t>
      </w:r>
      <w:r w:rsidRPr="00292F9C">
        <w:t>dle § 74 odst. 1 písm. b)</w:t>
      </w:r>
      <w:r>
        <w:rPr>
          <w:b w:val="0"/>
        </w:rPr>
        <w:t>;</w:t>
      </w:r>
      <w:r w:rsidRPr="00292F9C">
        <w:t xml:space="preserve"> </w:t>
      </w:r>
      <w:r w:rsidRPr="00582B0F">
        <w:rPr>
          <w:bCs w:val="0"/>
        </w:rPr>
        <w:t>c)</w:t>
      </w:r>
      <w:r>
        <w:rPr>
          <w:b w:val="0"/>
        </w:rPr>
        <w:t xml:space="preserve">; </w:t>
      </w:r>
      <w:r w:rsidRPr="00582B0F">
        <w:rPr>
          <w:bCs w:val="0"/>
        </w:rPr>
        <w:t>d)</w:t>
      </w:r>
      <w:r>
        <w:rPr>
          <w:b w:val="0"/>
        </w:rPr>
        <w:t xml:space="preserve"> a </w:t>
      </w:r>
      <w:r w:rsidRPr="00582B0F">
        <w:rPr>
          <w:bCs w:val="0"/>
        </w:rPr>
        <w:t>e)</w:t>
      </w:r>
      <w:r>
        <w:rPr>
          <w:b w:val="0"/>
        </w:rPr>
        <w:t xml:space="preserve"> </w:t>
      </w:r>
      <w:r w:rsidRPr="00FF712D">
        <w:rPr>
          <w:bCs w:val="0"/>
        </w:rPr>
        <w:t>Z</w:t>
      </w:r>
      <w:r w:rsidRPr="00292F9C">
        <w:t>ZVZ:</w:t>
      </w:r>
      <w:r>
        <w:t xml:space="preserve"> </w:t>
      </w:r>
    </w:p>
    <w:p w14:paraId="7E3A69D8" w14:textId="3673A4FA" w:rsidR="009266A2" w:rsidRPr="004C2A7A" w:rsidRDefault="009266A2" w:rsidP="009266A2">
      <w:pPr>
        <w:keepNext/>
        <w:autoSpaceDE w:val="0"/>
        <w:autoSpaceDN w:val="0"/>
        <w:adjustRightInd w:val="0"/>
        <w:rPr>
          <w:bCs/>
        </w:rPr>
      </w:pPr>
      <w:r w:rsidRPr="004C2A7A">
        <w:rPr>
          <w:bCs/>
        </w:rPr>
        <w:t>Způsob prokázání:</w:t>
      </w:r>
      <w:r w:rsidRPr="004C2A7A">
        <w:rPr>
          <w:bCs/>
        </w:rPr>
        <w:br/>
        <w:t xml:space="preserve">Písemné čestné prohlášení </w:t>
      </w:r>
      <w:r w:rsidRPr="009266A2">
        <w:rPr>
          <w:bCs/>
        </w:rPr>
        <w:t>(</w:t>
      </w:r>
      <w:r w:rsidRPr="00EB1BF5">
        <w:rPr>
          <w:bCs/>
          <w:i/>
          <w:iCs/>
        </w:rPr>
        <w:t>P5_Čestné prohlášení k základní způsobilosti</w:t>
      </w:r>
      <w:r>
        <w:rPr>
          <w:bCs/>
        </w:rPr>
        <w:t>)</w:t>
      </w:r>
    </w:p>
    <w:p w14:paraId="21FB8B17" w14:textId="77777777" w:rsidR="009266A2" w:rsidRDefault="009266A2" w:rsidP="009266A2">
      <w:pPr>
        <w:tabs>
          <w:tab w:val="left" w:pos="709"/>
        </w:tabs>
        <w:jc w:val="both"/>
      </w:pPr>
    </w:p>
    <w:p w14:paraId="4A13C281" w14:textId="77777777" w:rsidR="009266A2" w:rsidRPr="00292F9C" w:rsidRDefault="009266A2" w:rsidP="009266A2">
      <w:pPr>
        <w:pStyle w:val="Nadpis2"/>
        <w:rPr>
          <w:rFonts w:cs="Times New Roman"/>
          <w:szCs w:val="24"/>
        </w:rPr>
      </w:pPr>
      <w:r>
        <w:rPr>
          <w:rFonts w:cs="Times New Roman"/>
          <w:szCs w:val="24"/>
        </w:rPr>
        <w:t>3.3.</w:t>
      </w:r>
      <w:r>
        <w:rPr>
          <w:rFonts w:cs="Times New Roman"/>
          <w:szCs w:val="24"/>
        </w:rPr>
        <w:tab/>
      </w:r>
      <w:r w:rsidRPr="004C2A7A">
        <w:t>Profesní</w:t>
      </w:r>
      <w:r w:rsidRPr="007506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způsobilost </w:t>
      </w:r>
      <w:r w:rsidRPr="00CD710B">
        <w:rPr>
          <w:rFonts w:cs="Times New Roman"/>
          <w:szCs w:val="24"/>
        </w:rPr>
        <w:t xml:space="preserve">dle § </w:t>
      </w:r>
      <w:r>
        <w:rPr>
          <w:rFonts w:cs="Times New Roman"/>
          <w:szCs w:val="24"/>
        </w:rPr>
        <w:t>77</w:t>
      </w:r>
      <w:r w:rsidRPr="00CD710B">
        <w:rPr>
          <w:rFonts w:cs="Times New Roman"/>
          <w:szCs w:val="24"/>
        </w:rPr>
        <w:t xml:space="preserve"> </w:t>
      </w:r>
      <w:r w:rsidRPr="008531D5">
        <w:rPr>
          <w:rFonts w:cs="Times New Roman"/>
          <w:szCs w:val="24"/>
        </w:rPr>
        <w:t>ZZVZ</w:t>
      </w:r>
    </w:p>
    <w:p w14:paraId="73199DD6" w14:textId="77777777" w:rsidR="009266A2" w:rsidRPr="004C2A7A" w:rsidRDefault="009266A2" w:rsidP="009266A2">
      <w:pPr>
        <w:keepNext/>
        <w:autoSpaceDE w:val="0"/>
        <w:autoSpaceDN w:val="0"/>
        <w:adjustRightInd w:val="0"/>
        <w:jc w:val="both"/>
        <w:rPr>
          <w:b/>
        </w:rPr>
      </w:pPr>
      <w:r w:rsidRPr="004C2A7A">
        <w:rPr>
          <w:b/>
        </w:rPr>
        <w:t xml:space="preserve">Profesní kvalifikační předpoklad dle § 77 odst. 1 ZZVZ: </w:t>
      </w:r>
      <w:r w:rsidRPr="0075060D">
        <w:t>Výpis z obchodního rejstříku nebo jiné obdobné evidence, pokud jiný právní předpis zápis do takové evidence vyžaduje.</w:t>
      </w:r>
      <w:r>
        <w:t xml:space="preserve"> </w:t>
      </w:r>
    </w:p>
    <w:p w14:paraId="38C905D1" w14:textId="77777777" w:rsidR="009266A2" w:rsidRPr="004C2A7A" w:rsidRDefault="009266A2" w:rsidP="009266A2">
      <w:pPr>
        <w:keepNext/>
        <w:autoSpaceDE w:val="0"/>
        <w:autoSpaceDN w:val="0"/>
        <w:adjustRightInd w:val="0"/>
        <w:jc w:val="both"/>
        <w:rPr>
          <w:bCs/>
        </w:rPr>
      </w:pPr>
      <w:r w:rsidRPr="004C2A7A">
        <w:rPr>
          <w:bCs/>
        </w:rPr>
        <w:t>Způsob prokázání:</w:t>
      </w:r>
    </w:p>
    <w:p w14:paraId="12F0EC22" w14:textId="77777777" w:rsidR="009266A2" w:rsidRDefault="009266A2" w:rsidP="009266A2">
      <w:pPr>
        <w:jc w:val="both"/>
      </w:pPr>
      <w:r w:rsidRPr="004C2A7A">
        <w:rPr>
          <w:bCs/>
        </w:rPr>
        <w:t>Výpis z obchodního rejstříku nebo jiné obdobné evidence, pokud jiný právní předpis zápis do takové evidence vyžaduje.</w:t>
      </w:r>
    </w:p>
    <w:p w14:paraId="3F9F9996" w14:textId="77777777" w:rsidR="009266A2" w:rsidRPr="00292F9C" w:rsidRDefault="009266A2" w:rsidP="009266A2">
      <w:pPr>
        <w:pStyle w:val="Odstavecseseznamem"/>
        <w:ind w:left="360"/>
        <w:jc w:val="both"/>
        <w:rPr>
          <w:sz w:val="12"/>
          <w:szCs w:val="12"/>
        </w:rPr>
      </w:pPr>
    </w:p>
    <w:p w14:paraId="68D3E309" w14:textId="77777777" w:rsidR="009266A2" w:rsidRPr="00292F9C" w:rsidRDefault="009266A2" w:rsidP="009266A2">
      <w:pPr>
        <w:pStyle w:val="Odstavecseseznamem"/>
        <w:ind w:left="360"/>
        <w:jc w:val="both"/>
        <w:rPr>
          <w:sz w:val="6"/>
          <w:szCs w:val="18"/>
        </w:rPr>
      </w:pPr>
      <w:r w:rsidRPr="00292F9C">
        <w:rPr>
          <w:sz w:val="6"/>
          <w:szCs w:val="18"/>
        </w:rPr>
        <w:t xml:space="preserve"> </w:t>
      </w:r>
    </w:p>
    <w:p w14:paraId="23B9BE6B" w14:textId="77777777" w:rsidR="009266A2" w:rsidRPr="00292F9C" w:rsidRDefault="009266A2" w:rsidP="009266A2">
      <w:pPr>
        <w:pStyle w:val="Nadpis2"/>
        <w:rPr>
          <w:b w:val="0"/>
          <w:bCs w:val="0"/>
          <w:iCs w:val="0"/>
        </w:rPr>
      </w:pPr>
      <w:r>
        <w:t>3</w:t>
      </w:r>
      <w:r w:rsidRPr="004C2A7A">
        <w:t>.</w:t>
      </w:r>
      <w:r w:rsidRPr="004C2A7A">
        <w:rPr>
          <w:iCs w:val="0"/>
        </w:rPr>
        <w:t>4</w:t>
      </w:r>
      <w:r w:rsidRPr="004C2A7A">
        <w:t>.</w:t>
      </w:r>
      <w:r>
        <w:tab/>
      </w:r>
      <w:r w:rsidRPr="00292F9C">
        <w:t>Technická kvalifikace dle § 79 ZZVZ</w:t>
      </w:r>
    </w:p>
    <w:p w14:paraId="27CAC2CC" w14:textId="0ABBAEBA" w:rsidR="009266A2" w:rsidRPr="004C2A7A" w:rsidRDefault="009266A2" w:rsidP="009266A2">
      <w:pPr>
        <w:keepNext/>
        <w:autoSpaceDE w:val="0"/>
        <w:autoSpaceDN w:val="0"/>
        <w:adjustRightInd w:val="0"/>
        <w:jc w:val="both"/>
        <w:rPr>
          <w:b/>
          <w:bCs/>
        </w:rPr>
      </w:pPr>
      <w:r w:rsidRPr="004C2A7A">
        <w:rPr>
          <w:b/>
          <w:bCs/>
        </w:rPr>
        <w:t xml:space="preserve">Název kritéria technické kvalifikace: § 79 odst. 2 písm. b) ZZVZ: Seznam významných </w:t>
      </w:r>
      <w:r w:rsidR="00B440BB">
        <w:rPr>
          <w:b/>
          <w:bCs/>
        </w:rPr>
        <w:t>dodávek</w:t>
      </w:r>
      <w:r w:rsidRPr="004C2A7A">
        <w:rPr>
          <w:b/>
          <w:bCs/>
        </w:rPr>
        <w:t xml:space="preserve"> poskytnutých za poslední 3 roky před zahájením zadávacího řízení včetně uvedení ceny a doby jejich poskytnutí a identifikace objednatele.  </w:t>
      </w:r>
    </w:p>
    <w:p w14:paraId="2EFA3154" w14:textId="6BB90B84" w:rsidR="00600A1C" w:rsidRPr="004C2A7A" w:rsidRDefault="00600A1C" w:rsidP="00600A1C">
      <w:pPr>
        <w:keepNext/>
        <w:autoSpaceDE w:val="0"/>
        <w:autoSpaceDN w:val="0"/>
        <w:adjustRightInd w:val="0"/>
        <w:rPr>
          <w:bCs/>
        </w:rPr>
      </w:pPr>
      <w:r w:rsidRPr="004C2A7A">
        <w:rPr>
          <w:bCs/>
        </w:rPr>
        <w:t>Způsob prokázání:</w:t>
      </w:r>
      <w:r w:rsidRPr="004C2A7A">
        <w:rPr>
          <w:bCs/>
        </w:rPr>
        <w:br/>
        <w:t xml:space="preserve">Písemné čestné prohlášení </w:t>
      </w:r>
      <w:r w:rsidRPr="009266A2">
        <w:rPr>
          <w:bCs/>
        </w:rPr>
        <w:t>(</w:t>
      </w:r>
      <w:r w:rsidRPr="00EB1BF5">
        <w:rPr>
          <w:bCs/>
          <w:i/>
          <w:iCs/>
        </w:rPr>
        <w:t>P6_Čestné prohlášení – Seznam významných dodávek</w:t>
      </w:r>
      <w:r>
        <w:rPr>
          <w:bCs/>
        </w:rPr>
        <w:t>)</w:t>
      </w:r>
    </w:p>
    <w:p w14:paraId="741D708D" w14:textId="77777777" w:rsidR="009266A2" w:rsidRDefault="009266A2" w:rsidP="009266A2">
      <w:pPr>
        <w:keepNext/>
        <w:autoSpaceDE w:val="0"/>
        <w:autoSpaceDN w:val="0"/>
        <w:adjustRightInd w:val="0"/>
        <w:jc w:val="both"/>
        <w:rPr>
          <w:rFonts w:cs="Arial"/>
          <w:b/>
          <w:bCs/>
          <w:iCs/>
          <w:szCs w:val="28"/>
        </w:rPr>
      </w:pPr>
    </w:p>
    <w:p w14:paraId="2873D493" w14:textId="77777777" w:rsidR="009266A2" w:rsidRPr="00292F9C" w:rsidRDefault="009266A2" w:rsidP="009266A2">
      <w:pPr>
        <w:pStyle w:val="Nadpis2"/>
        <w:rPr>
          <w:bCs w:val="0"/>
        </w:rPr>
      </w:pPr>
      <w:r w:rsidRPr="004C2A7A">
        <w:t>3.</w:t>
      </w:r>
      <w:r w:rsidRPr="004C2A7A">
        <w:rPr>
          <w:iCs w:val="0"/>
        </w:rPr>
        <w:t>5</w:t>
      </w:r>
      <w:r w:rsidRPr="00292F9C">
        <w:t>.</w:t>
      </w:r>
      <w:r>
        <w:tab/>
      </w:r>
      <w:r w:rsidRPr="00292F9C">
        <w:t>Další požadavky na kvalifikaci</w:t>
      </w:r>
    </w:p>
    <w:p w14:paraId="7BBF6074" w14:textId="77777777" w:rsidR="00204982" w:rsidRDefault="00F54B21" w:rsidP="00B440BB">
      <w:pPr>
        <w:widowControl w:val="0"/>
        <w:jc w:val="both"/>
      </w:pPr>
      <w:r>
        <w:t xml:space="preserve">Zadavatel požaduje předložení dohody mezi dodavatelem a Úřadem práce o uznání zaměstnavatele na chráněném trhu práce. </w:t>
      </w:r>
    </w:p>
    <w:p w14:paraId="1031B410" w14:textId="77777777" w:rsidR="00204982" w:rsidRDefault="00204982" w:rsidP="00B440BB">
      <w:pPr>
        <w:widowControl w:val="0"/>
        <w:jc w:val="both"/>
      </w:pPr>
      <w:r>
        <w:t>Způsob prokázání:</w:t>
      </w:r>
    </w:p>
    <w:p w14:paraId="56B3D74C" w14:textId="7B29BA05" w:rsidR="00757DD3" w:rsidRPr="00D30DEB" w:rsidRDefault="00204982" w:rsidP="00B440BB">
      <w:pPr>
        <w:widowControl w:val="0"/>
        <w:jc w:val="both"/>
      </w:pPr>
      <w:r>
        <w:t>Dohoda o uznání zaměstnavatele na chráněném trhu práce (</w:t>
      </w:r>
      <w:r w:rsidR="00F54B21">
        <w:t xml:space="preserve">ustanovení § 78 </w:t>
      </w:r>
      <w:r>
        <w:t xml:space="preserve">odst. 1, zákona, </w:t>
      </w:r>
      <w:r>
        <w:br/>
        <w:t>č.</w:t>
      </w:r>
      <w:r w:rsidR="00F54B21">
        <w:t xml:space="preserve"> 435/2004 Sb., o zaměstnanosti, ve znění pozdějších předpisů</w:t>
      </w:r>
      <w:r>
        <w:t>)</w:t>
      </w:r>
      <w:r w:rsidR="00F54B21">
        <w:t xml:space="preserve">. </w:t>
      </w:r>
    </w:p>
    <w:p w14:paraId="17519F58" w14:textId="27CED823" w:rsidR="00926E74" w:rsidRPr="00365501" w:rsidRDefault="009266A2" w:rsidP="00B440BB">
      <w:pPr>
        <w:pStyle w:val="Nadpis1"/>
      </w:pPr>
      <w:r>
        <w:t>4</w:t>
      </w:r>
      <w:r w:rsidR="00813BBA" w:rsidRPr="00CC397E">
        <w:t>.</w:t>
      </w:r>
      <w:r w:rsidR="00813BBA" w:rsidRPr="00CC397E">
        <w:tab/>
        <w:t>Požadavek Na způsob zpracování nabídkové ceny</w:t>
      </w:r>
    </w:p>
    <w:p w14:paraId="315AC158" w14:textId="77777777" w:rsidR="00926E74" w:rsidRPr="005D22A8" w:rsidRDefault="00813BBA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01B826A9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10AFE522" w14:textId="77777777" w:rsidR="00926E74" w:rsidRPr="005D22A8" w:rsidRDefault="00813BBA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46F6049F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671C2C3D" w14:textId="77777777" w:rsidR="00926E74" w:rsidRPr="005D22A8" w:rsidRDefault="00813BBA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3EDA1041" w14:textId="77777777" w:rsidR="00926E74" w:rsidRDefault="00926E74" w:rsidP="00926E74">
      <w:pPr>
        <w:widowControl w:val="0"/>
        <w:ind w:right="-108"/>
        <w:rPr>
          <w:bCs/>
        </w:rPr>
      </w:pPr>
    </w:p>
    <w:p w14:paraId="0B640639" w14:textId="20B27F54" w:rsidR="00EB1B92" w:rsidRPr="00757DD3" w:rsidRDefault="00813BBA" w:rsidP="00757DD3">
      <w:pPr>
        <w:widowControl w:val="0"/>
        <w:ind w:right="-108"/>
        <w:rPr>
          <w:bCs/>
        </w:rPr>
      </w:pPr>
      <w:r>
        <w:rPr>
          <w:bCs/>
        </w:rPr>
        <w:lastRenderedPageBreak/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</w:t>
      </w:r>
      <w:r w:rsidR="00EB1BF5">
        <w:rPr>
          <w:bCs/>
        </w:rPr>
        <w:t> </w:t>
      </w:r>
      <w:r w:rsidRPr="005D22A8">
        <w:rPr>
          <w:bCs/>
        </w:rPr>
        <w:t>DPH</w:t>
      </w:r>
      <w:r w:rsidR="00EB1BF5">
        <w:rPr>
          <w:bCs/>
        </w:rPr>
        <w:t xml:space="preserve"> a bude uvedena v příloze č. 1 </w:t>
      </w:r>
      <w:r w:rsidR="00EB1BF5" w:rsidRPr="00EB1BF5">
        <w:rPr>
          <w:bCs/>
          <w:i/>
          <w:iCs/>
        </w:rPr>
        <w:t>„P1_Krycí list nabídky“</w:t>
      </w:r>
      <w:r w:rsidRPr="005D22A8">
        <w:rPr>
          <w:bCs/>
        </w:rPr>
        <w:t>.</w:t>
      </w:r>
    </w:p>
    <w:p w14:paraId="174F601F" w14:textId="08B19A1A" w:rsidR="009100D4" w:rsidRPr="00067CD4" w:rsidRDefault="009266A2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5</w:t>
      </w:r>
      <w:r w:rsidR="00813BBA" w:rsidRPr="009100D4">
        <w:rPr>
          <w:rFonts w:cs="Arial"/>
          <w:b/>
          <w:bCs/>
          <w:caps/>
          <w:kern w:val="32"/>
          <w:szCs w:val="32"/>
        </w:rPr>
        <w:t>.</w:t>
      </w:r>
      <w:r w:rsidR="00813BBA" w:rsidRPr="009100D4">
        <w:rPr>
          <w:rFonts w:cs="Arial"/>
          <w:b/>
          <w:bCs/>
          <w:caps/>
          <w:kern w:val="32"/>
          <w:szCs w:val="32"/>
        </w:rPr>
        <w:tab/>
        <w:t>Hodnocení</w:t>
      </w:r>
      <w:r w:rsidR="00813BBA">
        <w:rPr>
          <w:rFonts w:cs="Arial"/>
          <w:b/>
          <w:bCs/>
          <w:caps/>
          <w:kern w:val="32"/>
          <w:szCs w:val="32"/>
        </w:rPr>
        <w:t xml:space="preserve"> </w:t>
      </w:r>
      <w:r w:rsidR="00813BBA"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5B274D91" w14:textId="3D16C67D" w:rsidR="00324BCF" w:rsidRDefault="009266A2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5</w:t>
      </w:r>
      <w:r w:rsidR="00813BBA">
        <w:rPr>
          <w:rFonts w:cs="Arial"/>
          <w:b/>
          <w:bCs/>
          <w:iCs/>
          <w:szCs w:val="28"/>
        </w:rPr>
        <w:t>.1.</w:t>
      </w:r>
      <w:r w:rsidR="00813BBA">
        <w:rPr>
          <w:rFonts w:cs="Arial"/>
          <w:b/>
          <w:bCs/>
          <w:iCs/>
          <w:szCs w:val="28"/>
        </w:rPr>
        <w:tab/>
        <w:t>Kritéria hodnocení</w:t>
      </w:r>
    </w:p>
    <w:p w14:paraId="0DD79862" w14:textId="77777777" w:rsidR="00324BCF" w:rsidRDefault="00324BCF" w:rsidP="00324BCF"/>
    <w:p w14:paraId="22FD9FE0" w14:textId="77777777" w:rsidR="00324BCF" w:rsidRDefault="00813BBA" w:rsidP="00324BCF">
      <w:r>
        <w:t>Zadavatel bude nabídky hodnotit podle jejich ekonomické výhodnosti.</w:t>
      </w:r>
    </w:p>
    <w:p w14:paraId="76EB17A8" w14:textId="77777777" w:rsidR="00067CD4" w:rsidRDefault="00067CD4" w:rsidP="00324BCF">
      <w:pPr>
        <w:rPr>
          <w:bCs/>
        </w:rPr>
      </w:pPr>
    </w:p>
    <w:p w14:paraId="33F78C95" w14:textId="77777777" w:rsidR="00324BCF" w:rsidRDefault="00813BBA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14:paraId="3AD8F00B" w14:textId="77777777" w:rsidR="0070402B" w:rsidRDefault="0070402B" w:rsidP="006055CD"/>
    <w:p w14:paraId="2F7DAD84" w14:textId="23DA4129" w:rsidR="0070402B" w:rsidRDefault="009266A2" w:rsidP="00DB13DA">
      <w:pPr>
        <w:keepNext/>
      </w:pPr>
      <w:r>
        <w:rPr>
          <w:bCs/>
        </w:rPr>
        <w:t>5</w:t>
      </w:r>
      <w:r w:rsidR="00813BBA" w:rsidRPr="00B60D77">
        <w:rPr>
          <w:bCs/>
        </w:rPr>
        <w:t>.1.1.</w:t>
      </w:r>
      <w:r w:rsidR="00813BBA" w:rsidRPr="00B60D77">
        <w:rPr>
          <w:bCs/>
        </w:rPr>
        <w:tab/>
      </w:r>
      <w:r w:rsidR="00813BBA" w:rsidRPr="0070402B">
        <w:rPr>
          <w:bCs/>
        </w:rPr>
        <w:t>Podrobnosti kritérií</w:t>
      </w:r>
      <w:r w:rsidR="00813BBA">
        <w:rPr>
          <w:bCs/>
        </w:rPr>
        <w:t xml:space="preserve"> </w:t>
      </w:r>
      <w:r w:rsidR="00813BBA" w:rsidRPr="0070402B">
        <w:rPr>
          <w:bCs/>
        </w:rPr>
        <w:t>hodnocení</w:t>
      </w:r>
    </w:p>
    <w:p w14:paraId="03765A6D" w14:textId="77777777" w:rsidR="0070402B" w:rsidRPr="0070402B" w:rsidRDefault="0070402B" w:rsidP="00DB13DA">
      <w:pPr>
        <w:keepNext/>
      </w:pPr>
    </w:p>
    <w:p w14:paraId="6E77C749" w14:textId="77777777" w:rsidR="0001135D" w:rsidRPr="0001135D" w:rsidRDefault="00813BBA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0D68D0" w14:paraId="7739EDA5" w14:textId="77777777" w:rsidTr="004F22AD">
        <w:trPr>
          <w:cantSplit/>
        </w:trPr>
        <w:tc>
          <w:tcPr>
            <w:tcW w:w="1758" w:type="dxa"/>
            <w:vAlign w:val="center"/>
          </w:tcPr>
          <w:p w14:paraId="04252480" w14:textId="77777777" w:rsidR="0001135D" w:rsidRPr="0001135D" w:rsidRDefault="00813BBA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FF5E20C" w14:textId="77777777" w:rsidR="0001135D" w:rsidRPr="0001135D" w:rsidRDefault="00813BBA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36EDABE5" w14:textId="77777777" w:rsidR="0001135D" w:rsidRPr="0001135D" w:rsidRDefault="00813BBA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56E8393F" w14:textId="77777777" w:rsidR="0001135D" w:rsidRPr="0001135D" w:rsidRDefault="00813BBA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25E9038D" w14:textId="77777777" w:rsidR="0001135D" w:rsidRPr="0001135D" w:rsidRDefault="00813BBA" w:rsidP="0001135D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0D68D0" w14:paraId="781700BD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45EC057" w14:textId="77777777" w:rsidR="0001135D" w:rsidRPr="0001135D" w:rsidRDefault="00813BBA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42058493" w14:textId="77777777" w:rsidR="0001135D" w:rsidRPr="0001135D" w:rsidRDefault="00813BBA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68BBD35E" w14:textId="77777777" w:rsidR="0001135D" w:rsidRPr="0001135D" w:rsidRDefault="00813BBA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08A8A06F" w14:textId="77777777" w:rsidR="0001135D" w:rsidRPr="0001135D" w:rsidRDefault="00813BBA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81F6949" w14:textId="77777777" w:rsidR="0001135D" w:rsidRPr="0001135D" w:rsidRDefault="00813BBA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25845018" w14:textId="77777777" w:rsidR="0001135D" w:rsidRPr="0001135D" w:rsidRDefault="0001135D" w:rsidP="0001135D">
      <w:pPr>
        <w:rPr>
          <w:sz w:val="12"/>
        </w:rPr>
      </w:pPr>
    </w:p>
    <w:p w14:paraId="60015EE4" w14:textId="77777777" w:rsidR="0001135D" w:rsidRDefault="0001135D" w:rsidP="0070402B"/>
    <w:p w14:paraId="2FA2372E" w14:textId="07CA47BE" w:rsidR="00AC434C" w:rsidRPr="00AC434C" w:rsidRDefault="009266A2" w:rsidP="00E4282A">
      <w:pPr>
        <w:keepNext/>
      </w:pPr>
      <w:r>
        <w:rPr>
          <w:bCs/>
        </w:rPr>
        <w:t>5</w:t>
      </w:r>
      <w:r w:rsidR="00813BBA" w:rsidRPr="00AC434C">
        <w:rPr>
          <w:bCs/>
        </w:rPr>
        <w:t>.1.2.</w:t>
      </w:r>
      <w:r w:rsidR="00813BBA" w:rsidRPr="00AC434C">
        <w:rPr>
          <w:bCs/>
        </w:rPr>
        <w:tab/>
      </w:r>
      <w:proofErr w:type="spellStart"/>
      <w:r w:rsidR="00813BBA" w:rsidRPr="00AC434C">
        <w:rPr>
          <w:bCs/>
        </w:rPr>
        <w:t>Subkritéria</w:t>
      </w:r>
      <w:proofErr w:type="spellEnd"/>
      <w:r w:rsidR="00813BBA" w:rsidRPr="00AC434C">
        <w:rPr>
          <w:bCs/>
        </w:rPr>
        <w:t xml:space="preserve"> kritérií hodnocení</w:t>
      </w:r>
    </w:p>
    <w:p w14:paraId="122C5FE1" w14:textId="5C143199" w:rsidR="00600A55" w:rsidRPr="006D125A" w:rsidRDefault="00600A55" w:rsidP="00667258">
      <w:pPr>
        <w:rPr>
          <w:color w:val="1F497D" w:themeColor="text2"/>
          <w:sz w:val="22"/>
          <w:szCs w:val="22"/>
        </w:rPr>
      </w:pPr>
    </w:p>
    <w:p w14:paraId="48B06FED" w14:textId="737849A2" w:rsidR="00BA4863" w:rsidRPr="00BA4863" w:rsidRDefault="00813BBA" w:rsidP="00E4282A">
      <w:pPr>
        <w:keepNext/>
      </w:pPr>
      <w:r w:rsidRPr="002467CE">
        <w:t xml:space="preserve">Kritérium hodnocení č. </w:t>
      </w:r>
      <w:r w:rsidR="003F568A" w:rsidRPr="002467CE">
        <w:t>K001 – Nabídková</w:t>
      </w:r>
      <w:r w:rsidRPr="002467CE">
        <w:t xml:space="preserve">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14:paraId="33C2AEB1" w14:textId="04244C4E" w:rsidR="00D62E85" w:rsidRDefault="009266A2" w:rsidP="005D2EE8">
      <w:pPr>
        <w:keepNext/>
        <w:spacing w:before="240"/>
        <w:rPr>
          <w:b/>
          <w:bCs/>
          <w:iCs/>
        </w:rPr>
      </w:pPr>
      <w:r>
        <w:rPr>
          <w:b/>
          <w:bCs/>
          <w:iCs/>
        </w:rPr>
        <w:t>5</w:t>
      </w:r>
      <w:r w:rsidR="00813BBA" w:rsidRPr="007E188C">
        <w:rPr>
          <w:b/>
          <w:bCs/>
          <w:iCs/>
        </w:rPr>
        <w:t>.2.</w:t>
      </w:r>
      <w:r w:rsidR="00813BBA" w:rsidRPr="007E188C">
        <w:rPr>
          <w:b/>
          <w:bCs/>
          <w:iCs/>
        </w:rPr>
        <w:tab/>
        <w:t>Způsob hodnocení nabídek</w:t>
      </w:r>
    </w:p>
    <w:p w14:paraId="4EB47CBD" w14:textId="77777777"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14:paraId="7D224097" w14:textId="7F618510" w:rsidR="00970C2B" w:rsidRDefault="009266A2" w:rsidP="00970C2B">
      <w:pPr>
        <w:keepNext/>
        <w:rPr>
          <w:bCs/>
        </w:rPr>
      </w:pPr>
      <w:r>
        <w:rPr>
          <w:bCs/>
        </w:rPr>
        <w:t>5</w:t>
      </w:r>
      <w:r w:rsidR="00813BBA" w:rsidRPr="00712D07">
        <w:rPr>
          <w:bCs/>
        </w:rPr>
        <w:t>.2.1.</w:t>
      </w:r>
      <w:r w:rsidR="00813BBA" w:rsidRPr="00712D07">
        <w:rPr>
          <w:bCs/>
        </w:rPr>
        <w:tab/>
      </w:r>
      <w:r w:rsidR="00813BBA" w:rsidRPr="00712D07">
        <w:t xml:space="preserve">Způsob hodnocení u kritéria hodnocení </w:t>
      </w:r>
      <w:r w:rsidR="00813BBA" w:rsidRPr="00712D07">
        <w:rPr>
          <w:bCs/>
        </w:rPr>
        <w:t xml:space="preserve">č. </w:t>
      </w:r>
      <w:r w:rsidR="003F568A" w:rsidRPr="00712D07">
        <w:rPr>
          <w:bCs/>
        </w:rPr>
        <w:t>K001 – Nabídková</w:t>
      </w:r>
      <w:r w:rsidR="00813BBA" w:rsidRPr="00712D07">
        <w:rPr>
          <w:bCs/>
        </w:rPr>
        <w:t xml:space="preserve"> cena</w:t>
      </w:r>
      <w:r w:rsidR="00813BBA">
        <w:rPr>
          <w:bCs/>
        </w:rPr>
        <w:t xml:space="preserve"> </w:t>
      </w:r>
    </w:p>
    <w:p w14:paraId="2614CA35" w14:textId="77777777" w:rsidR="00970C2B" w:rsidRPr="00712D07" w:rsidRDefault="00970C2B" w:rsidP="00970C2B">
      <w:pPr>
        <w:keepNext/>
        <w:rPr>
          <w:i/>
        </w:rPr>
      </w:pPr>
    </w:p>
    <w:p w14:paraId="069E15B8" w14:textId="77777777" w:rsidR="0006263A" w:rsidRDefault="00813BBA" w:rsidP="001125F0">
      <w:r>
        <w:t>H</w:t>
      </w:r>
      <w:r w:rsidRPr="008B7129">
        <w:t>odno</w:t>
      </w:r>
      <w:r>
        <w:t>cena bude nabídková cena s DPH.</w:t>
      </w:r>
    </w:p>
    <w:p w14:paraId="79B3EBBD" w14:textId="77777777" w:rsidR="004F502C" w:rsidRDefault="00813BBA" w:rsidP="004F502C">
      <w:r>
        <w:t>Vzorec pro výpočet bodové hodnoty u tohoto kritéria je následující:</w:t>
      </w:r>
    </w:p>
    <w:p w14:paraId="06679ED6" w14:textId="77777777" w:rsidR="004F502C" w:rsidRDefault="00813BBA" w:rsidP="001125F0">
      <w:r>
        <w:tab/>
        <w:t>Bodová hodnota = 100 * Hodnota nejvhodnější nabídky / Hodnota nabídky</w:t>
      </w:r>
    </w:p>
    <w:p w14:paraId="4BBC3C14" w14:textId="73CB28E1" w:rsidR="00757DD3" w:rsidRPr="00B440BB" w:rsidRDefault="00813BBA" w:rsidP="001E31EC">
      <w:r>
        <w:t>Výsledná bodová hodnota tohoto kritéria bude následně započtena do vzorce pro stanovení výsledného pořadí nabídek.</w:t>
      </w:r>
    </w:p>
    <w:p w14:paraId="65630F99" w14:textId="71417CFD" w:rsidR="001125F0" w:rsidRDefault="009266A2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>
        <w:rPr>
          <w:rFonts w:cs="Arial"/>
          <w:b/>
          <w:bCs/>
          <w:iCs/>
          <w:kern w:val="32"/>
          <w:szCs w:val="32"/>
        </w:rPr>
        <w:t>5</w:t>
      </w:r>
      <w:r w:rsidR="00813BBA" w:rsidRPr="0047190D">
        <w:rPr>
          <w:rFonts w:cs="Arial"/>
          <w:b/>
          <w:bCs/>
          <w:iCs/>
          <w:kern w:val="32"/>
          <w:szCs w:val="32"/>
        </w:rPr>
        <w:t>.3.</w:t>
      </w:r>
      <w:r w:rsidR="00813BBA" w:rsidRPr="0047190D">
        <w:rPr>
          <w:rFonts w:cs="Arial"/>
          <w:b/>
          <w:bCs/>
          <w:iCs/>
          <w:kern w:val="32"/>
          <w:szCs w:val="32"/>
        </w:rPr>
        <w:tab/>
        <w:t xml:space="preserve">Způsob </w:t>
      </w:r>
      <w:r w:rsidRPr="0047190D">
        <w:rPr>
          <w:rFonts w:cs="Arial"/>
          <w:b/>
          <w:bCs/>
          <w:iCs/>
          <w:kern w:val="32"/>
          <w:szCs w:val="32"/>
        </w:rPr>
        <w:t xml:space="preserve">stanovení </w:t>
      </w:r>
      <w:r w:rsidRPr="00644EE7">
        <w:rPr>
          <w:rFonts w:cs="Arial"/>
          <w:b/>
          <w:bCs/>
          <w:iCs/>
          <w:kern w:val="32"/>
          <w:szCs w:val="32"/>
        </w:rPr>
        <w:t>pořadí</w:t>
      </w:r>
      <w:r>
        <w:rPr>
          <w:rFonts w:cs="Arial"/>
          <w:b/>
          <w:bCs/>
          <w:iCs/>
          <w:kern w:val="32"/>
          <w:szCs w:val="32"/>
        </w:rPr>
        <w:t xml:space="preserve"> </w:t>
      </w:r>
      <w:r w:rsidR="00813BBA" w:rsidRPr="00644EE7">
        <w:rPr>
          <w:rFonts w:cs="Arial"/>
          <w:b/>
          <w:bCs/>
          <w:iCs/>
          <w:kern w:val="32"/>
          <w:szCs w:val="32"/>
        </w:rPr>
        <w:t>nabíd</w:t>
      </w:r>
      <w:r w:rsidR="00813BBA">
        <w:rPr>
          <w:rFonts w:cs="Arial"/>
          <w:b/>
          <w:bCs/>
          <w:iCs/>
          <w:kern w:val="32"/>
          <w:szCs w:val="32"/>
        </w:rPr>
        <w:t>e</w:t>
      </w:r>
      <w:r w:rsidR="00813BBA" w:rsidRPr="00644EE7">
        <w:rPr>
          <w:rFonts w:cs="Arial"/>
          <w:b/>
          <w:bCs/>
          <w:iCs/>
          <w:kern w:val="32"/>
          <w:szCs w:val="32"/>
        </w:rPr>
        <w:t>k</w:t>
      </w:r>
    </w:p>
    <w:p w14:paraId="245A5FBD" w14:textId="77777777" w:rsidR="001125F0" w:rsidRPr="001125F0" w:rsidRDefault="00813BBA" w:rsidP="001125F0">
      <w:r w:rsidRPr="009A5210">
        <w:rPr>
          <w:bCs/>
        </w:rPr>
        <w:t>Pořadí nabídek bude stanoveno na základě následujícího vzorce:</w:t>
      </w:r>
    </w:p>
    <w:p w14:paraId="355C2539" w14:textId="0F5999B8" w:rsidR="00CD4456" w:rsidRDefault="00813BBA" w:rsidP="00757DD3">
      <w:pPr>
        <w:ind w:firstLine="708"/>
      </w:pPr>
      <w:r w:rsidRPr="009A5210">
        <w:t>K001 * 1</w:t>
      </w:r>
    </w:p>
    <w:p w14:paraId="2B0CC4B0" w14:textId="77777777" w:rsidR="008510CE" w:rsidRPr="00CD6F28" w:rsidRDefault="008510CE" w:rsidP="008510CE">
      <w:pPr>
        <w:rPr>
          <w:color w:val="E36C0A"/>
          <w:sz w:val="2"/>
          <w:u w:val="single"/>
        </w:rPr>
      </w:pPr>
    </w:p>
    <w:p w14:paraId="23E26AA2" w14:textId="77777777"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14:paraId="40218266" w14:textId="4A9BEBF8" w:rsidR="00AF782B" w:rsidRPr="00AF782B" w:rsidRDefault="009266A2" w:rsidP="006D19ED">
      <w:pPr>
        <w:pStyle w:val="Nadpis1"/>
      </w:pPr>
      <w:r>
        <w:t>6</w:t>
      </w:r>
      <w:r w:rsidR="00813BBA" w:rsidRPr="00781C9B">
        <w:t>.</w:t>
      </w:r>
      <w:r w:rsidR="00813BBA" w:rsidRPr="00781C9B">
        <w:tab/>
        <w:t>Termín A ZPŮSOB pro podání nabídek</w:t>
      </w:r>
    </w:p>
    <w:p w14:paraId="609449B6" w14:textId="6F4DB5C5" w:rsidR="008510CE" w:rsidRPr="00781C9B" w:rsidRDefault="009266A2" w:rsidP="00CC397E">
      <w:pPr>
        <w:pStyle w:val="Nadpis2"/>
      </w:pPr>
      <w:bookmarkStart w:id="5" w:name="_Toc350412612"/>
      <w:r>
        <w:t>6</w:t>
      </w:r>
      <w:r w:rsidR="00813BBA" w:rsidRPr="00781C9B">
        <w:t>.1.</w:t>
      </w:r>
      <w:r w:rsidR="00813BBA" w:rsidRPr="00781C9B">
        <w:tab/>
        <w:t>Lhůta a způsob pro podání nabídek</w:t>
      </w:r>
      <w:bookmarkEnd w:id="5"/>
    </w:p>
    <w:p w14:paraId="33DCAFF9" w14:textId="7E43094C" w:rsidR="008510CE" w:rsidRPr="00781C9B" w:rsidRDefault="00813BBA" w:rsidP="00600A1C">
      <w:pPr>
        <w:widowControl w:val="0"/>
        <w:jc w:val="both"/>
      </w:pPr>
      <w:r w:rsidRPr="00781C9B">
        <w:t xml:space="preserve">Nabídky musí být podány nejpozději do </w:t>
      </w:r>
      <w:r w:rsidR="00600A1C">
        <w:t>23</w:t>
      </w:r>
      <w:r w:rsidRPr="00781C9B">
        <w:t>.</w:t>
      </w:r>
      <w:r w:rsidR="00600A1C">
        <w:t>5</w:t>
      </w:r>
      <w:r w:rsidRPr="00781C9B">
        <w:t xml:space="preserve">.2023 </w:t>
      </w:r>
      <w:r w:rsidR="003F568A">
        <w:t xml:space="preserve">do </w:t>
      </w:r>
      <w:r w:rsidRPr="00781C9B">
        <w:t>1</w:t>
      </w:r>
      <w:r w:rsidR="00600A1C">
        <w:t>2</w:t>
      </w:r>
      <w:r w:rsidRPr="00781C9B">
        <w:t>:00</w:t>
      </w:r>
      <w:r w:rsidR="003F568A">
        <w:t xml:space="preserve"> hod</w:t>
      </w:r>
      <w:r w:rsidRPr="00781C9B">
        <w:t>. Podáním nabídky se rozumí doručení nabídky zadavateli. Za včasné doručení odpovídá dodavatel.</w:t>
      </w:r>
    </w:p>
    <w:p w14:paraId="3457A9AA" w14:textId="77777777" w:rsidR="00DD714C" w:rsidRPr="00781C9B" w:rsidRDefault="00DD714C" w:rsidP="00600A1C">
      <w:pPr>
        <w:widowControl w:val="0"/>
        <w:jc w:val="both"/>
      </w:pPr>
    </w:p>
    <w:p w14:paraId="2214C02B" w14:textId="77777777" w:rsidR="008510CE" w:rsidRPr="00781C9B" w:rsidRDefault="00813BBA" w:rsidP="00600A1C">
      <w:pPr>
        <w:widowControl w:val="0"/>
        <w:jc w:val="both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111CEA32" w14:textId="77777777" w:rsidR="008510CE" w:rsidRPr="00781C9B" w:rsidRDefault="008510CE" w:rsidP="00600A1C">
      <w:pPr>
        <w:widowControl w:val="0"/>
        <w:jc w:val="both"/>
      </w:pPr>
    </w:p>
    <w:p w14:paraId="1D5138F6" w14:textId="77777777" w:rsidR="006F4857" w:rsidRDefault="00813BBA" w:rsidP="00600A1C">
      <w:pPr>
        <w:widowControl w:val="0"/>
        <w:jc w:val="both"/>
      </w:pPr>
      <w:r w:rsidRPr="00781C9B">
        <w:t>Nabídka musí být podána nejpozději do konce lhůty pro podání nabídek stanovené výše.</w:t>
      </w:r>
    </w:p>
    <w:p w14:paraId="50030311" w14:textId="77777777" w:rsidR="00032170" w:rsidRDefault="00032170" w:rsidP="00600A1C">
      <w:pPr>
        <w:widowControl w:val="0"/>
        <w:jc w:val="both"/>
      </w:pPr>
    </w:p>
    <w:p w14:paraId="1E998AE1" w14:textId="77777777" w:rsidR="00D868AA" w:rsidRDefault="00813BBA" w:rsidP="00600A1C">
      <w:pPr>
        <w:widowControl w:val="0"/>
        <w:jc w:val="both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03719C34" w14:textId="77777777" w:rsidR="00032170" w:rsidRPr="00781C9B" w:rsidRDefault="00813BBA" w:rsidP="00600A1C">
      <w:pPr>
        <w:widowControl w:val="0"/>
        <w:jc w:val="both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14:paraId="38822ECA" w14:textId="77777777" w:rsidR="008510CE" w:rsidRPr="00781C9B" w:rsidRDefault="00813BBA" w:rsidP="00600A1C">
      <w:pPr>
        <w:widowControl w:val="0"/>
        <w:jc w:val="both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</w:t>
      </w:r>
      <w:r w:rsidR="007A1842" w:rsidRPr="00781C9B">
        <w:rPr>
          <w:bCs/>
        </w:rPr>
        <w:t>formě,</w:t>
      </w:r>
      <w:r w:rsidRPr="00781C9B">
        <w:rPr>
          <w:bCs/>
        </w:rPr>
        <w:t xml:space="preserve"> než zadavatel požadoval.</w:t>
      </w:r>
    </w:p>
    <w:p w14:paraId="7549C230" w14:textId="138F2CE4" w:rsidR="008510CE" w:rsidRDefault="009266A2" w:rsidP="006D19ED">
      <w:pPr>
        <w:pStyle w:val="Nadpis1"/>
      </w:pPr>
      <w:r>
        <w:t>7</w:t>
      </w:r>
      <w:r w:rsidR="00813BBA" w:rsidRPr="00781C9B">
        <w:t>.</w:t>
      </w:r>
      <w:r w:rsidR="00813BBA" w:rsidRPr="00781C9B">
        <w:tab/>
        <w:t>Otevírání nabídek</w:t>
      </w:r>
    </w:p>
    <w:p w14:paraId="29AB9E3B" w14:textId="0C17C64E" w:rsidR="002537CF" w:rsidRDefault="00813BBA" w:rsidP="00A37148">
      <w:pPr>
        <w:keepNext/>
        <w:widowControl w:val="0"/>
        <w:spacing w:before="240"/>
      </w:pPr>
      <w:r w:rsidRPr="007D2AAC">
        <w:t xml:space="preserve">Otevírání nabídek se bude konat dne </w:t>
      </w:r>
      <w:r w:rsidR="00600A1C">
        <w:t>23</w:t>
      </w:r>
      <w:r w:rsidR="003F568A">
        <w:t>.</w:t>
      </w:r>
      <w:r w:rsidR="00600A1C">
        <w:t>5</w:t>
      </w:r>
      <w:r w:rsidRPr="007D2AAC">
        <w:t>.2023 od 1</w:t>
      </w:r>
      <w:r w:rsidR="00600A1C">
        <w:t>2</w:t>
      </w:r>
      <w:r w:rsidRPr="007D2AAC">
        <w:t>:</w:t>
      </w:r>
      <w:r w:rsidR="003F568A">
        <w:t>15 hod</w:t>
      </w:r>
      <w:r w:rsidR="0094705C">
        <w:t>.</w:t>
      </w:r>
    </w:p>
    <w:p w14:paraId="37E1FB66" w14:textId="5335114B" w:rsidR="008510CE" w:rsidRDefault="009266A2" w:rsidP="006D19ED">
      <w:pPr>
        <w:pStyle w:val="Nadpis1"/>
      </w:pPr>
      <w:bookmarkStart w:id="6" w:name="_Toc350412618"/>
      <w:r>
        <w:t>8</w:t>
      </w:r>
      <w:r w:rsidR="00813BBA" w:rsidRPr="00781C9B">
        <w:t>.</w:t>
      </w:r>
      <w:r w:rsidR="00813BBA" w:rsidRPr="00781C9B">
        <w:tab/>
        <w:t>Dal</w:t>
      </w:r>
      <w:r w:rsidR="00866A40">
        <w:t>ší informace K ZADÁVACÍMU postupu</w:t>
      </w:r>
      <w:r w:rsidR="00813BBA" w:rsidRPr="00781C9B">
        <w:t xml:space="preserve"> </w:t>
      </w:r>
    </w:p>
    <w:p w14:paraId="73765A35" w14:textId="35EAE341" w:rsidR="008510CE" w:rsidRPr="00781C9B" w:rsidRDefault="009266A2" w:rsidP="00CC397E">
      <w:pPr>
        <w:pStyle w:val="Nadpis2"/>
      </w:pPr>
      <w:bookmarkStart w:id="7" w:name="_Toc350412622"/>
      <w:bookmarkEnd w:id="6"/>
      <w:r>
        <w:t>8</w:t>
      </w:r>
      <w:r w:rsidR="00813BBA" w:rsidRPr="00781C9B">
        <w:t>.1.</w:t>
      </w:r>
      <w:r w:rsidR="00813BBA" w:rsidRPr="00781C9B">
        <w:tab/>
        <w:t>Variantní řešení nabídky</w:t>
      </w:r>
      <w:bookmarkEnd w:id="7"/>
    </w:p>
    <w:p w14:paraId="1E6FA183" w14:textId="77777777" w:rsidR="00CC397E" w:rsidRDefault="00813BBA" w:rsidP="00834691">
      <w:pPr>
        <w:spacing w:after="240"/>
      </w:pPr>
      <w:r w:rsidRPr="00781C9B">
        <w:t>Zadavatel nepřipouští varianty nabídky.</w:t>
      </w:r>
      <w:bookmarkStart w:id="8" w:name="_Toc350412629"/>
    </w:p>
    <w:p w14:paraId="3B93D49D" w14:textId="66702474" w:rsidR="008510CE" w:rsidRPr="00781C9B" w:rsidRDefault="009266A2" w:rsidP="00CC397E">
      <w:pPr>
        <w:pStyle w:val="Nadpis2"/>
      </w:pPr>
      <w:r>
        <w:t>8</w:t>
      </w:r>
      <w:r w:rsidR="00813BBA" w:rsidRPr="00781C9B">
        <w:t>.2.</w:t>
      </w:r>
      <w:r w:rsidR="00813BBA" w:rsidRPr="00781C9B">
        <w:tab/>
        <w:t>Další informace technické povahy</w:t>
      </w:r>
      <w:bookmarkEnd w:id="8"/>
    </w:p>
    <w:p w14:paraId="31506374" w14:textId="77777777" w:rsidR="008510CE" w:rsidRPr="00781C9B" w:rsidRDefault="00813BBA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14:paraId="74041980" w14:textId="073C9A1A" w:rsidR="008510CE" w:rsidRPr="00781C9B" w:rsidRDefault="009266A2" w:rsidP="00834691">
      <w:pPr>
        <w:pStyle w:val="Nadpis2"/>
      </w:pPr>
      <w:r>
        <w:t>8</w:t>
      </w:r>
      <w:r w:rsidR="00813BBA" w:rsidRPr="00781C9B">
        <w:t>.3.</w:t>
      </w:r>
      <w:r w:rsidR="00813BBA" w:rsidRPr="00781C9B">
        <w:tab/>
        <w:t>Vysvětlení zadávací dokumentace</w:t>
      </w:r>
    </w:p>
    <w:p w14:paraId="5C5344D3" w14:textId="77777777" w:rsidR="0035599C" w:rsidRDefault="00813BBA" w:rsidP="00600A1C">
      <w:pPr>
        <w:jc w:val="both"/>
      </w:pPr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14:paraId="01844047" w14:textId="77777777" w:rsidR="00CC397E" w:rsidRDefault="00813BBA" w:rsidP="00600A1C">
      <w:pPr>
        <w:spacing w:after="240"/>
        <w:jc w:val="both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9" w:name="_Toc350341007"/>
      <w:bookmarkStart w:id="10" w:name="_Toc350341157"/>
      <w:bookmarkStart w:id="11" w:name="_Toc350341008"/>
      <w:bookmarkStart w:id="12" w:name="_Toc350341158"/>
      <w:bookmarkStart w:id="13" w:name="_Toc350341010"/>
      <w:bookmarkStart w:id="14" w:name="_Toc350341160"/>
      <w:bookmarkStart w:id="15" w:name="_Toc350341011"/>
      <w:bookmarkStart w:id="16" w:name="_Toc350341161"/>
      <w:bookmarkStart w:id="17" w:name="_Toc350341012"/>
      <w:bookmarkStart w:id="18" w:name="_Toc350341162"/>
      <w:bookmarkStart w:id="19" w:name="_Toc350341013"/>
      <w:bookmarkStart w:id="20" w:name="_Toc350341163"/>
      <w:bookmarkStart w:id="21" w:name="_Toc350341014"/>
      <w:bookmarkStart w:id="22" w:name="_Toc350341164"/>
      <w:bookmarkStart w:id="23" w:name="_Toc350341015"/>
      <w:bookmarkStart w:id="24" w:name="_Toc350341165"/>
      <w:bookmarkStart w:id="25" w:name="_Toc350341016"/>
      <w:bookmarkStart w:id="26" w:name="_Toc350341166"/>
      <w:bookmarkStart w:id="27" w:name="_Toc350341018"/>
      <w:bookmarkStart w:id="28" w:name="_Toc350341168"/>
      <w:bookmarkStart w:id="29" w:name="_Toc350341019"/>
      <w:bookmarkStart w:id="30" w:name="_Toc350341169"/>
      <w:bookmarkStart w:id="31" w:name="_Toc35041263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9A28D4E" w14:textId="36736F69" w:rsidR="008510CE" w:rsidRPr="00781C9B" w:rsidRDefault="009266A2" w:rsidP="00CC397E">
      <w:pPr>
        <w:pStyle w:val="Nadpis2"/>
      </w:pPr>
      <w:r>
        <w:t>8</w:t>
      </w:r>
      <w:r w:rsidR="00813BBA" w:rsidRPr="00781C9B">
        <w:t>.4.</w:t>
      </w:r>
      <w:r w:rsidR="00813BBA" w:rsidRPr="00781C9B">
        <w:tab/>
        <w:t>Zadavatel si vyhrazuje právo</w:t>
      </w:r>
      <w:bookmarkEnd w:id="31"/>
    </w:p>
    <w:p w14:paraId="7C13B4F0" w14:textId="77777777" w:rsidR="008510CE" w:rsidRPr="00781C9B" w:rsidRDefault="00813BBA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1B114B0F" w14:textId="77777777" w:rsidR="008510CE" w:rsidRPr="00781C9B" w:rsidRDefault="00813BBA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14:paraId="01793946" w14:textId="77777777"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14:paraId="2296D619" w14:textId="77777777" w:rsidR="008510CE" w:rsidRPr="00781C9B" w:rsidRDefault="00813BBA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0FA0423F" w14:textId="77777777" w:rsidR="008510CE" w:rsidRDefault="00813BBA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121A1C9B" w14:textId="77777777" w:rsidR="00BB2E9E" w:rsidRDefault="00813BBA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14:paraId="0EC81A80" w14:textId="77777777" w:rsidR="00BB2E9E" w:rsidRDefault="00813BBA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DAD5477" w14:textId="77777777" w:rsidR="008510CE" w:rsidRPr="00781C9B" w:rsidRDefault="00813BBA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6D8E1EA6" w14:textId="77777777" w:rsidR="008510CE" w:rsidRPr="00781C9B" w:rsidRDefault="00813BBA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lastRenderedPageBreak/>
        <w:t xml:space="preserve">       • </w:t>
      </w:r>
      <w:r w:rsidRPr="00781C9B">
        <w:t>uveřejnit oznámení o výběru nejvhodnější nabídky na profilu zadavatele;</w:t>
      </w:r>
    </w:p>
    <w:p w14:paraId="003ABE75" w14:textId="77777777" w:rsidR="008510CE" w:rsidRPr="00781C9B" w:rsidRDefault="008510CE" w:rsidP="008510CE"/>
    <w:p w14:paraId="68A938D6" w14:textId="77777777" w:rsidR="008510CE" w:rsidRPr="00781C9B" w:rsidRDefault="00813BBA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3EF65BA3" w14:textId="77777777" w:rsidR="008510CE" w:rsidRPr="00434235" w:rsidRDefault="00813BBA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0C2641AD" w14:textId="3BDC8A6B" w:rsidR="008379B0" w:rsidRPr="00F82D77" w:rsidRDefault="00600A1C" w:rsidP="008379B0">
      <w:pPr>
        <w:keepNext/>
        <w:rPr>
          <w:bCs/>
          <w:color w:val="548DD4" w:themeColor="text2" w:themeTint="99"/>
          <w:sz w:val="18"/>
        </w:rPr>
      </w:pPr>
      <w:r>
        <w:t>12.5</w:t>
      </w:r>
      <w:r w:rsidR="00813BBA" w:rsidRPr="00F82D77">
        <w:t>.2023</w:t>
      </w:r>
    </w:p>
    <w:p w14:paraId="32B24BF0" w14:textId="77777777" w:rsidR="008379B0" w:rsidRPr="00F82D77" w:rsidRDefault="00813BBA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14:paraId="7D17F19A" w14:textId="77777777" w:rsidR="008379B0" w:rsidRPr="00F82D77" w:rsidRDefault="00813BBA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Albert</w:t>
      </w:r>
      <w:r w:rsidRPr="00F82D77">
        <w:rPr>
          <w:bCs/>
        </w:rPr>
        <w:t xml:space="preserve"> </w:t>
      </w:r>
      <w:r w:rsidRPr="00F82D77">
        <w:t>Sidó</w:t>
      </w:r>
      <w:r w:rsidRPr="00F82D77">
        <w:rPr>
          <w:bCs/>
        </w:rPr>
        <w:t>, Archiv bezpečnostních složek</w:t>
      </w:r>
    </w:p>
    <w:p w14:paraId="1A9CA2B9" w14:textId="77777777" w:rsidR="009C706B" w:rsidRDefault="009C706B" w:rsidP="00C63B11">
      <w:pPr>
        <w:widowControl w:val="0"/>
        <w:adjustRightInd w:val="0"/>
        <w:textAlignment w:val="baseline"/>
        <w:rPr>
          <w:b/>
        </w:rPr>
      </w:pPr>
    </w:p>
    <w:p w14:paraId="061B5DC4" w14:textId="77777777" w:rsidR="008510CE" w:rsidRPr="00781C9B" w:rsidRDefault="008510CE" w:rsidP="009C706B">
      <w:pPr>
        <w:keepLines/>
        <w:widowControl w:val="0"/>
        <w:adjustRightInd w:val="0"/>
        <w:textAlignment w:val="baseline"/>
        <w:rPr>
          <w:b/>
        </w:rPr>
      </w:pPr>
    </w:p>
    <w:sectPr w:rsidR="008510CE" w:rsidRPr="00781C9B" w:rsidSect="008510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C9D" w14:textId="77777777" w:rsidR="00D639BA" w:rsidRDefault="00D639BA">
      <w:r>
        <w:separator/>
      </w:r>
    </w:p>
  </w:endnote>
  <w:endnote w:type="continuationSeparator" w:id="0">
    <w:p w14:paraId="371A7890" w14:textId="77777777" w:rsidR="00D639BA" w:rsidRDefault="00D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1E54" w14:textId="77777777" w:rsidR="00D222DB" w:rsidRDefault="00D22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5741" w14:textId="77777777" w:rsidR="008647D3" w:rsidRPr="00E234AE" w:rsidRDefault="008647D3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696B294F" w14:textId="77777777" w:rsidR="008647D3" w:rsidRPr="00E21605" w:rsidRDefault="00813BBA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C3A3" w14:textId="77777777" w:rsidR="00D222DB" w:rsidRDefault="00D22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0239" w14:textId="77777777" w:rsidR="00D639BA" w:rsidRDefault="00D639BA">
      <w:r>
        <w:separator/>
      </w:r>
    </w:p>
  </w:footnote>
  <w:footnote w:type="continuationSeparator" w:id="0">
    <w:p w14:paraId="769861A9" w14:textId="77777777" w:rsidR="00D639BA" w:rsidRDefault="00D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D8EB" w14:textId="77777777" w:rsidR="00D222DB" w:rsidRDefault="00D22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C2A1" w14:textId="784C990F" w:rsidR="008647D3" w:rsidRPr="00D222DB" w:rsidRDefault="00726BDE" w:rsidP="008510CE">
    <w:pPr>
      <w:pStyle w:val="Zhlav"/>
      <w:jc w:val="center"/>
      <w:rPr>
        <w:bCs/>
        <w:sz w:val="14"/>
        <w:szCs w:val="32"/>
      </w:rPr>
    </w:pPr>
    <w:r w:rsidRPr="00650364">
      <w:rPr>
        <w:noProof/>
      </w:rPr>
      <w:drawing>
        <wp:anchor distT="0" distB="0" distL="114300" distR="114300" simplePos="0" relativeHeight="251659264" behindDoc="0" locked="0" layoutInCell="1" allowOverlap="1" wp14:anchorId="0E9CC8E8" wp14:editId="28CAB0F2">
          <wp:simplePos x="0" y="0"/>
          <wp:positionH relativeFrom="column">
            <wp:posOffset>-533400</wp:posOffset>
          </wp:positionH>
          <wp:positionV relativeFrom="paragraph">
            <wp:posOffset>189865</wp:posOffset>
          </wp:positionV>
          <wp:extent cx="1286510" cy="290195"/>
          <wp:effectExtent l="0" t="0" r="889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2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BBA" w:rsidRPr="00553445">
      <w:rPr>
        <w:bCs/>
        <w:noProof/>
        <w:color w:val="1F497D"/>
        <w:sz w:val="14"/>
        <w:szCs w:val="32"/>
      </w:rPr>
      <w:drawing>
        <wp:inline distT="0" distB="0" distL="0" distR="0" wp14:anchorId="17ED9F22" wp14:editId="11FE8863">
          <wp:extent cx="12700" cy="127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22DB">
      <w:rPr>
        <w:bCs/>
        <w:color w:val="1F497D"/>
        <w:sz w:val="14"/>
        <w:szCs w:val="32"/>
      </w:rPr>
      <w:tab/>
    </w:r>
    <w:r w:rsidR="00D222DB">
      <w:rPr>
        <w:bCs/>
        <w:color w:val="1F497D"/>
        <w:sz w:val="14"/>
        <w:szCs w:val="32"/>
      </w:rPr>
      <w:tab/>
    </w:r>
  </w:p>
  <w:p w14:paraId="2D98CF1C" w14:textId="32322279" w:rsidR="00D222DB" w:rsidRPr="00D222DB" w:rsidRDefault="00D222DB" w:rsidP="008510CE">
    <w:pPr>
      <w:pStyle w:val="Zhlav"/>
      <w:jc w:val="center"/>
      <w:rPr>
        <w:bCs/>
        <w:szCs w:val="20"/>
      </w:rPr>
    </w:pPr>
    <w:r w:rsidRPr="00D222DB">
      <w:rPr>
        <w:bCs/>
        <w:sz w:val="14"/>
        <w:szCs w:val="32"/>
      </w:rPr>
      <w:tab/>
    </w:r>
    <w:r w:rsidRPr="00D222DB">
      <w:rPr>
        <w:bCs/>
        <w:sz w:val="14"/>
        <w:szCs w:val="32"/>
      </w:rPr>
      <w:tab/>
    </w:r>
    <w:r w:rsidRPr="00D222DB">
      <w:rPr>
        <w:bCs/>
        <w:szCs w:val="20"/>
      </w:rPr>
      <w:t>Příloha č. 1</w:t>
    </w:r>
  </w:p>
  <w:p w14:paraId="48614C94" w14:textId="4B83A0F6" w:rsidR="00D222DB" w:rsidRPr="00D222DB" w:rsidRDefault="00D222DB" w:rsidP="008510CE">
    <w:pPr>
      <w:pStyle w:val="Zhlav"/>
      <w:jc w:val="center"/>
      <w:rPr>
        <w:bCs/>
        <w:szCs w:val="20"/>
      </w:rPr>
    </w:pPr>
    <w:r w:rsidRPr="00D222DB">
      <w:rPr>
        <w:bCs/>
        <w:szCs w:val="20"/>
      </w:rPr>
      <w:tab/>
    </w:r>
    <w:r w:rsidRPr="00D222DB">
      <w:rPr>
        <w:bCs/>
        <w:szCs w:val="20"/>
      </w:rPr>
      <w:tab/>
      <w:t>k Č.j.: ABS 2088/2023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5CB1" w14:textId="77777777" w:rsidR="00D222DB" w:rsidRDefault="00D22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0A62A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CC1E0" w:tentative="1">
      <w:start w:val="1"/>
      <w:numFmt w:val="lowerLetter"/>
      <w:lvlText w:val="%2."/>
      <w:lvlJc w:val="left"/>
      <w:pPr>
        <w:ind w:left="1440" w:hanging="360"/>
      </w:pPr>
    </w:lvl>
    <w:lvl w:ilvl="2" w:tplc="56D2143A" w:tentative="1">
      <w:start w:val="1"/>
      <w:numFmt w:val="lowerRoman"/>
      <w:lvlText w:val="%3."/>
      <w:lvlJc w:val="right"/>
      <w:pPr>
        <w:ind w:left="2160" w:hanging="180"/>
      </w:pPr>
    </w:lvl>
    <w:lvl w:ilvl="3" w:tplc="422051C0" w:tentative="1">
      <w:start w:val="1"/>
      <w:numFmt w:val="decimal"/>
      <w:lvlText w:val="%4."/>
      <w:lvlJc w:val="left"/>
      <w:pPr>
        <w:ind w:left="2880" w:hanging="360"/>
      </w:pPr>
    </w:lvl>
    <w:lvl w:ilvl="4" w:tplc="9ED01B3E" w:tentative="1">
      <w:start w:val="1"/>
      <w:numFmt w:val="lowerLetter"/>
      <w:lvlText w:val="%5."/>
      <w:lvlJc w:val="left"/>
      <w:pPr>
        <w:ind w:left="3600" w:hanging="360"/>
      </w:pPr>
    </w:lvl>
    <w:lvl w:ilvl="5" w:tplc="9EDE5462" w:tentative="1">
      <w:start w:val="1"/>
      <w:numFmt w:val="lowerRoman"/>
      <w:lvlText w:val="%6."/>
      <w:lvlJc w:val="right"/>
      <w:pPr>
        <w:ind w:left="4320" w:hanging="180"/>
      </w:pPr>
    </w:lvl>
    <w:lvl w:ilvl="6" w:tplc="A28EA492" w:tentative="1">
      <w:start w:val="1"/>
      <w:numFmt w:val="decimal"/>
      <w:lvlText w:val="%7."/>
      <w:lvlJc w:val="left"/>
      <w:pPr>
        <w:ind w:left="5040" w:hanging="360"/>
      </w:pPr>
    </w:lvl>
    <w:lvl w:ilvl="7" w:tplc="FCDE5D64" w:tentative="1">
      <w:start w:val="1"/>
      <w:numFmt w:val="lowerLetter"/>
      <w:lvlText w:val="%8."/>
      <w:lvlJc w:val="left"/>
      <w:pPr>
        <w:ind w:left="5760" w:hanging="360"/>
      </w:pPr>
    </w:lvl>
    <w:lvl w:ilvl="8" w:tplc="4A32F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A0E2A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2C6B04" w:tentative="1">
      <w:start w:val="1"/>
      <w:numFmt w:val="lowerLetter"/>
      <w:lvlText w:val="%2."/>
      <w:lvlJc w:val="left"/>
      <w:pPr>
        <w:ind w:left="1440" w:hanging="360"/>
      </w:pPr>
    </w:lvl>
    <w:lvl w:ilvl="2" w:tplc="04FC8CC4" w:tentative="1">
      <w:start w:val="1"/>
      <w:numFmt w:val="lowerRoman"/>
      <w:lvlText w:val="%3."/>
      <w:lvlJc w:val="right"/>
      <w:pPr>
        <w:ind w:left="2160" w:hanging="180"/>
      </w:pPr>
    </w:lvl>
    <w:lvl w:ilvl="3" w:tplc="C5D044F0" w:tentative="1">
      <w:start w:val="1"/>
      <w:numFmt w:val="decimal"/>
      <w:lvlText w:val="%4."/>
      <w:lvlJc w:val="left"/>
      <w:pPr>
        <w:ind w:left="2880" w:hanging="360"/>
      </w:pPr>
    </w:lvl>
    <w:lvl w:ilvl="4" w:tplc="FEDC032A" w:tentative="1">
      <w:start w:val="1"/>
      <w:numFmt w:val="lowerLetter"/>
      <w:lvlText w:val="%5."/>
      <w:lvlJc w:val="left"/>
      <w:pPr>
        <w:ind w:left="3600" w:hanging="360"/>
      </w:pPr>
    </w:lvl>
    <w:lvl w:ilvl="5" w:tplc="E51CFEF8" w:tentative="1">
      <w:start w:val="1"/>
      <w:numFmt w:val="lowerRoman"/>
      <w:lvlText w:val="%6."/>
      <w:lvlJc w:val="right"/>
      <w:pPr>
        <w:ind w:left="4320" w:hanging="180"/>
      </w:pPr>
    </w:lvl>
    <w:lvl w:ilvl="6" w:tplc="FE3248B0" w:tentative="1">
      <w:start w:val="1"/>
      <w:numFmt w:val="decimal"/>
      <w:lvlText w:val="%7."/>
      <w:lvlJc w:val="left"/>
      <w:pPr>
        <w:ind w:left="5040" w:hanging="360"/>
      </w:pPr>
    </w:lvl>
    <w:lvl w:ilvl="7" w:tplc="F6A01840" w:tentative="1">
      <w:start w:val="1"/>
      <w:numFmt w:val="lowerLetter"/>
      <w:lvlText w:val="%8."/>
      <w:lvlJc w:val="left"/>
      <w:pPr>
        <w:ind w:left="5760" w:hanging="360"/>
      </w:pPr>
    </w:lvl>
    <w:lvl w:ilvl="8" w:tplc="B5343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55724B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C6D5D8" w:tentative="1">
      <w:start w:val="1"/>
      <w:numFmt w:val="lowerLetter"/>
      <w:lvlText w:val="%2."/>
      <w:lvlJc w:val="left"/>
      <w:pPr>
        <w:ind w:left="1222" w:hanging="360"/>
      </w:pPr>
    </w:lvl>
    <w:lvl w:ilvl="2" w:tplc="4F4C7398" w:tentative="1">
      <w:start w:val="1"/>
      <w:numFmt w:val="lowerRoman"/>
      <w:lvlText w:val="%3."/>
      <w:lvlJc w:val="right"/>
      <w:pPr>
        <w:ind w:left="1942" w:hanging="180"/>
      </w:pPr>
    </w:lvl>
    <w:lvl w:ilvl="3" w:tplc="F8A6AD84" w:tentative="1">
      <w:start w:val="1"/>
      <w:numFmt w:val="decimal"/>
      <w:lvlText w:val="%4."/>
      <w:lvlJc w:val="left"/>
      <w:pPr>
        <w:ind w:left="2662" w:hanging="360"/>
      </w:pPr>
    </w:lvl>
    <w:lvl w:ilvl="4" w:tplc="302ED0F4" w:tentative="1">
      <w:start w:val="1"/>
      <w:numFmt w:val="lowerLetter"/>
      <w:lvlText w:val="%5."/>
      <w:lvlJc w:val="left"/>
      <w:pPr>
        <w:ind w:left="3382" w:hanging="360"/>
      </w:pPr>
    </w:lvl>
    <w:lvl w:ilvl="5" w:tplc="D3D063D4" w:tentative="1">
      <w:start w:val="1"/>
      <w:numFmt w:val="lowerRoman"/>
      <w:lvlText w:val="%6."/>
      <w:lvlJc w:val="right"/>
      <w:pPr>
        <w:ind w:left="4102" w:hanging="180"/>
      </w:pPr>
    </w:lvl>
    <w:lvl w:ilvl="6" w:tplc="20608A20" w:tentative="1">
      <w:start w:val="1"/>
      <w:numFmt w:val="decimal"/>
      <w:lvlText w:val="%7."/>
      <w:lvlJc w:val="left"/>
      <w:pPr>
        <w:ind w:left="4822" w:hanging="360"/>
      </w:pPr>
    </w:lvl>
    <w:lvl w:ilvl="7" w:tplc="909656F2" w:tentative="1">
      <w:start w:val="1"/>
      <w:numFmt w:val="lowerLetter"/>
      <w:lvlText w:val="%8."/>
      <w:lvlJc w:val="left"/>
      <w:pPr>
        <w:ind w:left="5542" w:hanging="360"/>
      </w:pPr>
    </w:lvl>
    <w:lvl w:ilvl="8" w:tplc="E9FE6CD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B1320D"/>
    <w:multiLevelType w:val="multilevel"/>
    <w:tmpl w:val="7B062D96"/>
    <w:lvl w:ilvl="0">
      <w:start w:val="1"/>
      <w:numFmt w:val="decimal"/>
      <w:pStyle w:val="cislovani"/>
      <w:lvlText w:val="%1."/>
      <w:lvlJc w:val="left"/>
      <w:pPr>
        <w:ind w:left="2693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1445"/>
        </w:tabs>
        <w:ind w:left="-1445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976"/>
        </w:tabs>
        <w:ind w:left="-2976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0" w15:restartNumberingAfterBreak="0">
    <w:nsid w:val="31390439"/>
    <w:multiLevelType w:val="hybridMultilevel"/>
    <w:tmpl w:val="C4B6F8B6"/>
    <w:lvl w:ilvl="0" w:tplc="F0D6D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DD2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A3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62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AE5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B49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7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42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6E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894E2F"/>
    <w:multiLevelType w:val="hybridMultilevel"/>
    <w:tmpl w:val="EFECF9FA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 w15:restartNumberingAfterBreak="0">
    <w:nsid w:val="6C444030"/>
    <w:multiLevelType w:val="hybridMultilevel"/>
    <w:tmpl w:val="C0C24CF8"/>
    <w:lvl w:ilvl="0" w:tplc="64601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126CE0" w:tentative="1">
      <w:start w:val="1"/>
      <w:numFmt w:val="lowerLetter"/>
      <w:lvlText w:val="%2."/>
      <w:lvlJc w:val="left"/>
      <w:pPr>
        <w:ind w:left="1440" w:hanging="360"/>
      </w:pPr>
    </w:lvl>
    <w:lvl w:ilvl="2" w:tplc="3AB6B7D4" w:tentative="1">
      <w:start w:val="1"/>
      <w:numFmt w:val="lowerRoman"/>
      <w:lvlText w:val="%3."/>
      <w:lvlJc w:val="right"/>
      <w:pPr>
        <w:ind w:left="2160" w:hanging="180"/>
      </w:pPr>
    </w:lvl>
    <w:lvl w:ilvl="3" w:tplc="C3F8A73A" w:tentative="1">
      <w:start w:val="1"/>
      <w:numFmt w:val="decimal"/>
      <w:lvlText w:val="%4."/>
      <w:lvlJc w:val="left"/>
      <w:pPr>
        <w:ind w:left="2880" w:hanging="360"/>
      </w:pPr>
    </w:lvl>
    <w:lvl w:ilvl="4" w:tplc="FF6EBF18" w:tentative="1">
      <w:start w:val="1"/>
      <w:numFmt w:val="lowerLetter"/>
      <w:lvlText w:val="%5."/>
      <w:lvlJc w:val="left"/>
      <w:pPr>
        <w:ind w:left="3600" w:hanging="360"/>
      </w:pPr>
    </w:lvl>
    <w:lvl w:ilvl="5" w:tplc="6FD0EEF8" w:tentative="1">
      <w:start w:val="1"/>
      <w:numFmt w:val="lowerRoman"/>
      <w:lvlText w:val="%6."/>
      <w:lvlJc w:val="right"/>
      <w:pPr>
        <w:ind w:left="4320" w:hanging="180"/>
      </w:pPr>
    </w:lvl>
    <w:lvl w:ilvl="6" w:tplc="5E9E6E72" w:tentative="1">
      <w:start w:val="1"/>
      <w:numFmt w:val="decimal"/>
      <w:lvlText w:val="%7."/>
      <w:lvlJc w:val="left"/>
      <w:pPr>
        <w:ind w:left="5040" w:hanging="360"/>
      </w:pPr>
    </w:lvl>
    <w:lvl w:ilvl="7" w:tplc="8F286388" w:tentative="1">
      <w:start w:val="1"/>
      <w:numFmt w:val="lowerLetter"/>
      <w:lvlText w:val="%8."/>
      <w:lvlJc w:val="left"/>
      <w:pPr>
        <w:ind w:left="5760" w:hanging="360"/>
      </w:pPr>
    </w:lvl>
    <w:lvl w:ilvl="8" w:tplc="B0F2A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16449"/>
    <w:multiLevelType w:val="hybridMultilevel"/>
    <w:tmpl w:val="83200B4A"/>
    <w:lvl w:ilvl="0" w:tplc="7FE637BC">
      <w:start w:val="1"/>
      <w:numFmt w:val="lowerLetter"/>
      <w:lvlText w:val="%1)"/>
      <w:lvlJc w:val="left"/>
      <w:pPr>
        <w:ind w:left="720" w:hanging="360"/>
      </w:pPr>
    </w:lvl>
    <w:lvl w:ilvl="1" w:tplc="81A28180" w:tentative="1">
      <w:start w:val="1"/>
      <w:numFmt w:val="lowerLetter"/>
      <w:lvlText w:val="%2."/>
      <w:lvlJc w:val="left"/>
      <w:pPr>
        <w:ind w:left="1440" w:hanging="360"/>
      </w:pPr>
    </w:lvl>
    <w:lvl w:ilvl="2" w:tplc="75EAFDA2" w:tentative="1">
      <w:start w:val="1"/>
      <w:numFmt w:val="lowerRoman"/>
      <w:lvlText w:val="%3."/>
      <w:lvlJc w:val="right"/>
      <w:pPr>
        <w:ind w:left="2160" w:hanging="180"/>
      </w:pPr>
    </w:lvl>
    <w:lvl w:ilvl="3" w:tplc="B42203CA" w:tentative="1">
      <w:start w:val="1"/>
      <w:numFmt w:val="decimal"/>
      <w:lvlText w:val="%4."/>
      <w:lvlJc w:val="left"/>
      <w:pPr>
        <w:ind w:left="2880" w:hanging="360"/>
      </w:pPr>
    </w:lvl>
    <w:lvl w:ilvl="4" w:tplc="AF2484F0" w:tentative="1">
      <w:start w:val="1"/>
      <w:numFmt w:val="lowerLetter"/>
      <w:lvlText w:val="%5."/>
      <w:lvlJc w:val="left"/>
      <w:pPr>
        <w:ind w:left="3600" w:hanging="360"/>
      </w:pPr>
    </w:lvl>
    <w:lvl w:ilvl="5" w:tplc="615EEF86" w:tentative="1">
      <w:start w:val="1"/>
      <w:numFmt w:val="lowerRoman"/>
      <w:lvlText w:val="%6."/>
      <w:lvlJc w:val="right"/>
      <w:pPr>
        <w:ind w:left="4320" w:hanging="180"/>
      </w:pPr>
    </w:lvl>
    <w:lvl w:ilvl="6" w:tplc="79BA3DAC" w:tentative="1">
      <w:start w:val="1"/>
      <w:numFmt w:val="decimal"/>
      <w:lvlText w:val="%7."/>
      <w:lvlJc w:val="left"/>
      <w:pPr>
        <w:ind w:left="5040" w:hanging="360"/>
      </w:pPr>
    </w:lvl>
    <w:lvl w:ilvl="7" w:tplc="4A2C0F64" w:tentative="1">
      <w:start w:val="1"/>
      <w:numFmt w:val="lowerLetter"/>
      <w:lvlText w:val="%8."/>
      <w:lvlJc w:val="left"/>
      <w:pPr>
        <w:ind w:left="5760" w:hanging="360"/>
      </w:pPr>
    </w:lvl>
    <w:lvl w:ilvl="8" w:tplc="F2BEE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26069"/>
    <w:multiLevelType w:val="hybridMultilevel"/>
    <w:tmpl w:val="2924CE7E"/>
    <w:lvl w:ilvl="0" w:tplc="4B72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6C244" w:tentative="1">
      <w:start w:val="1"/>
      <w:numFmt w:val="lowerLetter"/>
      <w:lvlText w:val="%2."/>
      <w:lvlJc w:val="left"/>
      <w:pPr>
        <w:ind w:left="1440" w:hanging="360"/>
      </w:pPr>
    </w:lvl>
    <w:lvl w:ilvl="2" w:tplc="32262542" w:tentative="1">
      <w:start w:val="1"/>
      <w:numFmt w:val="lowerRoman"/>
      <w:lvlText w:val="%3."/>
      <w:lvlJc w:val="right"/>
      <w:pPr>
        <w:ind w:left="2160" w:hanging="180"/>
      </w:pPr>
    </w:lvl>
    <w:lvl w:ilvl="3" w:tplc="A704F2E8" w:tentative="1">
      <w:start w:val="1"/>
      <w:numFmt w:val="decimal"/>
      <w:lvlText w:val="%4."/>
      <w:lvlJc w:val="left"/>
      <w:pPr>
        <w:ind w:left="2880" w:hanging="360"/>
      </w:pPr>
    </w:lvl>
    <w:lvl w:ilvl="4" w:tplc="6A56FC82" w:tentative="1">
      <w:start w:val="1"/>
      <w:numFmt w:val="lowerLetter"/>
      <w:lvlText w:val="%5."/>
      <w:lvlJc w:val="left"/>
      <w:pPr>
        <w:ind w:left="3600" w:hanging="360"/>
      </w:pPr>
    </w:lvl>
    <w:lvl w:ilvl="5" w:tplc="9E1C3FF6" w:tentative="1">
      <w:start w:val="1"/>
      <w:numFmt w:val="lowerRoman"/>
      <w:lvlText w:val="%6."/>
      <w:lvlJc w:val="right"/>
      <w:pPr>
        <w:ind w:left="4320" w:hanging="180"/>
      </w:pPr>
    </w:lvl>
    <w:lvl w:ilvl="6" w:tplc="0D84D68C" w:tentative="1">
      <w:start w:val="1"/>
      <w:numFmt w:val="decimal"/>
      <w:lvlText w:val="%7."/>
      <w:lvlJc w:val="left"/>
      <w:pPr>
        <w:ind w:left="5040" w:hanging="360"/>
      </w:pPr>
    </w:lvl>
    <w:lvl w:ilvl="7" w:tplc="2FA649AA" w:tentative="1">
      <w:start w:val="1"/>
      <w:numFmt w:val="lowerLetter"/>
      <w:lvlText w:val="%8."/>
      <w:lvlJc w:val="left"/>
      <w:pPr>
        <w:ind w:left="5760" w:hanging="360"/>
      </w:pPr>
    </w:lvl>
    <w:lvl w:ilvl="8" w:tplc="832EE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35521"/>
    <w:multiLevelType w:val="hybridMultilevel"/>
    <w:tmpl w:val="F6AE24EA"/>
    <w:lvl w:ilvl="0" w:tplc="61103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D2F37E" w:tentative="1">
      <w:start w:val="1"/>
      <w:numFmt w:val="lowerLetter"/>
      <w:lvlText w:val="%2."/>
      <w:lvlJc w:val="left"/>
      <w:pPr>
        <w:ind w:left="1440" w:hanging="360"/>
      </w:pPr>
    </w:lvl>
    <w:lvl w:ilvl="2" w:tplc="EA38FF38" w:tentative="1">
      <w:start w:val="1"/>
      <w:numFmt w:val="lowerRoman"/>
      <w:lvlText w:val="%3."/>
      <w:lvlJc w:val="right"/>
      <w:pPr>
        <w:ind w:left="2160" w:hanging="180"/>
      </w:pPr>
    </w:lvl>
    <w:lvl w:ilvl="3" w:tplc="B37A07C6" w:tentative="1">
      <w:start w:val="1"/>
      <w:numFmt w:val="decimal"/>
      <w:lvlText w:val="%4."/>
      <w:lvlJc w:val="left"/>
      <w:pPr>
        <w:ind w:left="2880" w:hanging="360"/>
      </w:pPr>
    </w:lvl>
    <w:lvl w:ilvl="4" w:tplc="87625386" w:tentative="1">
      <w:start w:val="1"/>
      <w:numFmt w:val="lowerLetter"/>
      <w:lvlText w:val="%5."/>
      <w:lvlJc w:val="left"/>
      <w:pPr>
        <w:ind w:left="3600" w:hanging="360"/>
      </w:pPr>
    </w:lvl>
    <w:lvl w:ilvl="5" w:tplc="A9FA83C2" w:tentative="1">
      <w:start w:val="1"/>
      <w:numFmt w:val="lowerRoman"/>
      <w:lvlText w:val="%6."/>
      <w:lvlJc w:val="right"/>
      <w:pPr>
        <w:ind w:left="4320" w:hanging="180"/>
      </w:pPr>
    </w:lvl>
    <w:lvl w:ilvl="6" w:tplc="203ABB64" w:tentative="1">
      <w:start w:val="1"/>
      <w:numFmt w:val="decimal"/>
      <w:lvlText w:val="%7."/>
      <w:lvlJc w:val="left"/>
      <w:pPr>
        <w:ind w:left="5040" w:hanging="360"/>
      </w:pPr>
    </w:lvl>
    <w:lvl w:ilvl="7" w:tplc="90CEC906" w:tentative="1">
      <w:start w:val="1"/>
      <w:numFmt w:val="lowerLetter"/>
      <w:lvlText w:val="%8."/>
      <w:lvlJc w:val="left"/>
      <w:pPr>
        <w:ind w:left="5760" w:hanging="360"/>
      </w:pPr>
    </w:lvl>
    <w:lvl w:ilvl="8" w:tplc="69F08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38EB"/>
    <w:multiLevelType w:val="hybridMultilevel"/>
    <w:tmpl w:val="7B04D2F8"/>
    <w:lvl w:ilvl="0" w:tplc="B5A2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1F7E" w:tentative="1">
      <w:start w:val="1"/>
      <w:numFmt w:val="lowerLetter"/>
      <w:lvlText w:val="%2."/>
      <w:lvlJc w:val="left"/>
      <w:pPr>
        <w:ind w:left="1440" w:hanging="360"/>
      </w:pPr>
    </w:lvl>
    <w:lvl w:ilvl="2" w:tplc="9A1EED5E" w:tentative="1">
      <w:start w:val="1"/>
      <w:numFmt w:val="lowerRoman"/>
      <w:lvlText w:val="%3."/>
      <w:lvlJc w:val="right"/>
      <w:pPr>
        <w:ind w:left="2160" w:hanging="180"/>
      </w:pPr>
    </w:lvl>
    <w:lvl w:ilvl="3" w:tplc="C30C5CDE" w:tentative="1">
      <w:start w:val="1"/>
      <w:numFmt w:val="decimal"/>
      <w:lvlText w:val="%4."/>
      <w:lvlJc w:val="left"/>
      <w:pPr>
        <w:ind w:left="2880" w:hanging="360"/>
      </w:pPr>
    </w:lvl>
    <w:lvl w:ilvl="4" w:tplc="45428AA2" w:tentative="1">
      <w:start w:val="1"/>
      <w:numFmt w:val="lowerLetter"/>
      <w:lvlText w:val="%5."/>
      <w:lvlJc w:val="left"/>
      <w:pPr>
        <w:ind w:left="3600" w:hanging="360"/>
      </w:pPr>
    </w:lvl>
    <w:lvl w:ilvl="5" w:tplc="D668FA64" w:tentative="1">
      <w:start w:val="1"/>
      <w:numFmt w:val="lowerRoman"/>
      <w:lvlText w:val="%6."/>
      <w:lvlJc w:val="right"/>
      <w:pPr>
        <w:ind w:left="4320" w:hanging="180"/>
      </w:pPr>
    </w:lvl>
    <w:lvl w:ilvl="6" w:tplc="6B644A14" w:tentative="1">
      <w:start w:val="1"/>
      <w:numFmt w:val="decimal"/>
      <w:lvlText w:val="%7."/>
      <w:lvlJc w:val="left"/>
      <w:pPr>
        <w:ind w:left="5040" w:hanging="360"/>
      </w:pPr>
    </w:lvl>
    <w:lvl w:ilvl="7" w:tplc="399EF0BE" w:tentative="1">
      <w:start w:val="1"/>
      <w:numFmt w:val="lowerLetter"/>
      <w:lvlText w:val="%8."/>
      <w:lvlJc w:val="left"/>
      <w:pPr>
        <w:ind w:left="5760" w:hanging="360"/>
      </w:pPr>
    </w:lvl>
    <w:lvl w:ilvl="8" w:tplc="2B04BE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19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20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D0"/>
    <w:rsid w:val="0001135D"/>
    <w:rsid w:val="00017387"/>
    <w:rsid w:val="00017AD8"/>
    <w:rsid w:val="00032170"/>
    <w:rsid w:val="0006263A"/>
    <w:rsid w:val="00067CD4"/>
    <w:rsid w:val="00082D29"/>
    <w:rsid w:val="000C148F"/>
    <w:rsid w:val="000D5700"/>
    <w:rsid w:val="000D68D0"/>
    <w:rsid w:val="001125F0"/>
    <w:rsid w:val="00145662"/>
    <w:rsid w:val="00153CD5"/>
    <w:rsid w:val="001E31EC"/>
    <w:rsid w:val="00204982"/>
    <w:rsid w:val="00213910"/>
    <w:rsid w:val="002467CE"/>
    <w:rsid w:val="002537CF"/>
    <w:rsid w:val="002B4C93"/>
    <w:rsid w:val="002E5A57"/>
    <w:rsid w:val="00324BCF"/>
    <w:rsid w:val="00341398"/>
    <w:rsid w:val="00351810"/>
    <w:rsid w:val="0035470A"/>
    <w:rsid w:val="0035599C"/>
    <w:rsid w:val="00365501"/>
    <w:rsid w:val="0038086B"/>
    <w:rsid w:val="00386D0F"/>
    <w:rsid w:val="003B020F"/>
    <w:rsid w:val="003E0388"/>
    <w:rsid w:val="003E3C10"/>
    <w:rsid w:val="003F568A"/>
    <w:rsid w:val="003F7732"/>
    <w:rsid w:val="004218D4"/>
    <w:rsid w:val="00430471"/>
    <w:rsid w:val="00434235"/>
    <w:rsid w:val="004466AF"/>
    <w:rsid w:val="0047190D"/>
    <w:rsid w:val="004C32B6"/>
    <w:rsid w:val="004F502C"/>
    <w:rsid w:val="005434A8"/>
    <w:rsid w:val="00553445"/>
    <w:rsid w:val="00563732"/>
    <w:rsid w:val="00573355"/>
    <w:rsid w:val="00594544"/>
    <w:rsid w:val="005A68A8"/>
    <w:rsid w:val="005B570A"/>
    <w:rsid w:val="005C689E"/>
    <w:rsid w:val="005D22A8"/>
    <w:rsid w:val="005D2EE8"/>
    <w:rsid w:val="00600A1C"/>
    <w:rsid w:val="00600A55"/>
    <w:rsid w:val="006032CF"/>
    <w:rsid w:val="006055CD"/>
    <w:rsid w:val="00640952"/>
    <w:rsid w:val="00644EE7"/>
    <w:rsid w:val="00667258"/>
    <w:rsid w:val="006840C0"/>
    <w:rsid w:val="006D125A"/>
    <w:rsid w:val="006D19ED"/>
    <w:rsid w:val="006E3D48"/>
    <w:rsid w:val="006F0885"/>
    <w:rsid w:val="006F4857"/>
    <w:rsid w:val="0070402B"/>
    <w:rsid w:val="00712D07"/>
    <w:rsid w:val="00726BDE"/>
    <w:rsid w:val="00756A9E"/>
    <w:rsid w:val="00757DD3"/>
    <w:rsid w:val="00781C9B"/>
    <w:rsid w:val="00786F00"/>
    <w:rsid w:val="007A1842"/>
    <w:rsid w:val="007B5B89"/>
    <w:rsid w:val="007D2AAC"/>
    <w:rsid w:val="007E188C"/>
    <w:rsid w:val="007F57FD"/>
    <w:rsid w:val="00813BBA"/>
    <w:rsid w:val="00823A07"/>
    <w:rsid w:val="00834691"/>
    <w:rsid w:val="008379B0"/>
    <w:rsid w:val="008510CE"/>
    <w:rsid w:val="008647D3"/>
    <w:rsid w:val="00866A40"/>
    <w:rsid w:val="008861A1"/>
    <w:rsid w:val="008B7129"/>
    <w:rsid w:val="009100D4"/>
    <w:rsid w:val="009266A2"/>
    <w:rsid w:val="00926E74"/>
    <w:rsid w:val="0094705C"/>
    <w:rsid w:val="0096282C"/>
    <w:rsid w:val="00970C2B"/>
    <w:rsid w:val="009A5210"/>
    <w:rsid w:val="009C411D"/>
    <w:rsid w:val="009C706B"/>
    <w:rsid w:val="00A37148"/>
    <w:rsid w:val="00A65BF3"/>
    <w:rsid w:val="00A805F8"/>
    <w:rsid w:val="00AB097D"/>
    <w:rsid w:val="00AC434C"/>
    <w:rsid w:val="00AF6FB3"/>
    <w:rsid w:val="00AF782B"/>
    <w:rsid w:val="00B15D27"/>
    <w:rsid w:val="00B230D8"/>
    <w:rsid w:val="00B42812"/>
    <w:rsid w:val="00B440BB"/>
    <w:rsid w:val="00B60D77"/>
    <w:rsid w:val="00B73E2E"/>
    <w:rsid w:val="00BA4863"/>
    <w:rsid w:val="00BB2E9E"/>
    <w:rsid w:val="00BD4D52"/>
    <w:rsid w:val="00C02E30"/>
    <w:rsid w:val="00C03643"/>
    <w:rsid w:val="00C03DD6"/>
    <w:rsid w:val="00C24645"/>
    <w:rsid w:val="00C34182"/>
    <w:rsid w:val="00C53BBF"/>
    <w:rsid w:val="00C63B11"/>
    <w:rsid w:val="00C74358"/>
    <w:rsid w:val="00CA430C"/>
    <w:rsid w:val="00CC397E"/>
    <w:rsid w:val="00CD02E3"/>
    <w:rsid w:val="00CD0CAD"/>
    <w:rsid w:val="00CD4456"/>
    <w:rsid w:val="00CD6F28"/>
    <w:rsid w:val="00CF465C"/>
    <w:rsid w:val="00D222DB"/>
    <w:rsid w:val="00D30DEB"/>
    <w:rsid w:val="00D62E85"/>
    <w:rsid w:val="00D639BA"/>
    <w:rsid w:val="00D868AA"/>
    <w:rsid w:val="00DB13DA"/>
    <w:rsid w:val="00DB162F"/>
    <w:rsid w:val="00DC4495"/>
    <w:rsid w:val="00DD2911"/>
    <w:rsid w:val="00DD4826"/>
    <w:rsid w:val="00DD714C"/>
    <w:rsid w:val="00DF0482"/>
    <w:rsid w:val="00E17873"/>
    <w:rsid w:val="00E21605"/>
    <w:rsid w:val="00E234AE"/>
    <w:rsid w:val="00E33763"/>
    <w:rsid w:val="00E4282A"/>
    <w:rsid w:val="00E45B79"/>
    <w:rsid w:val="00E77494"/>
    <w:rsid w:val="00E92DE8"/>
    <w:rsid w:val="00EB1B92"/>
    <w:rsid w:val="00EB1BF5"/>
    <w:rsid w:val="00ED2877"/>
    <w:rsid w:val="00ED3451"/>
    <w:rsid w:val="00F2316D"/>
    <w:rsid w:val="00F263EA"/>
    <w:rsid w:val="00F4692D"/>
    <w:rsid w:val="00F509A7"/>
    <w:rsid w:val="00F54B21"/>
    <w:rsid w:val="00F70159"/>
    <w:rsid w:val="00F81FD5"/>
    <w:rsid w:val="00F82D77"/>
    <w:rsid w:val="00FD09E4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9A2BC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ln">
    <w:name w:val="Normal"/>
    <w:qFormat/>
    <w:rsid w:val="00600A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cislovani">
    <w:name w:val="cislovani"/>
    <w:basedOn w:val="Normln"/>
    <w:qFormat/>
    <w:rsid w:val="009266A2"/>
    <w:pPr>
      <w:numPr>
        <w:numId w:val="15"/>
      </w:numPr>
      <w:spacing w:before="120" w:after="240"/>
      <w:jc w:val="both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B2DB7-E185-49CA-9589-783BD0B41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Sidó Albert, Ing.</dc:creator>
  <cp:lastModifiedBy>Sidó Albert, Ing.</cp:lastModifiedBy>
  <cp:revision>2</cp:revision>
  <dcterms:created xsi:type="dcterms:W3CDTF">2023-05-29T11:29:00Z</dcterms:created>
  <dcterms:modified xsi:type="dcterms:W3CDTF">2023-05-29T11:29:00Z</dcterms:modified>
</cp:coreProperties>
</file>