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3"/>
        </w:rPr>
        <w:t>Illllllllllllllllllllllll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420" w:firstLine="0"/>
        <w:jc w:val="right"/>
        <w:rPr>
          <w:sz w:val="16"/>
          <w:szCs w:val="16"/>
        </w:rPr>
      </w:pPr>
      <w:r>
        <w:rPr>
          <w:rStyle w:val="CharStyle5"/>
          <w:sz w:val="16"/>
          <w:szCs w:val="16"/>
        </w:rPr>
        <w:t>2023004520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8"/>
          <w:b/>
          <w:bCs/>
        </w:rPr>
        <w:t>Dodatek č.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10"/>
        </w:rPr>
        <w:t>ke Smlouvě o dílo ze dne 26. 1.2023 dále jen ,,smlouva“) uzavřené mezi níže uvedenými smluvními</w:t>
        <w:br/>
        <w:t>stranami</w:t>
      </w:r>
    </w:p>
    <w:tbl>
      <w:tblPr>
        <w:tblOverlap w:val="never"/>
        <w:jc w:val="center"/>
        <w:tblLayout w:type="fixed"/>
      </w:tblPr>
      <w:tblGrid>
        <w:gridCol w:w="2683"/>
        <w:gridCol w:w="6197"/>
      </w:tblGrid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hd w:val="clear" w:color="auto" w:fill="000000"/>
              </w:rPr>
              <w:t>.......​</w:t>
            </w:r>
            <w:r>
              <w:rPr>
                <w:rStyle w:val="CharStyle15"/>
                <w:spacing w:val="2"/>
                <w:shd w:val="clear" w:color="auto" w:fill="000000"/>
              </w:rPr>
              <w:t>...</w:t>
            </w:r>
            <w:r>
              <w:rPr>
                <w:rStyle w:val="CharStyle15"/>
                <w:spacing w:val="3"/>
                <w:shd w:val="clear" w:color="auto" w:fill="000000"/>
              </w:rPr>
              <w:t>........</w:t>
            </w:r>
            <w:r>
              <w:rPr>
                <w:rStyle w:val="CharStyle15"/>
                <w:shd w:val="clear" w:color="auto" w:fill="000000"/>
              </w:rPr>
              <w:t>​.......</w:t>
            </w:r>
            <w:r>
              <w:rPr>
                <w:rStyle w:val="CharStyle15"/>
                <w:spacing w:val="1"/>
                <w:shd w:val="clear" w:color="auto" w:fill="000000"/>
              </w:rPr>
              <w:t>.........</w:t>
            </w:r>
          </w:p>
        </w:tc>
      </w:tr>
      <w:tr>
        <w:trPr>
          <w:trHeight w:val="9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8"/>
                <w:shd w:val="clear" w:color="auto" w:fill="000000"/>
              </w:rPr>
              <w:t>...</w:t>
            </w:r>
            <w:r>
              <w:rPr>
                <w:rStyle w:val="CharStyle15"/>
                <w:spacing w:val="9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..................</w:t>
            </w:r>
            <w:r>
              <w:rPr>
                <w:rStyle w:val="CharStyle15"/>
                <w:spacing w:val="3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6"/>
                <w:shd w:val="clear" w:color="auto" w:fill="000000"/>
              </w:rPr>
              <w:t>....</w:t>
            </w:r>
            <w:r>
              <w:rPr>
                <w:rStyle w:val="CharStyle15"/>
                <w:spacing w:val="7"/>
                <w:shd w:val="clear" w:color="auto" w:fill="000000"/>
              </w:rPr>
              <w:t>....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​..................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a.s., č. ú. 117203514/0600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„objednatel)</w:t>
      </w:r>
    </w:p>
    <w:p>
      <w:pPr>
        <w:widowControl w:val="0"/>
        <w:spacing w:after="279" w:line="1" w:lineRule="exact"/>
      </w:pPr>
    </w:p>
    <w:tbl>
      <w:tblPr>
        <w:tblOverlap w:val="never"/>
        <w:jc w:val="center"/>
        <w:tblLayout w:type="fixed"/>
      </w:tblPr>
      <w:tblGrid>
        <w:gridCol w:w="2683"/>
        <w:gridCol w:w="6192"/>
      </w:tblGrid>
      <w:tr>
        <w:trPr>
          <w:trHeight w:val="7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NAFRA s.r.o.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9.května 837 Mníšek pod Brdy 252 10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Jan Šponiar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7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</w:rPr>
              <w:t>....</w:t>
            </w:r>
            <w:r>
              <w:rPr>
                <w:rStyle w:val="CharStyle15"/>
                <w:spacing w:val="2"/>
                <w:shd w:val="clear" w:color="auto" w:fill="000000"/>
              </w:rPr>
              <w:t>........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08157154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CZ08157154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 313934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Fio banka a.s. 2501637092/2010</w:t>
            </w:r>
          </w:p>
        </w:tc>
      </w:tr>
      <w:tr>
        <w:trPr>
          <w:trHeight w:val="8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(dále jen </w:t>
            </w:r>
            <w:r>
              <w:rPr>
                <w:rStyle w:val="CharStyle15"/>
                <w:b/>
                <w:bCs/>
                <w:i/>
                <w:iCs/>
              </w:rPr>
              <w:t>„zhotovitel“)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rStyle w:val="CharStyle15"/>
              </w:rPr>
              <w:t>I.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0"/>
        </w:rPr>
        <w:t>Článek 7. smlouvy se mění a nadále zní takto: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rStyle w:val="CharStyle10"/>
        </w:rPr>
        <w:t xml:space="preserve">Objednatel se zavazuje platit zhotoviteli za dílo podle čl. 2 této smlouvy paušální cenu ve výši </w:t>
      </w:r>
      <w:r>
        <w:rPr>
          <w:rStyle w:val="CharStyle10"/>
          <w:b/>
          <w:bCs/>
        </w:rPr>
        <w:t xml:space="preserve">25 500 Kč měsíčně bez DPH, </w:t>
      </w:r>
      <w:r>
        <w:rPr>
          <w:rStyle w:val="CharStyle10"/>
        </w:rPr>
        <w:t xml:space="preserve">tj. </w:t>
      </w:r>
      <w:r>
        <w:rPr>
          <w:rStyle w:val="CharStyle10"/>
          <w:b/>
          <w:bCs/>
          <w:i/>
          <w:iCs/>
        </w:rPr>
        <w:t>30 855</w:t>
      </w:r>
      <w:r>
        <w:rPr>
          <w:rStyle w:val="CharStyle10"/>
          <w:b/>
          <w:bCs/>
        </w:rPr>
        <w:t xml:space="preserve"> Kč měsíčně vč. DPH </w:t>
      </w:r>
      <w:r>
        <w:rPr>
          <w:rStyle w:val="CharStyle10"/>
        </w:rPr>
        <w:t>za úklid VZ Boskovice. Za provádění díla podle čl. 2 písm. f) této smlouvy se zavazuje objednatele platit cenu dle ceníku, který je součástí přílohy č. 3 této smlouvy.</w:t>
      </w:r>
    </w:p>
    <w:tbl>
      <w:tblPr>
        <w:tblOverlap w:val="never"/>
        <w:jc w:val="center"/>
        <w:tblLayout w:type="fixed"/>
      </w:tblPr>
      <w:tblGrid>
        <w:gridCol w:w="2683"/>
        <w:gridCol w:w="6192"/>
      </w:tblGrid>
      <w:tr>
        <w:trPr>
          <w:trHeight w:val="20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rStyle w:val="CharStyle15"/>
                <w:b/>
                <w:bCs/>
              </w:rPr>
              <w:t>II.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2"/>
        </w:rPr>
        <w:t>Ostatní ujednání smlouvy nejsou tímto dodatkem nijak dotčena.</w:t>
      </w:r>
    </w:p>
    <w:p>
      <w:pPr>
        <w:widowControl w:val="0"/>
        <w:spacing w:after="439" w:line="1" w:lineRule="exact"/>
      </w:pPr>
    </w:p>
    <w:tbl>
      <w:tblPr>
        <w:tblOverlap w:val="never"/>
        <w:jc w:val="center"/>
        <w:tblLayout w:type="fixed"/>
      </w:tblPr>
      <w:tblGrid>
        <w:gridCol w:w="2683"/>
        <w:gridCol w:w="6192"/>
      </w:tblGrid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rStyle w:val="CharStyle15"/>
                <w:b/>
                <w:bCs/>
              </w:rPr>
              <w:t>III.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11" w:right="1565" w:bottom="1511" w:left="1397" w:header="0" w:footer="108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</w:rPr>
        <w:t>Tento dodatek nabývá účinnosti po jejím podpisu oběma smluvními stranami.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1" w:right="0" w:bottom="21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71500" distL="114300" distR="114300" simplePos="0" relativeHeight="125829378" behindDoc="0" locked="0" layoutInCell="1" allowOverlap="1">
                <wp:simplePos x="0" y="0"/>
                <wp:positionH relativeFrom="page">
                  <wp:posOffset>5413375</wp:posOffset>
                </wp:positionH>
                <wp:positionV relativeFrom="paragraph">
                  <wp:posOffset>298450</wp:posOffset>
                </wp:positionV>
                <wp:extent cx="1136650" cy="6921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6650" cy="692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10"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0"/>
                                <w:spacing w:val="4"/>
                                <w:sz w:val="20"/>
                                <w:szCs w:val="2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0"/>
                                <w:spacing w:val="1"/>
                                <w:sz w:val="20"/>
                                <w:szCs w:val="2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0"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0"/>
                                <w:spacing w:val="7"/>
                                <w:sz w:val="20"/>
                                <w:szCs w:val="2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0"/>
                                <w:spacing w:val="1"/>
                                <w:sz w:val="20"/>
                                <w:szCs w:val="20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0"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....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10"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0"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0"/>
                                <w:spacing w:val="2"/>
                                <w:sz w:val="20"/>
                                <w:szCs w:val="2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0"/>
                                <w:spacing w:val="3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CharStyle10"/>
                                <w:sz w:val="20"/>
                                <w:szCs w:val="20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10"/>
                                <w:spacing w:val="1"/>
                                <w:sz w:val="20"/>
                                <w:szCs w:val="20"/>
                                <w:shd w:val="clear" w:color="auto" w:fill="000000"/>
                              </w:rPr>
                              <w:t>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6.25pt;margin-top:23.5pt;width:89.5pt;height:54.5pt;z-index:-125829375;mso-wrap-distance-left:9.pt;mso-wrap-distance-right:9.pt;mso-wrap-distance-bottom:45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0"/>
                          <w:spacing w:val="3"/>
                          <w:sz w:val="20"/>
                          <w:szCs w:val="20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0"/>
                          <w:spacing w:val="4"/>
                          <w:sz w:val="20"/>
                          <w:szCs w:val="20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1"/>
                          <w:sz w:val="20"/>
                          <w:szCs w:val="2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0"/>
                          <w:spacing w:val="2"/>
                          <w:sz w:val="20"/>
                          <w:szCs w:val="20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CharStyle1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7"/>
                          <w:sz w:val="20"/>
                          <w:szCs w:val="20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1"/>
                          <w:sz w:val="20"/>
                          <w:szCs w:val="20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0"/>
                          <w:spacing w:val="2"/>
                          <w:sz w:val="20"/>
                          <w:szCs w:val="20"/>
                          <w:shd w:val="clear" w:color="auto" w:fill="000000"/>
                        </w:rPr>
                        <w:t>....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0"/>
                          <w:spacing w:val="2"/>
                          <w:sz w:val="20"/>
                          <w:szCs w:val="20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0"/>
                          <w:spacing w:val="3"/>
                          <w:sz w:val="20"/>
                          <w:szCs w:val="20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0"/>
                          <w:sz w:val="20"/>
                          <w:szCs w:val="2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0"/>
                          <w:spacing w:val="2"/>
                          <w:sz w:val="20"/>
                          <w:szCs w:val="2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0"/>
                          <w:spacing w:val="3"/>
                          <w:sz w:val="20"/>
                          <w:szCs w:val="20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CharStyle10"/>
                          <w:sz w:val="20"/>
                          <w:szCs w:val="20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10"/>
                          <w:spacing w:val="1"/>
                          <w:sz w:val="20"/>
                          <w:szCs w:val="20"/>
                          <w:shd w:val="clear" w:color="auto" w:fill="000000"/>
                        </w:rPr>
                        <w:t>...............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1694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rStyle w:val="CharStyle10"/>
        </w:rPr>
        <w:t>V Brně dne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194" w:lineRule="auto"/>
        <w:ind w:left="0" w:right="0" w:firstLine="0"/>
        <w:jc w:val="left"/>
      </w:pPr>
      <w:r>
        <w:rPr>
          <w:rStyle w:val="CharStyle5"/>
          <w:b/>
          <w:bCs/>
          <w:spacing w:val="13"/>
          <w:sz w:val="19"/>
          <w:szCs w:val="19"/>
          <w:shd w:val="clear" w:color="auto" w:fill="000000"/>
        </w:rPr>
        <w:t>....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10"/>
          <w:sz w:val="19"/>
          <w:szCs w:val="19"/>
          <w:shd w:val="clear" w:color="auto" w:fill="000000"/>
        </w:rPr>
        <w:t>...</w:t>
      </w:r>
      <w:r>
        <w:rPr>
          <w:rStyle w:val="CharStyle5"/>
          <w:b/>
          <w:bCs/>
          <w:spacing w:val="11"/>
          <w:sz w:val="19"/>
          <w:szCs w:val="19"/>
          <w:shd w:val="clear" w:color="auto" w:fill="000000"/>
        </w:rPr>
        <w:t>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8"/>
          <w:sz w:val="19"/>
          <w:szCs w:val="19"/>
          <w:shd w:val="clear" w:color="auto" w:fill="000000"/>
        </w:rPr>
        <w:t>...</w:t>
      </w:r>
      <w:r>
        <w:rPr>
          <w:rStyle w:val="CharStyle5"/>
          <w:b/>
          <w:bCs/>
          <w:spacing w:val="9"/>
          <w:sz w:val="19"/>
          <w:szCs w:val="19"/>
          <w:shd w:val="clear" w:color="auto" w:fill="000000"/>
        </w:rPr>
        <w:t>...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1"/>
          <w:shd w:val="clear" w:color="auto" w:fill="000000"/>
        </w:rPr>
        <w:t>...............</w:t>
      </w:r>
      <w:r>
        <w:rPr>
          <w:rStyle w:val="CharStyle5"/>
          <w:spacing w:val="2"/>
          <w:shd w:val="clear" w:color="auto" w:fill="000000"/>
        </w:rPr>
        <w:t>.............</w:t>
      </w:r>
      <w:r>
        <w:rPr>
          <w:rStyle w:val="CharStyle5"/>
        </w:rPr>
        <w:t xml:space="preserve"> 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5"/>
          <w:sz w:val="19"/>
          <w:szCs w:val="19"/>
          <w:shd w:val="clear" w:color="auto" w:fill="000000"/>
        </w:rPr>
        <w:t>......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3"/>
          <w:sz w:val="19"/>
          <w:szCs w:val="19"/>
          <w:shd w:val="clear" w:color="auto" w:fill="000000"/>
        </w:rPr>
        <w:t>....</w:t>
      </w:r>
      <w:r>
        <w:rPr>
          <w:rStyle w:val="CharStyle5"/>
          <w:b/>
          <w:bCs/>
          <w:spacing w:val="4"/>
          <w:sz w:val="19"/>
          <w:szCs w:val="19"/>
          <w:shd w:val="clear" w:color="auto" w:fill="000000"/>
        </w:rPr>
        <w:t>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2"/>
          <w:sz w:val="19"/>
          <w:szCs w:val="19"/>
          <w:shd w:val="clear" w:color="auto" w:fill="000000"/>
        </w:rPr>
        <w:t>.....</w:t>
      </w:r>
      <w:r>
        <w:rPr>
          <w:rStyle w:val="CharStyle5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5"/>
          <w:b/>
          <w:bCs/>
          <w:spacing w:val="2"/>
          <w:sz w:val="19"/>
          <w:szCs w:val="19"/>
          <w:shd w:val="clear" w:color="auto" w:fill="000000"/>
        </w:rPr>
        <w:t>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1"/>
          <w:shd w:val="clear" w:color="auto" w:fill="000000"/>
        </w:rPr>
        <w:t>.........</w:t>
      </w:r>
      <w:r>
        <w:rPr>
          <w:rStyle w:val="CharStyle5"/>
          <w:spacing w:val="2"/>
          <w:shd w:val="clear" w:color="auto" w:fill="000000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2"/>
          <w:shd w:val="clear" w:color="auto" w:fill="000000"/>
        </w:rPr>
        <w:t>....</w:t>
      </w:r>
      <w:r>
        <w:rPr>
          <w:rStyle w:val="CharStyle5"/>
          <w:spacing w:val="3"/>
          <w:shd w:val="clear" w:color="auto" w:fill="000000"/>
        </w:rPr>
        <w:t>.....</w:t>
      </w:r>
      <w:r>
        <w:rPr>
          <w:rStyle w:val="CharStyle5"/>
          <w:shd w:val="clear" w:color="auto" w:fill="000000"/>
        </w:rPr>
        <w:t>​............</w:t>
      </w:r>
      <w:r>
        <w:rPr>
          <w:rStyle w:val="CharStyle5"/>
          <w:spacing w:val="1"/>
          <w:shd w:val="clear" w:color="auto" w:fill="000000"/>
        </w:rPr>
        <w:t>.......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2"/>
          <w:spacing w:val="1"/>
          <w:shd w:val="clear" w:color="auto" w:fill="000000"/>
        </w:rPr>
        <w:t>..................</w:t>
      </w:r>
      <w:r>
        <w:rPr>
          <w:rStyle w:val="CharStyle52"/>
          <w:spacing w:val="2"/>
          <w:shd w:val="clear" w:color="auto" w:fill="000000"/>
        </w:rPr>
        <w:t>......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0"/>
        </w:rPr>
        <w:t>MUDr. Hana Albrechtová ředitelka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dot" w:pos="2736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10"/>
        </w:rPr>
        <w:t>V Mníšku pod Brdy dne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1" w:right="1584" w:bottom="211" w:left="1397" w:header="0" w:footer="3" w:gutter="0"/>
          <w:cols w:num="2" w:space="1230"/>
          <w:noEndnote/>
          <w:rtlGutter w:val="0"/>
          <w:docGrid w:linePitch="360"/>
        </w:sectPr>
      </w:pPr>
      <w:r>
        <w:rPr>
          <w:rStyle w:val="CharStyle10"/>
          <w:spacing w:val="17"/>
          <w:sz w:val="40"/>
          <w:szCs w:val="40"/>
          <w:shd w:val="clear" w:color="auto" w:fill="000000"/>
        </w:rPr>
        <w:t>.</w:t>
      </w:r>
      <w:r>
        <w:rPr>
          <w:rStyle w:val="CharStyle10"/>
          <w:spacing w:val="18"/>
          <w:sz w:val="40"/>
          <w:szCs w:val="40"/>
          <w:shd w:val="clear" w:color="auto" w:fill="000000"/>
        </w:rPr>
        <w:t>....</w:t>
      </w:r>
      <w:r>
        <w:rPr>
          <w:rStyle w:val="CharStyle10"/>
          <w:sz w:val="40"/>
          <w:szCs w:val="40"/>
        </w:rPr>
        <w:t xml:space="preserve"> </w:t>
      </w:r>
      <w:r>
        <w:rPr>
          <w:rStyle w:val="CharStyle10"/>
          <w:sz w:val="40"/>
          <w:szCs w:val="40"/>
          <w:shd w:val="clear" w:color="auto" w:fill="000000"/>
        </w:rPr>
        <w:t>​</w:t>
      </w:r>
      <w:r>
        <w:rPr>
          <w:rStyle w:val="CharStyle10"/>
          <w:spacing w:val="3"/>
          <w:sz w:val="40"/>
          <w:szCs w:val="40"/>
          <w:shd w:val="clear" w:color="auto" w:fill="000000"/>
        </w:rPr>
        <w:t>...</w:t>
      </w:r>
      <w:r>
        <w:rPr>
          <w:rStyle w:val="CharStyle10"/>
          <w:spacing w:val="4"/>
          <w:sz w:val="40"/>
          <w:szCs w:val="40"/>
          <w:shd w:val="clear" w:color="auto" w:fill="000000"/>
        </w:rPr>
        <w:t>.........</w:t>
      </w:r>
      <w:r>
        <w:rPr>
          <w:rStyle w:val="CharStyle10"/>
          <w:sz w:val="40"/>
          <w:szCs w:val="40"/>
        </w:rPr>
        <w:t xml:space="preserve"> </w:t>
      </w:r>
      <w:r>
        <w:rPr>
          <w:rStyle w:val="CharStyle10"/>
        </w:rPr>
        <w:t>Jan Šponiar jednatel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11" w:right="1584" w:bottom="211" w:left="1397" w:header="0" w:footer="3" w:gutter="0"/>
      <w:cols w:num="2" w:space="123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2">
    <w:name w:val="Základní text (5)_"/>
    <w:basedOn w:val="DefaultParagraphFont"/>
    <w:link w:val="Style5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1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80" w:line="216" w:lineRule="auto"/>
      <w:ind w:right="2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1">
    <w:name w:val="Základní text (5)"/>
    <w:basedOn w:val="Normal"/>
    <w:link w:val="CharStyle52"/>
    <w:pPr>
      <w:widowControl w:val="0"/>
      <w:shd w:val="clear" w:color="auto" w:fill="auto"/>
      <w:spacing w:after="120" w:line="228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