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B7F21ED" w14:textId="0A22EFD6" w:rsidR="000F08DE" w:rsidRPr="00737B2B" w:rsidRDefault="007B1ED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3F848BC0" w:rsidR="000F08DE" w:rsidRPr="00737B2B" w:rsidRDefault="007B1ED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9430BEE" w14:textId="795798F7" w:rsidR="000F08DE" w:rsidRPr="00737B2B" w:rsidRDefault="007B1ED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30942CB9" w:rsidR="000F08DE" w:rsidRPr="00737B2B" w:rsidRDefault="007B1ED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2F27E3B6" w14:textId="77777777" w:rsidR="007D4C5D" w:rsidRPr="00790CA9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90CA9">
        <w:rPr>
          <w:snapToGrid w:val="0"/>
          <w:sz w:val="18"/>
        </w:rPr>
        <w:t xml:space="preserve">Číslo </w:t>
      </w:r>
      <w:r w:rsidR="00DB577C" w:rsidRPr="00790CA9">
        <w:rPr>
          <w:snapToGrid w:val="0"/>
          <w:sz w:val="18"/>
        </w:rPr>
        <w:t>příjemce</w:t>
      </w:r>
    </w:p>
    <w:p w14:paraId="285785F3" w14:textId="77777777" w:rsidR="007D4C5D" w:rsidRPr="00790CA9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90CA9">
        <w:rPr>
          <w:bCs/>
          <w:smallCaps/>
          <w:snapToGrid w:val="0"/>
          <w:sz w:val="28"/>
          <w:szCs w:val="28"/>
        </w:rPr>
        <w:t>D</w:t>
      </w:r>
      <w:r w:rsidR="004A1EE5" w:rsidRPr="00790CA9">
        <w:rPr>
          <w:bCs/>
          <w:smallCaps/>
          <w:snapToGrid w:val="0"/>
          <w:sz w:val="28"/>
          <w:szCs w:val="28"/>
        </w:rPr>
        <w:t>ODATEK</w:t>
      </w:r>
      <w:r w:rsidRPr="00790CA9">
        <w:rPr>
          <w:bCs/>
          <w:smallCaps/>
          <w:snapToGrid w:val="0"/>
          <w:sz w:val="28"/>
          <w:szCs w:val="28"/>
        </w:rPr>
        <w:t xml:space="preserve"> č. </w:t>
      </w:r>
      <w:r w:rsidR="008F536D" w:rsidRPr="00790CA9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790CA9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90CA9">
        <w:rPr>
          <w:bCs/>
          <w:smallCaps/>
        </w:rPr>
        <w:t>k</w:t>
      </w:r>
      <w:r w:rsidR="00BA53A8" w:rsidRPr="00790CA9">
        <w:rPr>
          <w:szCs w:val="36"/>
        </w:rPr>
        <w:t xml:space="preserve"> </w:t>
      </w:r>
      <w:r w:rsidR="00BA53A8" w:rsidRPr="00790CA9">
        <w:rPr>
          <w:caps/>
          <w:sz w:val="28"/>
          <w:szCs w:val="28"/>
        </w:rPr>
        <w:t>PŘÍKAZNÍ</w:t>
      </w:r>
      <w:r w:rsidR="004A1EE5" w:rsidRPr="00790CA9">
        <w:rPr>
          <w:caps/>
          <w:sz w:val="28"/>
          <w:szCs w:val="28"/>
        </w:rPr>
        <w:t xml:space="preserve"> SmlouvĚ</w:t>
      </w:r>
    </w:p>
    <w:p w14:paraId="4E680F0E" w14:textId="5B1E4C9B" w:rsidR="004A1EE5" w:rsidRPr="00790CA9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90CA9">
        <w:rPr>
          <w:b/>
          <w:snapToGrid w:val="0"/>
          <w:sz w:val="28"/>
          <w:szCs w:val="28"/>
        </w:rPr>
        <w:t xml:space="preserve">č. nSIPO </w:t>
      </w:r>
      <w:r w:rsidR="00E32DA4" w:rsidRPr="00790CA9">
        <w:rPr>
          <w:b/>
          <w:snapToGrid w:val="0"/>
          <w:sz w:val="28"/>
          <w:szCs w:val="28"/>
        </w:rPr>
        <w:t>0</w:t>
      </w:r>
      <w:r w:rsidR="007C328F" w:rsidRPr="00790CA9">
        <w:rPr>
          <w:b/>
          <w:snapToGrid w:val="0"/>
          <w:sz w:val="28"/>
          <w:szCs w:val="28"/>
        </w:rPr>
        <w:t>7</w:t>
      </w:r>
      <w:r w:rsidR="00E32DA4" w:rsidRPr="00790CA9">
        <w:rPr>
          <w:b/>
          <w:snapToGrid w:val="0"/>
          <w:sz w:val="28"/>
          <w:szCs w:val="28"/>
        </w:rPr>
        <w:t xml:space="preserve"> – </w:t>
      </w:r>
      <w:r w:rsidR="007B1ED9">
        <w:rPr>
          <w:b/>
          <w:snapToGrid w:val="0"/>
          <w:sz w:val="28"/>
          <w:szCs w:val="28"/>
        </w:rPr>
        <w:t>204/2021</w:t>
      </w:r>
    </w:p>
    <w:p w14:paraId="0916785C" w14:textId="77777777" w:rsidR="00BA53A8" w:rsidRPr="00790CA9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790CA9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90CA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790CA9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90CA9">
        <w:rPr>
          <w:b/>
          <w:snapToGrid w:val="0"/>
          <w:sz w:val="24"/>
        </w:rPr>
        <w:t>1.</w:t>
      </w:r>
      <w:r w:rsidRPr="00790CA9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790CA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90CA9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790CA9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90CA9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90CA9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790CA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90CA9">
        <w:rPr>
          <w:rFonts w:ascii="Times New Roman" w:hAnsi="Times New Roman"/>
          <w:snapToGrid w:val="0"/>
          <w:sz w:val="24"/>
        </w:rPr>
        <w:t xml:space="preserve">IČO: </w:t>
      </w:r>
      <w:r w:rsidRPr="00790CA9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790CA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90CA9">
        <w:rPr>
          <w:rFonts w:ascii="Times New Roman" w:hAnsi="Times New Roman"/>
          <w:snapToGrid w:val="0"/>
          <w:sz w:val="24"/>
        </w:rPr>
        <w:t>DIČ:</w:t>
      </w:r>
      <w:r w:rsidRPr="00790CA9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790CA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90CA9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790CA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90CA9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90CA9">
        <w:rPr>
          <w:rFonts w:ascii="Times New Roman" w:hAnsi="Times New Roman"/>
          <w:b/>
          <w:snapToGrid w:val="0"/>
          <w:sz w:val="24"/>
        </w:rPr>
        <w:tab/>
      </w:r>
      <w:r w:rsidRPr="00790CA9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790CA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90CA9">
        <w:rPr>
          <w:rFonts w:ascii="Times New Roman" w:hAnsi="Times New Roman"/>
          <w:b/>
          <w:snapToGrid w:val="0"/>
          <w:sz w:val="24"/>
        </w:rPr>
        <w:tab/>
      </w:r>
      <w:r w:rsidRPr="00790CA9">
        <w:rPr>
          <w:rFonts w:ascii="Times New Roman" w:hAnsi="Times New Roman"/>
          <w:b/>
          <w:snapToGrid w:val="0"/>
          <w:sz w:val="24"/>
        </w:rPr>
        <w:tab/>
      </w:r>
      <w:r w:rsidRPr="00790CA9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4BC64FCD" w:rsidR="00BA53A8" w:rsidRPr="00790CA9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90CA9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2DD3045C" w:rsidR="00BA53A8" w:rsidRPr="00790CA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90CA9">
        <w:rPr>
          <w:rFonts w:ascii="Times New Roman" w:hAnsi="Times New Roman"/>
          <w:snapToGrid w:val="0"/>
          <w:sz w:val="24"/>
        </w:rPr>
        <w:t xml:space="preserve">číslo účtu: </w:t>
      </w:r>
      <w:r w:rsidR="00D355F4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790CA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90CA9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790CA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90CA9">
        <w:rPr>
          <w:rFonts w:ascii="Times New Roman" w:hAnsi="Times New Roman"/>
          <w:snapToGrid w:val="0"/>
          <w:sz w:val="24"/>
        </w:rPr>
        <w:t>a</w:t>
      </w:r>
    </w:p>
    <w:p w14:paraId="3181EA4C" w14:textId="77777777" w:rsidR="00C42E5B" w:rsidRPr="00DE2BC9" w:rsidRDefault="00C42E5B" w:rsidP="00C42E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263188002</w:t>
      </w:r>
    </w:p>
    <w:p w14:paraId="6006369B" w14:textId="77777777" w:rsidR="00C42E5B" w:rsidRPr="00206D3F" w:rsidRDefault="00C42E5B" w:rsidP="00C42E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A6F23">
        <w:rPr>
          <w:rFonts w:ascii="Times New Roman" w:hAnsi="Times New Roman"/>
          <w:b/>
          <w:snapToGrid w:val="0"/>
          <w:sz w:val="24"/>
        </w:rPr>
        <w:t>RK LUNOVIA s.r.o.</w:t>
      </w:r>
    </w:p>
    <w:p w14:paraId="6969BFB5" w14:textId="77777777" w:rsidR="00C42E5B" w:rsidRDefault="00C42E5B" w:rsidP="00C42E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3A6F23">
        <w:rPr>
          <w:rFonts w:ascii="Times New Roman" w:hAnsi="Times New Roman"/>
          <w:b/>
          <w:snapToGrid w:val="0"/>
          <w:sz w:val="24"/>
        </w:rPr>
        <w:t>Revoluční 904/30, Pod Bezručovým vrchem, 794 01 Krnov</w:t>
      </w:r>
    </w:p>
    <w:p w14:paraId="18EC7612" w14:textId="77777777" w:rsidR="00C42E5B" w:rsidRPr="003A6F23" w:rsidRDefault="00C42E5B" w:rsidP="00C42E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</w:rPr>
        <w:t>Lucií Nosálovou, jednatelem</w:t>
      </w:r>
    </w:p>
    <w:p w14:paraId="427A58EC" w14:textId="77777777" w:rsidR="00C42E5B" w:rsidRDefault="00C42E5B" w:rsidP="00C42E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29454662</w:t>
      </w:r>
    </w:p>
    <w:p w14:paraId="6AB21B0A" w14:textId="77777777" w:rsidR="00C42E5B" w:rsidRDefault="00C42E5B" w:rsidP="00C42E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29454662</w:t>
      </w:r>
    </w:p>
    <w:p w14:paraId="4DC44F82" w14:textId="77777777" w:rsidR="00C42E5B" w:rsidRDefault="00C42E5B" w:rsidP="00C42E5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Ostravě, oddíl C, vložka 54547</w:t>
      </w:r>
    </w:p>
    <w:p w14:paraId="7F2B183F" w14:textId="77777777" w:rsidR="00C42E5B" w:rsidRPr="003A6F23" w:rsidRDefault="00C42E5B" w:rsidP="00DD50A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Cs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  <w:u w:val="single"/>
        </w:rPr>
        <w:t>Lucie Nosálová, Revoluční 904/30, 794 01 Krnov</w:t>
      </w:r>
    </w:p>
    <w:p w14:paraId="334E29EA" w14:textId="77777777" w:rsidR="00C42E5B" w:rsidRPr="003721EA" w:rsidRDefault="00C42E5B" w:rsidP="00DD50A0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ABE1779" w14:textId="7652D595" w:rsidR="00C42E5B" w:rsidRPr="00DD50A0" w:rsidRDefault="00C42E5B" w:rsidP="00DD50A0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10E13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D355F4">
        <w:rPr>
          <w:rFonts w:ascii="Times New Roman" w:hAnsi="Times New Roman"/>
          <w:b/>
          <w:snapToGrid w:val="0"/>
          <w:sz w:val="24"/>
        </w:rPr>
        <w:t>xxx</w:t>
      </w:r>
    </w:p>
    <w:p w14:paraId="75BF80A9" w14:textId="67830954" w:rsidR="00C42E5B" w:rsidRPr="00633C5B" w:rsidRDefault="00D355F4" w:rsidP="00C42E5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1FDDBC95" w14:textId="77777777" w:rsidR="008D231F" w:rsidRDefault="008D231F" w:rsidP="008D231F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89854CE" w14:textId="77777777" w:rsidR="008D231F" w:rsidRPr="00DE2BC9" w:rsidRDefault="008D231F" w:rsidP="008D231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6FA30EA" w14:textId="77777777" w:rsidR="008D231F" w:rsidRPr="00DE2BC9" w:rsidRDefault="008D231F" w:rsidP="008D231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15F25517" w:rsidR="007D4C5D" w:rsidRPr="00790CA9" w:rsidRDefault="007D4C5D" w:rsidP="00440AE9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790CA9">
        <w:rPr>
          <w:rFonts w:ascii="Times New Roman" w:hAnsi="Times New Roman"/>
          <w:b/>
          <w:sz w:val="24"/>
        </w:rPr>
        <w:lastRenderedPageBreak/>
        <w:t>1.</w:t>
      </w:r>
      <w:r w:rsidRPr="00790CA9">
        <w:rPr>
          <w:rFonts w:ascii="Times New Roman" w:hAnsi="Times New Roman"/>
          <w:sz w:val="24"/>
        </w:rPr>
        <w:tab/>
      </w:r>
      <w:r w:rsidRPr="00790CA9">
        <w:rPr>
          <w:rFonts w:ascii="Times New Roman" w:hAnsi="Times New Roman"/>
          <w:b/>
          <w:sz w:val="24"/>
        </w:rPr>
        <w:t xml:space="preserve">Smluvní strany uzavřely dne </w:t>
      </w:r>
      <w:r w:rsidR="007B1ED9">
        <w:rPr>
          <w:rFonts w:ascii="Times New Roman" w:hAnsi="Times New Roman"/>
          <w:b/>
          <w:sz w:val="24"/>
        </w:rPr>
        <w:t>18.11.2021</w:t>
      </w:r>
      <w:r w:rsidR="000B3C49" w:rsidRPr="00790CA9">
        <w:rPr>
          <w:rFonts w:ascii="Times New Roman" w:hAnsi="Times New Roman"/>
          <w:b/>
          <w:sz w:val="24"/>
        </w:rPr>
        <w:t xml:space="preserve"> </w:t>
      </w:r>
      <w:r w:rsidR="00BA53A8" w:rsidRPr="00790CA9">
        <w:rPr>
          <w:rFonts w:ascii="Times New Roman" w:hAnsi="Times New Roman"/>
          <w:b/>
          <w:sz w:val="24"/>
        </w:rPr>
        <w:t>Příkazní</w:t>
      </w:r>
      <w:r w:rsidRPr="00790CA9">
        <w:rPr>
          <w:rFonts w:ascii="Times New Roman" w:hAnsi="Times New Roman"/>
          <w:b/>
          <w:sz w:val="24"/>
        </w:rPr>
        <w:t xml:space="preserve"> smlouvu č. </w:t>
      </w:r>
      <w:r w:rsidR="001B050C" w:rsidRPr="00790CA9">
        <w:rPr>
          <w:rFonts w:ascii="Times New Roman" w:hAnsi="Times New Roman"/>
          <w:b/>
          <w:sz w:val="24"/>
        </w:rPr>
        <w:t>n</w:t>
      </w:r>
      <w:r w:rsidRPr="00790CA9">
        <w:rPr>
          <w:rFonts w:ascii="Times New Roman" w:hAnsi="Times New Roman"/>
          <w:b/>
          <w:sz w:val="24"/>
        </w:rPr>
        <w:t xml:space="preserve">SIPO </w:t>
      </w:r>
      <w:r w:rsidR="002F71B9" w:rsidRPr="00790CA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790CA9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790CA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B1ED9">
        <w:rPr>
          <w:rFonts w:ascii="Times New Roman" w:hAnsi="Times New Roman"/>
          <w:b/>
          <w:snapToGrid w:val="0"/>
          <w:sz w:val="24"/>
          <w:szCs w:val="24"/>
        </w:rPr>
        <w:t>204/2021</w:t>
      </w:r>
      <w:r w:rsidRPr="00790CA9"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2B8ECCFC" w:rsidR="00A930C1" w:rsidRPr="008D231F" w:rsidRDefault="00A930C1" w:rsidP="00DD50A0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  <w:u w:val="single"/>
        </w:rPr>
      </w:pPr>
      <w:r w:rsidRPr="00790CA9">
        <w:rPr>
          <w:rFonts w:ascii="Times New Roman" w:hAnsi="Times New Roman"/>
          <w:b/>
          <w:sz w:val="24"/>
        </w:rPr>
        <w:t xml:space="preserve">2. </w:t>
      </w:r>
      <w:r w:rsidRPr="00790CA9">
        <w:rPr>
          <w:rFonts w:ascii="Times New Roman" w:hAnsi="Times New Roman"/>
          <w:b/>
          <w:sz w:val="24"/>
        </w:rPr>
        <w:tab/>
        <w:t xml:space="preserve">Příkazník bere na vědomí </w:t>
      </w:r>
      <w:r w:rsidR="008D231F">
        <w:rPr>
          <w:rFonts w:ascii="Times New Roman" w:hAnsi="Times New Roman"/>
          <w:b/>
          <w:sz w:val="24"/>
          <w:u w:val="single"/>
        </w:rPr>
        <w:t xml:space="preserve">u </w:t>
      </w:r>
      <w:r w:rsidR="007D2664" w:rsidRPr="00790CA9">
        <w:rPr>
          <w:rFonts w:ascii="Times New Roman" w:hAnsi="Times New Roman"/>
          <w:b/>
          <w:sz w:val="24"/>
          <w:u w:val="single"/>
        </w:rPr>
        <w:t>bankovního spojení</w:t>
      </w:r>
      <w:r w:rsidR="007D2664" w:rsidRPr="00790CA9">
        <w:rPr>
          <w:rFonts w:ascii="Times New Roman" w:hAnsi="Times New Roman"/>
          <w:b/>
          <w:sz w:val="24"/>
        </w:rPr>
        <w:t xml:space="preserve"> pro účely plnění Smlouvy </w:t>
      </w:r>
      <w:r w:rsidRPr="00790CA9">
        <w:rPr>
          <w:rFonts w:ascii="Times New Roman" w:hAnsi="Times New Roman"/>
          <w:b/>
          <w:sz w:val="24"/>
        </w:rPr>
        <w:t>na straně Příkazce</w:t>
      </w:r>
      <w:r w:rsidR="008D231F">
        <w:rPr>
          <w:rFonts w:ascii="Times New Roman" w:hAnsi="Times New Roman"/>
          <w:b/>
          <w:sz w:val="24"/>
        </w:rPr>
        <w:t xml:space="preserve"> </w:t>
      </w:r>
      <w:r w:rsidR="007B1ED9">
        <w:rPr>
          <w:rFonts w:ascii="Times New Roman" w:hAnsi="Times New Roman"/>
          <w:b/>
          <w:sz w:val="24"/>
          <w:u w:val="single"/>
        </w:rPr>
        <w:t xml:space="preserve">rozšíření o nová </w:t>
      </w:r>
      <w:r w:rsidR="008D231F" w:rsidRPr="008D231F">
        <w:rPr>
          <w:rFonts w:ascii="Times New Roman" w:hAnsi="Times New Roman"/>
          <w:b/>
          <w:sz w:val="24"/>
          <w:u w:val="single"/>
        </w:rPr>
        <w:t>č</w:t>
      </w:r>
      <w:r w:rsidR="008D231F">
        <w:rPr>
          <w:rFonts w:ascii="Times New Roman" w:hAnsi="Times New Roman"/>
          <w:b/>
          <w:sz w:val="24"/>
          <w:u w:val="single"/>
        </w:rPr>
        <w:t>ís</w:t>
      </w:r>
      <w:r w:rsidR="007B1ED9">
        <w:rPr>
          <w:rFonts w:ascii="Times New Roman" w:hAnsi="Times New Roman"/>
          <w:b/>
          <w:sz w:val="24"/>
          <w:u w:val="single"/>
        </w:rPr>
        <w:t>la</w:t>
      </w:r>
      <w:r w:rsidR="008D231F">
        <w:rPr>
          <w:rFonts w:ascii="Times New Roman" w:hAnsi="Times New Roman"/>
          <w:b/>
          <w:sz w:val="24"/>
          <w:u w:val="single"/>
        </w:rPr>
        <w:t xml:space="preserve"> účtů</w:t>
      </w:r>
      <w:r w:rsidR="008D231F" w:rsidRPr="008D231F">
        <w:rPr>
          <w:rFonts w:ascii="Times New Roman" w:hAnsi="Times New Roman"/>
          <w:b/>
          <w:sz w:val="24"/>
          <w:u w:val="single"/>
        </w:rPr>
        <w:t xml:space="preserve"> s vazbou na kód poplatku č. 41, 220, 223, 228.</w:t>
      </w:r>
    </w:p>
    <w:p w14:paraId="767FD072" w14:textId="5444C28C" w:rsidR="007B121B" w:rsidRPr="00DB577C" w:rsidRDefault="007B121B" w:rsidP="007B121B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3.</w:t>
      </w:r>
      <w:r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5271C535" w14:textId="3464CC5A" w:rsidR="00922CA7" w:rsidRPr="00790CA9" w:rsidRDefault="00440AE9" w:rsidP="00DD50A0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922CA7" w:rsidRPr="00790CA9">
        <w:rPr>
          <w:b/>
        </w:rPr>
        <w:t>.</w:t>
      </w:r>
      <w:r w:rsidR="00922CA7" w:rsidRPr="00790CA9">
        <w:tab/>
        <w:t>Dodatek je vyhotoven ve dvou stejnopisech stejné právní síly, po jednom vyhotovení pro každou ze smluvních stran.</w:t>
      </w:r>
    </w:p>
    <w:p w14:paraId="71A77245" w14:textId="1BEC5DD4" w:rsidR="00922CA7" w:rsidRPr="00790CA9" w:rsidRDefault="00440AE9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790CA9">
        <w:rPr>
          <w:rFonts w:ascii="Times New Roman" w:hAnsi="Times New Roman"/>
          <w:b/>
          <w:sz w:val="24"/>
        </w:rPr>
        <w:t>.</w:t>
      </w:r>
      <w:r w:rsidR="00922CA7" w:rsidRPr="00790CA9">
        <w:rPr>
          <w:rFonts w:ascii="Times New Roman" w:hAnsi="Times New Roman"/>
          <w:b/>
          <w:sz w:val="24"/>
        </w:rPr>
        <w:tab/>
      </w:r>
      <w:r w:rsidR="00922CA7" w:rsidRPr="00790CA9">
        <w:rPr>
          <w:rFonts w:ascii="Times New Roman" w:hAnsi="Times New Roman"/>
          <w:sz w:val="24"/>
        </w:rPr>
        <w:t>Ostatní ustanovení smlouvy zůstávají tímto dodatkem nedotčena.</w:t>
      </w:r>
    </w:p>
    <w:p w14:paraId="64D3A896" w14:textId="77777777" w:rsidR="00440AE9" w:rsidRPr="00DE2BC9" w:rsidRDefault="00440AE9" w:rsidP="00DD50A0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6F762C7" w14:textId="77777777" w:rsidR="00440AE9" w:rsidRPr="00DE2BC9" w:rsidRDefault="00440AE9" w:rsidP="00440AE9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B952F6D" w14:textId="77777777" w:rsidR="00440AE9" w:rsidRPr="00DE2BC9" w:rsidRDefault="00440AE9" w:rsidP="00440AE9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5495F36" w14:textId="77777777" w:rsidR="00440AE9" w:rsidRPr="00DE2BC9" w:rsidRDefault="00440AE9" w:rsidP="00440AE9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Lucie Nosálová</w:t>
      </w:r>
    </w:p>
    <w:p w14:paraId="0AD662C7" w14:textId="152EF76A" w:rsidR="00440AE9" w:rsidRDefault="00440AE9" w:rsidP="00440AE9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DD50A0">
        <w:rPr>
          <w:rFonts w:ascii="Times New Roman" w:hAnsi="Times New Roman"/>
          <w:snapToGrid w:val="0"/>
          <w:sz w:val="24"/>
        </w:rPr>
        <w:tab/>
        <w:t>jednatel</w:t>
      </w:r>
    </w:p>
    <w:p w14:paraId="76D052F6" w14:textId="356BE693" w:rsidR="00EE53CD" w:rsidRPr="00E32DA4" w:rsidRDefault="00440AE9" w:rsidP="00DD50A0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27FFD8C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F91267">
      <w:rPr>
        <w:sz w:val="16"/>
      </w:rPr>
      <w:t>204/2021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4769832">
    <w:abstractNumId w:val="16"/>
  </w:num>
  <w:num w:numId="2" w16cid:durableId="911936765">
    <w:abstractNumId w:val="7"/>
  </w:num>
  <w:num w:numId="3" w16cid:durableId="1198591519">
    <w:abstractNumId w:val="13"/>
  </w:num>
  <w:num w:numId="4" w16cid:durableId="2133283001">
    <w:abstractNumId w:val="0"/>
  </w:num>
  <w:num w:numId="5" w16cid:durableId="678775872">
    <w:abstractNumId w:val="5"/>
  </w:num>
  <w:num w:numId="6" w16cid:durableId="1702196231">
    <w:abstractNumId w:val="15"/>
  </w:num>
  <w:num w:numId="7" w16cid:durableId="963198847">
    <w:abstractNumId w:val="4"/>
  </w:num>
  <w:num w:numId="8" w16cid:durableId="735012712">
    <w:abstractNumId w:val="9"/>
  </w:num>
  <w:num w:numId="9" w16cid:durableId="2039239194">
    <w:abstractNumId w:val="1"/>
  </w:num>
  <w:num w:numId="10" w16cid:durableId="249430821">
    <w:abstractNumId w:val="14"/>
  </w:num>
  <w:num w:numId="11" w16cid:durableId="124322193">
    <w:abstractNumId w:val="12"/>
  </w:num>
  <w:num w:numId="12" w16cid:durableId="2051763978">
    <w:abstractNumId w:val="20"/>
  </w:num>
  <w:num w:numId="13" w16cid:durableId="677275273">
    <w:abstractNumId w:val="6"/>
  </w:num>
  <w:num w:numId="14" w16cid:durableId="24714829">
    <w:abstractNumId w:val="17"/>
  </w:num>
  <w:num w:numId="15" w16cid:durableId="1074158723">
    <w:abstractNumId w:val="11"/>
  </w:num>
  <w:num w:numId="16" w16cid:durableId="466973977">
    <w:abstractNumId w:val="8"/>
  </w:num>
  <w:num w:numId="17" w16cid:durableId="1762408923">
    <w:abstractNumId w:val="2"/>
  </w:num>
  <w:num w:numId="18" w16cid:durableId="1885407853">
    <w:abstractNumId w:val="19"/>
  </w:num>
  <w:num w:numId="19" w16cid:durableId="2002544207">
    <w:abstractNumId w:val="3"/>
  </w:num>
  <w:num w:numId="20" w16cid:durableId="74791788">
    <w:abstractNumId w:val="10"/>
  </w:num>
  <w:num w:numId="21" w16cid:durableId="15254398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0AE9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0CA9"/>
    <w:rsid w:val="007935FB"/>
    <w:rsid w:val="007979FB"/>
    <w:rsid w:val="007B121B"/>
    <w:rsid w:val="007B1ED9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39B1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231F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2E5B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355F4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50A0"/>
    <w:rsid w:val="00DE5FA7"/>
    <w:rsid w:val="00DF0C74"/>
    <w:rsid w:val="00E0029F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1267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2018-01-18T09:04:00Z</cp:lastPrinted>
  <dcterms:created xsi:type="dcterms:W3CDTF">2023-06-16T11:37:00Z</dcterms:created>
  <dcterms:modified xsi:type="dcterms:W3CDTF">2023-06-21T12:04:00Z</dcterms:modified>
</cp:coreProperties>
</file>