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3" w:rsidRPr="00FB28C4" w:rsidRDefault="00E92393" w:rsidP="00E92393">
      <w:pPr>
        <w:widowControl w:val="0"/>
        <w:rPr>
          <w:rFonts w:cs="Calibri"/>
          <w:b/>
        </w:rPr>
      </w:pPr>
      <w:proofErr w:type="spellStart"/>
      <w:r w:rsidRPr="00FB28C4">
        <w:rPr>
          <w:rFonts w:cs="Calibri"/>
          <w:b/>
        </w:rPr>
        <w:t>Asseco</w:t>
      </w:r>
      <w:proofErr w:type="spellEnd"/>
      <w:r w:rsidRPr="00FB28C4">
        <w:rPr>
          <w:rFonts w:cs="Calibri"/>
          <w:b/>
        </w:rPr>
        <w:t xml:space="preserve"> </w:t>
      </w:r>
      <w:proofErr w:type="spellStart"/>
      <w:r w:rsidRPr="00FB28C4">
        <w:rPr>
          <w:rFonts w:cs="Calibri"/>
          <w:b/>
        </w:rPr>
        <w:t>Solutions</w:t>
      </w:r>
      <w:proofErr w:type="spellEnd"/>
      <w:r w:rsidRPr="00FB28C4">
        <w:rPr>
          <w:rFonts w:cs="Calibri"/>
          <w:b/>
        </w:rPr>
        <w:t>, a.s.</w:t>
      </w:r>
    </w:p>
    <w:p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  <w:r w:rsidR="002366D1">
        <w:rPr>
          <w:rFonts w:ascii="Calibri" w:hAnsi="Calibri" w:cs="Calibri"/>
          <w:szCs w:val="22"/>
        </w:rPr>
        <w:t>, DIČ: CZ</w:t>
      </w:r>
      <w:r w:rsidR="002366D1" w:rsidRPr="00FB28C4">
        <w:rPr>
          <w:rFonts w:ascii="Calibri" w:hAnsi="Calibri" w:cs="Calibri"/>
          <w:szCs w:val="22"/>
        </w:rPr>
        <w:t>64949541</w:t>
      </w:r>
    </w:p>
    <w:p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Zastoupena místopředsedou představenstva Ing. Jiřím Hubem</w:t>
      </w:r>
    </w:p>
    <w:p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:rsidR="00E92393" w:rsidRPr="00FB28C4" w:rsidRDefault="00E92393" w:rsidP="00E92393">
      <w:pPr>
        <w:widowControl w:val="0"/>
        <w:rPr>
          <w:rFonts w:cs="Calibri"/>
        </w:rPr>
      </w:pPr>
    </w:p>
    <w:p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:rsidR="00E92393" w:rsidRPr="00FB28C4" w:rsidRDefault="00E92393" w:rsidP="00E92393">
      <w:pPr>
        <w:widowControl w:val="0"/>
        <w:rPr>
          <w:rFonts w:cs="Calibri"/>
        </w:rPr>
      </w:pPr>
    </w:p>
    <w:p w:rsidR="00E92393" w:rsidRPr="00FB28C4" w:rsidRDefault="00DE64EF" w:rsidP="00E92393">
      <w:pPr>
        <w:widowControl w:val="0"/>
        <w:rPr>
          <w:rFonts w:cs="Calibri"/>
          <w:b/>
          <w:highlight w:val="yellow"/>
        </w:rPr>
      </w:pPr>
      <w:r w:rsidRPr="00DE64EF">
        <w:rPr>
          <w:rFonts w:cs="Calibri"/>
          <w:b/>
        </w:rPr>
        <w:t>Česká agentura na podporu obchodu</w:t>
      </w:r>
      <w:r>
        <w:rPr>
          <w:rFonts w:cs="Calibri"/>
          <w:b/>
        </w:rPr>
        <w:t>/</w:t>
      </w:r>
      <w:proofErr w:type="spellStart"/>
      <w:r>
        <w:rPr>
          <w:rFonts w:cs="Calibri"/>
          <w:b/>
        </w:rPr>
        <w:t>CzechTrade</w:t>
      </w:r>
      <w:proofErr w:type="spellEnd"/>
    </w:p>
    <w:p w:rsidR="00E92393" w:rsidRPr="00E152A6" w:rsidRDefault="00E92393" w:rsidP="00E92393">
      <w:pPr>
        <w:widowControl w:val="0"/>
        <w:tabs>
          <w:tab w:val="center" w:pos="4535"/>
        </w:tabs>
        <w:rPr>
          <w:rFonts w:cs="Calibri"/>
        </w:rPr>
      </w:pPr>
      <w:r w:rsidRPr="00E152A6">
        <w:rPr>
          <w:rFonts w:cs="Calibri"/>
        </w:rPr>
        <w:t xml:space="preserve">se sídlem </w:t>
      </w:r>
      <w:r w:rsidR="003A6816">
        <w:rPr>
          <w:rFonts w:cs="Calibri"/>
        </w:rPr>
        <w:t>Dittrichova 21,</w:t>
      </w:r>
      <w:r w:rsidR="00DE64EF" w:rsidRPr="00E152A6">
        <w:rPr>
          <w:rFonts w:cs="Calibri"/>
        </w:rPr>
        <w:t xml:space="preserve"> Praha 2, PSČ 128 01</w:t>
      </w:r>
    </w:p>
    <w:p w:rsidR="00E92393" w:rsidRPr="00E152A6" w:rsidRDefault="00E92393" w:rsidP="00E92393">
      <w:pPr>
        <w:widowControl w:val="0"/>
        <w:rPr>
          <w:rFonts w:cs="Calibri"/>
        </w:rPr>
      </w:pPr>
      <w:r w:rsidRPr="00E152A6">
        <w:rPr>
          <w:rFonts w:cs="Calibri"/>
        </w:rPr>
        <w:t xml:space="preserve">IČ: </w:t>
      </w:r>
      <w:r w:rsidR="00DE64EF" w:rsidRPr="00E152A6">
        <w:rPr>
          <w:rFonts w:cs="Calibri"/>
        </w:rPr>
        <w:t>00001171, DIČ: CZ00001171</w:t>
      </w:r>
    </w:p>
    <w:p w:rsidR="00E92393" w:rsidRPr="00FB28C4" w:rsidRDefault="00E152A6" w:rsidP="00E92393">
      <w:pPr>
        <w:widowControl w:val="0"/>
        <w:rPr>
          <w:rFonts w:cs="Calibri"/>
          <w:highlight w:val="yellow"/>
        </w:rPr>
      </w:pPr>
      <w:r w:rsidRPr="00E152A6">
        <w:rPr>
          <w:rFonts w:cs="Calibri"/>
        </w:rPr>
        <w:t xml:space="preserve">Příspěvková organizace nezapsaná </w:t>
      </w:r>
      <w:r w:rsidR="00DE64EF" w:rsidRPr="00E152A6">
        <w:rPr>
          <w:rFonts w:cs="Calibri"/>
        </w:rPr>
        <w:t>v obchodním</w:t>
      </w:r>
      <w:r w:rsidR="00DE64EF" w:rsidRPr="00FB28C4">
        <w:rPr>
          <w:rFonts w:cs="Calibri"/>
        </w:rPr>
        <w:t xml:space="preserve"> rejstříku </w:t>
      </w:r>
    </w:p>
    <w:p w:rsidR="00E92393" w:rsidRPr="00E152A6" w:rsidRDefault="00E152A6" w:rsidP="00E92393">
      <w:pPr>
        <w:widowControl w:val="0"/>
        <w:rPr>
          <w:rFonts w:cs="Calibri"/>
        </w:rPr>
      </w:pPr>
      <w:r w:rsidRPr="00E152A6">
        <w:rPr>
          <w:rFonts w:cs="Calibri"/>
        </w:rPr>
        <w:t xml:space="preserve">Jejímž jménem jedná: </w:t>
      </w:r>
      <w:r w:rsidR="003A6816">
        <w:rPr>
          <w:rFonts w:cs="Calibri"/>
        </w:rPr>
        <w:t>Ing. Radomil Doležal</w:t>
      </w:r>
      <w:r w:rsidRPr="00E152A6">
        <w:rPr>
          <w:rFonts w:cs="Calibri"/>
        </w:rPr>
        <w:t>, M</w:t>
      </w:r>
      <w:r w:rsidR="003A6816">
        <w:rPr>
          <w:rFonts w:cs="Calibri"/>
        </w:rPr>
        <w:t>B</w:t>
      </w:r>
      <w:r w:rsidRPr="00E152A6">
        <w:rPr>
          <w:rFonts w:cs="Calibri"/>
        </w:rPr>
        <w:t>A</w:t>
      </w:r>
      <w:r w:rsidR="002366D1">
        <w:rPr>
          <w:rFonts w:cs="Calibri"/>
        </w:rPr>
        <w:t>, generální ředitel</w:t>
      </w:r>
    </w:p>
    <w:p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:rsidR="00E92393" w:rsidRDefault="00E92393" w:rsidP="00E92393">
      <w:pPr>
        <w:widowControl w:val="0"/>
        <w:rPr>
          <w:rFonts w:cs="Calibri"/>
        </w:rPr>
      </w:pPr>
    </w:p>
    <w:p w:rsidR="00E92393" w:rsidRDefault="00E92393" w:rsidP="00E92393">
      <w:pPr>
        <w:widowControl w:val="0"/>
        <w:rPr>
          <w:rFonts w:cs="Calibri"/>
        </w:rPr>
      </w:pPr>
    </w:p>
    <w:p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:rsidR="00E92393" w:rsidRDefault="00E92393" w:rsidP="00E92393">
      <w:pPr>
        <w:widowControl w:val="0"/>
        <w:rPr>
          <w:rFonts w:cs="Calibri"/>
        </w:rPr>
      </w:pPr>
    </w:p>
    <w:p w:rsidR="00FC1A2D" w:rsidRPr="00FB28C4" w:rsidRDefault="00FC1A2D" w:rsidP="00E92393">
      <w:pPr>
        <w:widowControl w:val="0"/>
        <w:rPr>
          <w:rFonts w:cs="Calibri"/>
        </w:rPr>
      </w:pPr>
    </w:p>
    <w:p w:rsidR="00952D2B" w:rsidRPr="00F30244" w:rsidRDefault="00CA19B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52D2B">
        <w:rPr>
          <w:rFonts w:asciiTheme="minorHAnsi" w:hAnsiTheme="minorHAnsi" w:cstheme="minorHAnsi"/>
          <w:b/>
          <w:sz w:val="36"/>
          <w:szCs w:val="36"/>
        </w:rPr>
        <w:t>Dodatek č. 4</w:t>
      </w:r>
    </w:p>
    <w:p w:rsidR="00136B1E" w:rsidRPr="00F30244" w:rsidRDefault="00CA19BF" w:rsidP="00F30244">
      <w:pPr>
        <w:rPr>
          <w:rFonts w:asciiTheme="minorHAnsi" w:hAnsiTheme="minorHAnsi" w:cstheme="minorHAnsi"/>
          <w:sz w:val="32"/>
          <w:szCs w:val="32"/>
        </w:rPr>
      </w:pPr>
      <w:r w:rsidRPr="00F30244">
        <w:rPr>
          <w:rFonts w:asciiTheme="minorHAnsi" w:hAnsiTheme="minorHAnsi" w:cstheme="minorHAnsi"/>
          <w:b/>
          <w:sz w:val="32"/>
          <w:szCs w:val="32"/>
        </w:rPr>
        <w:t>k Smlouvě sdružující Smlouvu o poskytnutí licence a Smlouvu o systémové podpoře č. O-08-00024 ze dne 1.3.2008, Dodatku č. 1 ze dne</w:t>
      </w:r>
      <w:r w:rsidR="00952D2B">
        <w:rPr>
          <w:rFonts w:asciiTheme="minorHAnsi" w:hAnsiTheme="minorHAnsi" w:cstheme="minorHAnsi"/>
          <w:b/>
          <w:sz w:val="32"/>
          <w:szCs w:val="32"/>
        </w:rPr>
        <w:t xml:space="preserve"> 30.4.2009</w:t>
      </w:r>
      <w:r w:rsidRPr="00F30244">
        <w:rPr>
          <w:rFonts w:asciiTheme="minorHAnsi" w:hAnsiTheme="minorHAnsi" w:cstheme="minorHAnsi"/>
          <w:b/>
          <w:sz w:val="32"/>
          <w:szCs w:val="32"/>
        </w:rPr>
        <w:t>, Dodatku č. 2 ze dne</w:t>
      </w:r>
      <w:r w:rsidR="00952D2B">
        <w:rPr>
          <w:rFonts w:asciiTheme="minorHAnsi" w:hAnsiTheme="minorHAnsi" w:cstheme="minorHAnsi"/>
          <w:b/>
          <w:sz w:val="32"/>
          <w:szCs w:val="32"/>
        </w:rPr>
        <w:t xml:space="preserve"> 2.5.2011</w:t>
      </w:r>
      <w:r w:rsidRPr="00F30244">
        <w:rPr>
          <w:rFonts w:asciiTheme="minorHAnsi" w:hAnsiTheme="minorHAnsi" w:cstheme="minorHAnsi"/>
          <w:b/>
          <w:sz w:val="32"/>
          <w:szCs w:val="32"/>
        </w:rPr>
        <w:t xml:space="preserve"> a Dodatku č. 3 ze dne</w:t>
      </w:r>
      <w:r w:rsidR="00952D2B">
        <w:rPr>
          <w:rFonts w:asciiTheme="minorHAnsi" w:hAnsiTheme="minorHAnsi" w:cstheme="minorHAnsi"/>
          <w:b/>
          <w:sz w:val="32"/>
          <w:szCs w:val="32"/>
        </w:rPr>
        <w:t xml:space="preserve"> 25.3.2013</w:t>
      </w:r>
    </w:p>
    <w:p w:rsidR="00136B1E" w:rsidRPr="00F30244" w:rsidRDefault="00136B1E">
      <w:pPr>
        <w:ind w:left="360" w:hanging="360"/>
        <w:rPr>
          <w:rFonts w:asciiTheme="minorHAnsi" w:hAnsiTheme="minorHAnsi" w:cstheme="minorHAnsi"/>
          <w:sz w:val="32"/>
          <w:szCs w:val="32"/>
        </w:rPr>
      </w:pPr>
    </w:p>
    <w:p w:rsidR="00B80371" w:rsidRDefault="00B80371" w:rsidP="00B80371">
      <w:pPr>
        <w:ind w:left="360" w:hanging="360"/>
        <w:rPr>
          <w:rFonts w:asciiTheme="minorHAnsi" w:hAnsiTheme="minorHAnsi" w:cstheme="minorHAnsi"/>
        </w:rPr>
      </w:pPr>
    </w:p>
    <w:p w:rsidR="00E92393" w:rsidRDefault="00E92393" w:rsidP="00E92393">
      <w:pPr>
        <w:ind w:left="360" w:hanging="360"/>
        <w:jc w:val="center"/>
        <w:rPr>
          <w:rFonts w:asciiTheme="minorHAnsi" w:hAnsiTheme="minorHAnsi" w:cstheme="minorHAnsi"/>
        </w:rPr>
      </w:pPr>
    </w:p>
    <w:p w:rsidR="00D57166" w:rsidRPr="00E92393" w:rsidRDefault="00D5716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Předmět dodatku</w:t>
      </w:r>
    </w:p>
    <w:p w:rsidR="00332CF7" w:rsidRDefault="00332CF7" w:rsidP="00325949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</w:rPr>
        <w:sectPr w:rsidR="00332CF7" w:rsidSect="00754D4B">
          <w:headerReference w:type="default" r:id="rId8"/>
          <w:footerReference w:type="default" r:id="rId9"/>
          <w:pgSz w:w="11906" w:h="16838" w:code="9"/>
          <w:pgMar w:top="2268" w:right="1247" w:bottom="1247" w:left="1247" w:header="454" w:footer="284" w:gutter="0"/>
          <w:cols w:space="708"/>
          <w:docGrid w:linePitch="360"/>
        </w:sectPr>
      </w:pPr>
    </w:p>
    <w:p w:rsidR="004C3C75" w:rsidRPr="00C5647A" w:rsidRDefault="00E92393" w:rsidP="00325949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E92393">
        <w:rPr>
          <w:rFonts w:asciiTheme="minorHAnsi" w:hAnsiTheme="minorHAnsi" w:cstheme="minorHAnsi"/>
        </w:rPr>
        <w:t xml:space="preserve">Předmětem tohoto </w:t>
      </w:r>
      <w:r w:rsidR="004C3C75">
        <w:rPr>
          <w:rFonts w:asciiTheme="minorHAnsi" w:hAnsiTheme="minorHAnsi" w:cstheme="minorHAnsi"/>
        </w:rPr>
        <w:t xml:space="preserve">dodatku je změna rozsahu licence </w:t>
      </w:r>
      <w:r w:rsidR="00952D42">
        <w:rPr>
          <w:rFonts w:asciiTheme="minorHAnsi" w:hAnsiTheme="minorHAnsi" w:cstheme="minorHAnsi"/>
        </w:rPr>
        <w:t>informačního systému HELIOS Orange</w:t>
      </w:r>
      <w:r w:rsidRPr="00E92393">
        <w:rPr>
          <w:rFonts w:asciiTheme="minorHAnsi" w:hAnsiTheme="minorHAnsi" w:cstheme="minorHAnsi"/>
        </w:rPr>
        <w:t>,</w:t>
      </w:r>
      <w:r w:rsidR="00546556">
        <w:rPr>
          <w:rFonts w:asciiTheme="minorHAnsi" w:hAnsiTheme="minorHAnsi" w:cstheme="minorHAnsi"/>
        </w:rPr>
        <w:t xml:space="preserve"> a sice licence č. </w:t>
      </w:r>
      <w:r w:rsidR="00325949" w:rsidRPr="00325949">
        <w:rPr>
          <w:rFonts w:asciiTheme="minorHAnsi" w:hAnsiTheme="minorHAnsi" w:cstheme="minorHAnsi"/>
        </w:rPr>
        <w:t>HEIQ0100-00184</w:t>
      </w:r>
      <w:r w:rsidR="00546556">
        <w:rPr>
          <w:rFonts w:asciiTheme="minorHAnsi" w:hAnsiTheme="minorHAnsi" w:cstheme="minorHAnsi"/>
        </w:rPr>
        <w:t>,</w:t>
      </w:r>
      <w:r w:rsidRPr="00E92393">
        <w:rPr>
          <w:rFonts w:asciiTheme="minorHAnsi" w:hAnsiTheme="minorHAnsi" w:cstheme="minorHAnsi"/>
        </w:rPr>
        <w:t xml:space="preserve"> </w:t>
      </w:r>
      <w:r w:rsidR="00546556">
        <w:rPr>
          <w:rFonts w:asciiTheme="minorHAnsi" w:hAnsiTheme="minorHAnsi" w:cstheme="minorHAnsi"/>
        </w:rPr>
        <w:t>jenž</w:t>
      </w:r>
      <w:r w:rsidR="004C3C75">
        <w:rPr>
          <w:rFonts w:asciiTheme="minorHAnsi" w:hAnsiTheme="minorHAnsi" w:cstheme="minorHAnsi"/>
        </w:rPr>
        <w:t xml:space="preserve"> je stanoven</w:t>
      </w:r>
      <w:r w:rsidRPr="00E92393">
        <w:rPr>
          <w:rFonts w:asciiTheme="minorHAnsi" w:hAnsiTheme="minorHAnsi" w:cstheme="minorHAnsi"/>
        </w:rPr>
        <w:t xml:space="preserve"> v pří</w:t>
      </w:r>
      <w:r w:rsidR="004C3C75">
        <w:rPr>
          <w:rFonts w:asciiTheme="minorHAnsi" w:hAnsiTheme="minorHAnsi" w:cstheme="minorHAnsi"/>
        </w:rPr>
        <w:t>loze č. 1 výše citované smlouvy. Změna spočívá v</w:t>
      </w:r>
      <w:r w:rsidR="00E152A6">
        <w:rPr>
          <w:rFonts w:asciiTheme="minorHAnsi" w:hAnsiTheme="minorHAnsi" w:cstheme="minorHAnsi"/>
        </w:rPr>
        <w:t xml:space="preserve"> dokoupení registračního </w:t>
      </w:r>
      <w:proofErr w:type="spellStart"/>
      <w:r w:rsidR="00E152A6">
        <w:rPr>
          <w:rFonts w:asciiTheme="minorHAnsi" w:hAnsiTheme="minorHAnsi" w:cstheme="minorHAnsi"/>
        </w:rPr>
        <w:t>pluginu</w:t>
      </w:r>
      <w:proofErr w:type="spellEnd"/>
      <w:r w:rsidR="00E152A6">
        <w:rPr>
          <w:rFonts w:asciiTheme="minorHAnsi" w:hAnsiTheme="minorHAnsi" w:cstheme="minorHAnsi"/>
        </w:rPr>
        <w:t xml:space="preserve"> „Hromadné ověření organizací v ARES“</w:t>
      </w:r>
      <w:r w:rsidR="00C5647A">
        <w:rPr>
          <w:rFonts w:asciiTheme="minorHAnsi" w:hAnsiTheme="minorHAnsi" w:cstheme="minorHAnsi"/>
        </w:rPr>
        <w:t>.</w:t>
      </w:r>
    </w:p>
    <w:p w:rsidR="00136B1E" w:rsidRDefault="00CA19BF" w:rsidP="00F30244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Nový rozsah předmětné licence HELIOS Orange č. HEIQ0100-00184 je specifikován v příloze č. 1   tohoto dodatku.</w:t>
      </w:r>
    </w:p>
    <w:p w:rsidR="00894224" w:rsidRDefault="00894224" w:rsidP="00FC1A2D">
      <w:pPr>
        <w:spacing w:after="120"/>
        <w:rPr>
          <w:rFonts w:asciiTheme="minorHAnsi" w:hAnsiTheme="minorHAnsi" w:cstheme="minorHAnsi"/>
          <w:bCs/>
        </w:rPr>
      </w:pPr>
    </w:p>
    <w:p w:rsidR="00D57166" w:rsidRPr="00E92393" w:rsidRDefault="00D57166" w:rsidP="00023C6D">
      <w:pPr>
        <w:spacing w:after="120"/>
        <w:ind w:left="540"/>
        <w:rPr>
          <w:rFonts w:asciiTheme="minorHAnsi" w:hAnsiTheme="minorHAnsi" w:cstheme="minorHAnsi"/>
          <w:bCs/>
        </w:rPr>
      </w:pPr>
    </w:p>
    <w:p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Cena a platební podmínky</w:t>
      </w:r>
    </w:p>
    <w:p w:rsidR="00E92393" w:rsidRPr="00E92393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E92393">
        <w:rPr>
          <w:rFonts w:asciiTheme="minorHAnsi" w:hAnsiTheme="minorHAnsi" w:cstheme="minorHAnsi"/>
        </w:rPr>
        <w:t xml:space="preserve">Smluvní strany sjednávají, že cena za rozšíření </w:t>
      </w:r>
      <w:r w:rsidR="00952D42">
        <w:rPr>
          <w:rFonts w:asciiTheme="minorHAnsi" w:hAnsiTheme="minorHAnsi" w:cstheme="minorHAnsi"/>
        </w:rPr>
        <w:t>informačního systému HELIOS Orange</w:t>
      </w:r>
      <w:r w:rsidRPr="00E92393">
        <w:rPr>
          <w:rFonts w:asciiTheme="minorHAnsi" w:hAnsiTheme="minorHAnsi" w:cstheme="minorHAnsi"/>
        </w:rPr>
        <w:t xml:space="preserve"> dle odstavce 1.1. tohoto dodatku činí  </w:t>
      </w:r>
      <w:r w:rsidR="00E152A6">
        <w:rPr>
          <w:rFonts w:asciiTheme="minorHAnsi" w:hAnsiTheme="minorHAnsi" w:cstheme="minorHAnsi"/>
          <w:b/>
        </w:rPr>
        <w:t>1</w:t>
      </w:r>
      <w:r w:rsidR="00681C67">
        <w:rPr>
          <w:rFonts w:asciiTheme="minorHAnsi" w:hAnsiTheme="minorHAnsi" w:cstheme="minorHAnsi"/>
          <w:b/>
        </w:rPr>
        <w:t xml:space="preserve"> </w:t>
      </w:r>
      <w:r w:rsidR="00E152A6">
        <w:rPr>
          <w:rFonts w:asciiTheme="minorHAnsi" w:hAnsiTheme="minorHAnsi" w:cstheme="minorHAnsi"/>
          <w:b/>
        </w:rPr>
        <w:t>800</w:t>
      </w:r>
      <w:r w:rsidRPr="004C3C75">
        <w:rPr>
          <w:rFonts w:asciiTheme="minorHAnsi" w:hAnsiTheme="minorHAnsi" w:cstheme="minorHAnsi"/>
          <w:b/>
        </w:rPr>
        <w:t xml:space="preserve">,- Kč </w:t>
      </w:r>
      <w:r w:rsidRPr="004C3C75">
        <w:rPr>
          <w:rFonts w:asciiTheme="minorHAnsi" w:hAnsiTheme="minorHAnsi" w:cstheme="minorHAnsi"/>
        </w:rPr>
        <w:t>bez</w:t>
      </w:r>
      <w:r w:rsidRPr="00E92393">
        <w:rPr>
          <w:rFonts w:asciiTheme="minorHAnsi" w:hAnsiTheme="minorHAnsi" w:cstheme="minorHAnsi"/>
        </w:rPr>
        <w:t xml:space="preserve"> DPH, navýšená o zákonnou sazbu DPH.</w:t>
      </w:r>
    </w:p>
    <w:p w:rsidR="00E92393" w:rsidRPr="00D14AED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D14AED">
        <w:rPr>
          <w:rFonts w:asciiTheme="minorHAnsi" w:hAnsiTheme="minorHAnsi" w:cstheme="minorHAnsi"/>
          <w:bCs/>
        </w:rPr>
        <w:t>Odběratel se zavazu</w:t>
      </w:r>
      <w:r w:rsidR="005F4381">
        <w:rPr>
          <w:rFonts w:asciiTheme="minorHAnsi" w:hAnsiTheme="minorHAnsi" w:cstheme="minorHAnsi"/>
          <w:bCs/>
        </w:rPr>
        <w:t>je finanční plnění specifikované v předchozím odstavci</w:t>
      </w:r>
      <w:r w:rsidRPr="00D14AED">
        <w:rPr>
          <w:rFonts w:asciiTheme="minorHAnsi" w:hAnsiTheme="minorHAnsi" w:cstheme="minorHAnsi"/>
          <w:bCs/>
        </w:rPr>
        <w:t xml:space="preserve"> 2.1. uhradit bezhotovostním převodem na základě </w:t>
      </w:r>
      <w:r w:rsidR="00D14AED">
        <w:rPr>
          <w:rFonts w:asciiTheme="minorHAnsi" w:hAnsiTheme="minorHAnsi" w:cstheme="minorHAnsi"/>
          <w:bCs/>
        </w:rPr>
        <w:t>daňov</w:t>
      </w:r>
      <w:r w:rsidR="00952D42">
        <w:rPr>
          <w:rFonts w:asciiTheme="minorHAnsi" w:hAnsiTheme="minorHAnsi" w:cstheme="minorHAnsi"/>
          <w:bCs/>
        </w:rPr>
        <w:t>ého</w:t>
      </w:r>
      <w:r w:rsidR="00D14AED">
        <w:rPr>
          <w:rFonts w:asciiTheme="minorHAnsi" w:hAnsiTheme="minorHAnsi" w:cstheme="minorHAnsi"/>
          <w:bCs/>
        </w:rPr>
        <w:t xml:space="preserve"> doklad</w:t>
      </w:r>
      <w:r w:rsidR="00952D42">
        <w:rPr>
          <w:rFonts w:asciiTheme="minorHAnsi" w:hAnsiTheme="minorHAnsi" w:cstheme="minorHAnsi"/>
          <w:bCs/>
        </w:rPr>
        <w:t>u</w:t>
      </w:r>
      <w:r w:rsidR="00D14AED">
        <w:rPr>
          <w:rFonts w:asciiTheme="minorHAnsi" w:hAnsiTheme="minorHAnsi" w:cstheme="minorHAnsi"/>
          <w:bCs/>
        </w:rPr>
        <w:t xml:space="preserve"> (</w:t>
      </w:r>
      <w:r w:rsidRPr="00D14AED">
        <w:rPr>
          <w:rFonts w:asciiTheme="minorHAnsi" w:hAnsiTheme="minorHAnsi" w:cstheme="minorHAnsi"/>
          <w:bCs/>
        </w:rPr>
        <w:t>faktur</w:t>
      </w:r>
      <w:r w:rsidR="00952D42">
        <w:rPr>
          <w:rFonts w:asciiTheme="minorHAnsi" w:hAnsiTheme="minorHAnsi" w:cstheme="minorHAnsi"/>
          <w:bCs/>
        </w:rPr>
        <w:t>y</w:t>
      </w:r>
      <w:r w:rsidR="00D14AED">
        <w:rPr>
          <w:rFonts w:asciiTheme="minorHAnsi" w:hAnsiTheme="minorHAnsi" w:cstheme="minorHAnsi"/>
          <w:bCs/>
        </w:rPr>
        <w:t>)</w:t>
      </w:r>
      <w:r w:rsidRPr="00D14AED">
        <w:rPr>
          <w:rFonts w:asciiTheme="minorHAnsi" w:hAnsiTheme="minorHAnsi" w:cstheme="minorHAnsi"/>
          <w:bCs/>
        </w:rPr>
        <w:t xml:space="preserve"> vystaven</w:t>
      </w:r>
      <w:r w:rsidR="00952D42">
        <w:rPr>
          <w:rFonts w:asciiTheme="minorHAnsi" w:hAnsiTheme="minorHAnsi" w:cstheme="minorHAnsi"/>
          <w:bCs/>
        </w:rPr>
        <w:t>ého</w:t>
      </w:r>
      <w:r w:rsidRPr="00D14AED">
        <w:rPr>
          <w:rFonts w:asciiTheme="minorHAnsi" w:hAnsiTheme="minorHAnsi" w:cstheme="minorHAnsi"/>
          <w:bCs/>
        </w:rPr>
        <w:t xml:space="preserve"> Dodavatelem ve splatnosti, která bude stanovena na příslušné faktuře.</w:t>
      </w:r>
    </w:p>
    <w:p w:rsidR="00E92393" w:rsidRPr="00D14AED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D14AED">
        <w:rPr>
          <w:rFonts w:asciiTheme="minorHAnsi" w:hAnsiTheme="minorHAnsi" w:cstheme="minorHAnsi"/>
        </w:rPr>
        <w:lastRenderedPageBreak/>
        <w:t xml:space="preserve">Smluvní strany se dále dohodly, že na základě uskutečněného rozšíření </w:t>
      </w:r>
      <w:r w:rsidR="00D14AED">
        <w:rPr>
          <w:rFonts w:asciiTheme="minorHAnsi" w:hAnsiTheme="minorHAnsi" w:cstheme="minorHAnsi"/>
        </w:rPr>
        <w:t>licence</w:t>
      </w:r>
      <w:r w:rsidRPr="00D14AED">
        <w:rPr>
          <w:rFonts w:asciiTheme="minorHAnsi" w:hAnsiTheme="minorHAnsi" w:cstheme="minorHAnsi"/>
        </w:rPr>
        <w:t xml:space="preserve"> </w:t>
      </w:r>
      <w:r w:rsidR="00952D42">
        <w:rPr>
          <w:rFonts w:asciiTheme="minorHAnsi" w:hAnsiTheme="minorHAnsi" w:cstheme="minorHAnsi"/>
        </w:rPr>
        <w:t>HELIOS Orange</w:t>
      </w:r>
      <w:r w:rsidRPr="00D14AED">
        <w:rPr>
          <w:rFonts w:asciiTheme="minorHAnsi" w:hAnsiTheme="minorHAnsi" w:cstheme="minorHAnsi"/>
        </w:rPr>
        <w:t xml:space="preserve"> dle </w:t>
      </w:r>
      <w:r w:rsidR="00D14AED">
        <w:rPr>
          <w:rFonts w:asciiTheme="minorHAnsi" w:hAnsiTheme="minorHAnsi" w:cstheme="minorHAnsi"/>
        </w:rPr>
        <w:t>odstavce</w:t>
      </w:r>
      <w:r w:rsidRPr="00D14AED">
        <w:rPr>
          <w:rFonts w:asciiTheme="minorHAnsi" w:hAnsiTheme="minorHAnsi" w:cstheme="minorHAnsi"/>
        </w:rPr>
        <w:t xml:space="preserve"> 1.1 tohoto dodatku se navyšuje roční paušální poplatek za </w:t>
      </w:r>
      <w:r w:rsidR="00546556">
        <w:rPr>
          <w:rFonts w:asciiTheme="minorHAnsi" w:hAnsiTheme="minorHAnsi" w:cstheme="minorHAnsi"/>
        </w:rPr>
        <w:t>systémovou podporu</w:t>
      </w:r>
      <w:r w:rsidR="0013212A">
        <w:rPr>
          <w:rFonts w:asciiTheme="minorHAnsi" w:hAnsiTheme="minorHAnsi" w:cstheme="minorHAnsi"/>
        </w:rPr>
        <w:t xml:space="preserve"> k licenci č. </w:t>
      </w:r>
      <w:r w:rsidR="0013212A" w:rsidRPr="00325949">
        <w:rPr>
          <w:rFonts w:asciiTheme="minorHAnsi" w:hAnsiTheme="minorHAnsi" w:cstheme="minorHAnsi"/>
        </w:rPr>
        <w:t>HEIQ0100-00184</w:t>
      </w:r>
      <w:r w:rsidRPr="00D14AED">
        <w:rPr>
          <w:rFonts w:asciiTheme="minorHAnsi" w:hAnsiTheme="minorHAnsi" w:cstheme="minorHAnsi"/>
        </w:rPr>
        <w:t>, je</w:t>
      </w:r>
      <w:r w:rsidR="00C5647A">
        <w:rPr>
          <w:rFonts w:asciiTheme="minorHAnsi" w:hAnsiTheme="minorHAnsi" w:cstheme="minorHAnsi"/>
        </w:rPr>
        <w:t>n</w:t>
      </w:r>
      <w:r w:rsidRPr="00D14AED">
        <w:rPr>
          <w:rFonts w:asciiTheme="minorHAnsi" w:hAnsiTheme="minorHAnsi" w:cstheme="minorHAnsi"/>
        </w:rPr>
        <w:t xml:space="preserve">ž je stanoven v odstavci </w:t>
      </w:r>
      <w:r w:rsidR="0078150C">
        <w:rPr>
          <w:rFonts w:asciiTheme="minorHAnsi" w:hAnsiTheme="minorHAnsi" w:cstheme="minorHAnsi"/>
        </w:rPr>
        <w:t>4.2</w:t>
      </w:r>
      <w:r w:rsidRPr="00D14AED">
        <w:rPr>
          <w:rFonts w:asciiTheme="minorHAnsi" w:hAnsiTheme="minorHAnsi" w:cstheme="minorHAnsi"/>
        </w:rPr>
        <w:t xml:space="preserve">. citované smlouvy, a to o částku </w:t>
      </w:r>
      <w:r w:rsidR="00E152A6">
        <w:rPr>
          <w:rFonts w:asciiTheme="minorHAnsi" w:hAnsiTheme="minorHAnsi" w:cstheme="minorHAnsi"/>
          <w:b/>
        </w:rPr>
        <w:t>324</w:t>
      </w:r>
      <w:r w:rsidRPr="00D14AED">
        <w:rPr>
          <w:rFonts w:asciiTheme="minorHAnsi" w:hAnsiTheme="minorHAnsi" w:cstheme="minorHAnsi"/>
          <w:b/>
        </w:rPr>
        <w:t>,- Kč</w:t>
      </w:r>
      <w:r w:rsidRPr="00D14AED">
        <w:rPr>
          <w:rFonts w:asciiTheme="minorHAnsi" w:hAnsiTheme="minorHAnsi" w:cstheme="minorHAnsi"/>
        </w:rPr>
        <w:t xml:space="preserve"> bez DPH, navýšenou o zákonnou sazbu DPH.</w:t>
      </w:r>
    </w:p>
    <w:p w:rsidR="00136B1E" w:rsidRPr="00F30244" w:rsidRDefault="00CA19BF" w:rsidP="00F30244">
      <w:pPr>
        <w:pStyle w:val="Odstavecseseznamem"/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</w:rPr>
      </w:pPr>
      <w:bookmarkStart w:id="0" w:name="_GoBack"/>
      <w:r w:rsidRPr="00F30244">
        <w:rPr>
          <w:rFonts w:asciiTheme="minorHAnsi" w:hAnsiTheme="minorHAnsi" w:cstheme="minorHAnsi"/>
        </w:rPr>
        <w:t xml:space="preserve">Aktuální výše ročního poplatku za systémovou podporu k licenci č. HEIQ0100-00184 tedy činí </w:t>
      </w:r>
      <w:r w:rsidRPr="00F30244">
        <w:rPr>
          <w:rFonts w:asciiTheme="minorHAnsi" w:hAnsiTheme="minorHAnsi" w:cstheme="minorHAnsi"/>
          <w:b/>
        </w:rPr>
        <w:t xml:space="preserve">43 830,72 Kč </w:t>
      </w:r>
      <w:r w:rsidRPr="00F30244">
        <w:rPr>
          <w:rFonts w:asciiTheme="minorHAnsi" w:hAnsiTheme="minorHAnsi" w:cstheme="minorHAnsi"/>
        </w:rPr>
        <w:t>bez DPH, navýšený o zákonnou sazbu DPH.</w:t>
      </w:r>
    </w:p>
    <w:bookmarkEnd w:id="0"/>
    <w:p w:rsidR="00E92393" w:rsidRDefault="00E92393" w:rsidP="00023C6D">
      <w:pPr>
        <w:spacing w:after="120"/>
        <w:rPr>
          <w:rFonts w:asciiTheme="minorHAnsi" w:hAnsiTheme="minorHAnsi" w:cstheme="minorHAnsi"/>
          <w:color w:val="FF0000"/>
        </w:rPr>
      </w:pPr>
    </w:p>
    <w:p w:rsidR="00F62C7B" w:rsidRPr="00E92393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:rsidR="00FD64F8" w:rsidRPr="00222AEA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222AEA">
        <w:rPr>
          <w:rFonts w:asciiTheme="minorHAnsi" w:hAnsiTheme="minorHAnsi" w:cstheme="minorHAnsi"/>
        </w:rPr>
        <w:t xml:space="preserve">Tento dodatek </w:t>
      </w:r>
      <w:r w:rsidR="00E92393" w:rsidRPr="00222AEA">
        <w:rPr>
          <w:rFonts w:asciiTheme="minorHAnsi" w:hAnsiTheme="minorHAnsi" w:cstheme="minorHAnsi"/>
        </w:rPr>
        <w:t xml:space="preserve">nabývá své platnosti a účinnosti dnem podpisu </w:t>
      </w:r>
      <w:r w:rsidRPr="00222AEA">
        <w:rPr>
          <w:rFonts w:asciiTheme="minorHAnsi" w:hAnsiTheme="minorHAnsi" w:cstheme="minorHAnsi"/>
        </w:rPr>
        <w:t>o</w:t>
      </w:r>
      <w:r w:rsidR="002C1291" w:rsidRPr="00222AEA">
        <w:rPr>
          <w:rFonts w:asciiTheme="minorHAnsi" w:hAnsiTheme="minorHAnsi" w:cstheme="minorHAnsi"/>
        </w:rPr>
        <w:t>běma smluvními stranami</w:t>
      </w:r>
      <w:r w:rsidR="00222AEA" w:rsidRPr="00222AEA">
        <w:rPr>
          <w:rFonts w:asciiTheme="minorHAnsi" w:hAnsiTheme="minorHAnsi" w:cstheme="minorHAnsi"/>
        </w:rPr>
        <w:t>.</w:t>
      </w:r>
    </w:p>
    <w:p w:rsidR="00E92393" w:rsidRPr="00222AEA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222AEA">
        <w:rPr>
          <w:rFonts w:asciiTheme="minorHAnsi" w:hAnsiTheme="minorHAnsi" w:cstheme="minorHAnsi"/>
        </w:rPr>
        <w:t xml:space="preserve">Tento dodatek </w:t>
      </w:r>
      <w:r w:rsidRPr="00222AEA">
        <w:rPr>
          <w:rFonts w:cs="Arial"/>
        </w:rPr>
        <w:t>je</w:t>
      </w:r>
      <w:r w:rsidR="00E92393" w:rsidRPr="00222AEA">
        <w:rPr>
          <w:rFonts w:asciiTheme="minorHAnsi" w:hAnsiTheme="minorHAnsi" w:cstheme="minorHAnsi"/>
        </w:rPr>
        <w:t xml:space="preserve"> vyhotoven ve dvou exemplářích, z nichž každá ze smluvních stran obdrží po jednom </w:t>
      </w:r>
      <w:r w:rsidRPr="00222AEA">
        <w:rPr>
          <w:rFonts w:asciiTheme="minorHAnsi" w:hAnsiTheme="minorHAnsi" w:cstheme="minorHAnsi"/>
        </w:rPr>
        <w:t>vyhotovení</w:t>
      </w:r>
      <w:r w:rsidR="00E92393" w:rsidRPr="00222AEA">
        <w:rPr>
          <w:rFonts w:asciiTheme="minorHAnsi" w:hAnsiTheme="minorHAnsi" w:cstheme="minorHAnsi"/>
        </w:rPr>
        <w:t>.</w:t>
      </w:r>
    </w:p>
    <w:p w:rsidR="00E92393" w:rsidRPr="00E92393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E92393">
        <w:rPr>
          <w:rFonts w:asciiTheme="minorHAnsi" w:hAnsiTheme="minorHAnsi" w:cstheme="minorHAnsi"/>
        </w:rPr>
        <w:t>Smluvní strany prohlašují, že si tento dodatek před jeho podpisem přečetly, s jeho obsahem souhlasí a že byl uzavřen po vzájemném projednání podle jejich pravé a svobodné vůle, přičemž jeho autentičnost stvrzují svými níže uvedenými podpisy.</w:t>
      </w:r>
    </w:p>
    <w:p w:rsidR="00E92393" w:rsidRDefault="00E92393" w:rsidP="00E92393">
      <w:pPr>
        <w:rPr>
          <w:rFonts w:asciiTheme="minorHAnsi" w:hAnsiTheme="minorHAnsi" w:cstheme="minorHAnsi"/>
        </w:rPr>
      </w:pPr>
    </w:p>
    <w:p w:rsidR="00D57166" w:rsidRPr="00E92393" w:rsidRDefault="00D57166" w:rsidP="00E92393">
      <w:pPr>
        <w:rPr>
          <w:rFonts w:asciiTheme="minorHAnsi" w:hAnsiTheme="minorHAnsi" w:cstheme="minorHAnsi"/>
        </w:rPr>
      </w:pPr>
    </w:p>
    <w:p w:rsidR="00E92393" w:rsidRPr="00E92393" w:rsidRDefault="00E92393" w:rsidP="00E92393">
      <w:pPr>
        <w:rPr>
          <w:rFonts w:asciiTheme="minorHAnsi" w:hAnsiTheme="minorHAnsi" w:cstheme="minorHAnsi"/>
        </w:rPr>
      </w:pPr>
    </w:p>
    <w:p w:rsidR="00E92393" w:rsidRPr="005F4381" w:rsidRDefault="00E92393" w:rsidP="00E92393">
      <w:pPr>
        <w:rPr>
          <w:rFonts w:asciiTheme="minorHAnsi" w:hAnsiTheme="minorHAnsi" w:cstheme="minorHAnsi"/>
          <w:u w:val="single"/>
        </w:rPr>
      </w:pPr>
      <w:r w:rsidRPr="005F4381">
        <w:rPr>
          <w:rFonts w:asciiTheme="minorHAnsi" w:hAnsiTheme="minorHAnsi" w:cstheme="minorHAnsi"/>
          <w:u w:val="single"/>
        </w:rPr>
        <w:t>Seznam příloh, jež tvoří nedílnou součást dodatku:</w:t>
      </w:r>
    </w:p>
    <w:p w:rsidR="00E92393" w:rsidRPr="0097457B" w:rsidRDefault="00E92393" w:rsidP="00E92393">
      <w:pPr>
        <w:rPr>
          <w:rFonts w:asciiTheme="minorHAnsi" w:hAnsiTheme="minorHAnsi" w:cstheme="minorHAnsi"/>
        </w:rPr>
      </w:pPr>
      <w:r w:rsidRPr="0097457B">
        <w:rPr>
          <w:rFonts w:asciiTheme="minorHAnsi" w:hAnsiTheme="minorHAnsi" w:cstheme="minorHAnsi"/>
        </w:rPr>
        <w:t>Příloha č. 1</w:t>
      </w:r>
      <w:r w:rsidR="004E49E8" w:rsidRPr="0097457B">
        <w:rPr>
          <w:rFonts w:asciiTheme="minorHAnsi" w:hAnsiTheme="minorHAnsi" w:cstheme="minorHAnsi"/>
        </w:rPr>
        <w:t xml:space="preserve"> – </w:t>
      </w:r>
      <w:r w:rsidRPr="0097457B">
        <w:rPr>
          <w:rFonts w:asciiTheme="minorHAnsi" w:hAnsiTheme="minorHAnsi" w:cstheme="minorHAnsi"/>
        </w:rPr>
        <w:t xml:space="preserve">Rozsah </w:t>
      </w:r>
      <w:r w:rsidR="0078150C">
        <w:rPr>
          <w:rFonts w:asciiTheme="minorHAnsi" w:hAnsiTheme="minorHAnsi" w:cstheme="minorHAnsi"/>
        </w:rPr>
        <w:t xml:space="preserve">licence HELIOS Orange č. </w:t>
      </w:r>
      <w:r w:rsidR="00325949" w:rsidRPr="00325949">
        <w:rPr>
          <w:rFonts w:asciiTheme="minorHAnsi" w:hAnsiTheme="minorHAnsi" w:cstheme="minorHAnsi"/>
        </w:rPr>
        <w:t>HEIQ0100-00184</w:t>
      </w:r>
    </w:p>
    <w:p w:rsidR="00E92393" w:rsidRPr="00E92393" w:rsidRDefault="00E92393" w:rsidP="00E92393">
      <w:pPr>
        <w:rPr>
          <w:rFonts w:asciiTheme="minorHAnsi" w:hAnsiTheme="minorHAnsi" w:cstheme="minorHAnsi"/>
        </w:rPr>
      </w:pPr>
    </w:p>
    <w:p w:rsidR="00E92393" w:rsidRDefault="00E92393" w:rsidP="00E92393">
      <w:pPr>
        <w:rPr>
          <w:rFonts w:asciiTheme="minorHAnsi" w:hAnsiTheme="minorHAnsi" w:cstheme="minorHAnsi"/>
        </w:rPr>
      </w:pPr>
    </w:p>
    <w:p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E92393" w:rsidTr="002B0AD2">
        <w:tc>
          <w:tcPr>
            <w:tcW w:w="4860" w:type="dxa"/>
          </w:tcPr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</w:t>
            </w:r>
            <w:r w:rsidR="00C5647A">
              <w:rPr>
                <w:rFonts w:asciiTheme="minorHAnsi" w:hAnsiTheme="minorHAnsi" w:cstheme="minorHAnsi"/>
              </w:rPr>
              <w:t> </w:t>
            </w:r>
            <w:r w:rsidRPr="00E92393">
              <w:rPr>
                <w:rFonts w:asciiTheme="minorHAnsi" w:hAnsiTheme="minorHAnsi" w:cstheme="minorHAnsi"/>
              </w:rPr>
              <w:t>Praze</w:t>
            </w:r>
            <w:r w:rsidR="00C5647A">
              <w:rPr>
                <w:rFonts w:asciiTheme="minorHAnsi" w:hAnsiTheme="minorHAnsi" w:cstheme="minorHAnsi"/>
              </w:rPr>
              <w:t>,</w:t>
            </w:r>
            <w:r w:rsidRPr="00E92393">
              <w:rPr>
                <w:rFonts w:asciiTheme="minorHAnsi" w:hAnsiTheme="minorHAnsi" w:cstheme="minorHAnsi"/>
              </w:rPr>
              <w:t xml:space="preserve"> dne ……………………</w:t>
            </w: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E92393">
              <w:rPr>
                <w:rFonts w:asciiTheme="minorHAnsi" w:hAnsiTheme="minorHAnsi" w:cstheme="minorHAnsi"/>
              </w:rPr>
              <w:t>Asseco</w:t>
            </w:r>
            <w:proofErr w:type="spellEnd"/>
            <w:r w:rsidRPr="00E923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393">
              <w:rPr>
                <w:rFonts w:asciiTheme="minorHAnsi" w:hAnsiTheme="minorHAnsi" w:cstheme="minorHAnsi"/>
              </w:rPr>
              <w:t>Solutions</w:t>
            </w:r>
            <w:proofErr w:type="spellEnd"/>
            <w:r w:rsidRPr="00E92393">
              <w:rPr>
                <w:rFonts w:asciiTheme="minorHAnsi" w:hAnsiTheme="minorHAnsi" w:cstheme="minorHAnsi"/>
              </w:rPr>
              <w:t>, a.s.</w:t>
            </w: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Ing. Jiří Hub</w:t>
            </w:r>
          </w:p>
          <w:p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místopředseda představenstva</w:t>
            </w:r>
          </w:p>
        </w:tc>
        <w:tc>
          <w:tcPr>
            <w:tcW w:w="4860" w:type="dxa"/>
          </w:tcPr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222AEA">
              <w:rPr>
                <w:rFonts w:asciiTheme="minorHAnsi" w:hAnsiTheme="minorHAnsi" w:cstheme="minorHAnsi"/>
              </w:rPr>
              <w:t xml:space="preserve">V </w:t>
            </w:r>
            <w:r w:rsidR="00C5647A">
              <w:rPr>
                <w:rFonts w:asciiTheme="minorHAnsi" w:hAnsiTheme="minorHAnsi" w:cstheme="minorHAnsi"/>
              </w:rPr>
              <w:t xml:space="preserve">Praze, </w:t>
            </w:r>
            <w:r w:rsidRPr="00222AEA">
              <w:rPr>
                <w:rFonts w:asciiTheme="minorHAnsi" w:hAnsiTheme="minorHAnsi" w:cstheme="minorHAnsi"/>
              </w:rPr>
              <w:t>dne ……………………</w:t>
            </w:r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222AEA" w:rsidRDefault="00E92393" w:rsidP="002B0AD2">
            <w:pPr>
              <w:tabs>
                <w:tab w:val="center" w:pos="4535"/>
              </w:tabs>
              <w:rPr>
                <w:rFonts w:asciiTheme="minorHAnsi" w:hAnsiTheme="minorHAnsi" w:cstheme="minorHAnsi"/>
              </w:rPr>
            </w:pPr>
            <w:r w:rsidRPr="00222AEA">
              <w:rPr>
                <w:rFonts w:asciiTheme="minorHAnsi" w:hAnsiTheme="minorHAnsi" w:cstheme="minorHAnsi"/>
              </w:rPr>
              <w:t xml:space="preserve">Za </w:t>
            </w:r>
            <w:r w:rsidR="00222AEA" w:rsidRPr="00222AEA">
              <w:rPr>
                <w:rFonts w:asciiTheme="minorHAnsi" w:hAnsiTheme="minorHAnsi" w:cstheme="minorHAnsi"/>
              </w:rPr>
              <w:t>Česká agentura na podporu obchodu/</w:t>
            </w:r>
            <w:proofErr w:type="spellStart"/>
            <w:r w:rsidR="00222AEA" w:rsidRPr="00222AEA">
              <w:rPr>
                <w:rFonts w:asciiTheme="minorHAnsi" w:hAnsiTheme="minorHAnsi" w:cstheme="minorHAnsi"/>
              </w:rPr>
              <w:t>CzechTrade</w:t>
            </w:r>
            <w:proofErr w:type="spellEnd"/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E92393" w:rsidRPr="00222AEA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:rsidR="007D6D29" w:rsidRPr="00222AEA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222AEA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3A6816" w:rsidRDefault="003A6816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cs="Calibri"/>
              </w:rPr>
            </w:pPr>
            <w:r>
              <w:rPr>
                <w:rFonts w:cs="Calibri"/>
              </w:rPr>
              <w:t>Ing. Radomil Doležal</w:t>
            </w:r>
            <w:r w:rsidRPr="00E152A6">
              <w:rPr>
                <w:rFonts w:cs="Calibri"/>
              </w:rPr>
              <w:t>, M</w:t>
            </w:r>
            <w:r>
              <w:rPr>
                <w:rFonts w:cs="Calibri"/>
              </w:rPr>
              <w:t>BA</w:t>
            </w:r>
          </w:p>
          <w:p w:rsidR="007D6D29" w:rsidRPr="00222AEA" w:rsidRDefault="00C5647A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3A6816">
              <w:rPr>
                <w:rFonts w:asciiTheme="minorHAnsi" w:hAnsiTheme="minorHAnsi" w:cstheme="minorHAnsi"/>
              </w:rPr>
              <w:t>enerální ředitel</w:t>
            </w:r>
          </w:p>
        </w:tc>
      </w:tr>
    </w:tbl>
    <w:p w:rsidR="005F4381" w:rsidRDefault="005F4381" w:rsidP="00DA0169">
      <w:pPr>
        <w:rPr>
          <w:rFonts w:asciiTheme="minorHAnsi" w:hAnsiTheme="minorHAnsi" w:cstheme="minorHAnsi"/>
        </w:rPr>
      </w:pPr>
    </w:p>
    <w:p w:rsidR="005F4381" w:rsidRDefault="005F438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750F0" w:rsidRDefault="006750F0" w:rsidP="00DA0169">
      <w:pPr>
        <w:rPr>
          <w:rFonts w:asciiTheme="minorHAnsi" w:hAnsiTheme="minorHAnsi" w:cstheme="minorHAnsi"/>
        </w:rPr>
      </w:pPr>
    </w:p>
    <w:p w:rsidR="00222AEA" w:rsidRDefault="00222AEA" w:rsidP="00222AEA">
      <w:pPr>
        <w:rPr>
          <w:rFonts w:asciiTheme="minorHAnsi" w:hAnsiTheme="minorHAnsi" w:cstheme="minorHAnsi"/>
          <w:b/>
          <w:sz w:val="24"/>
        </w:rPr>
      </w:pPr>
      <w:r w:rsidRPr="00222AEA">
        <w:rPr>
          <w:rFonts w:asciiTheme="minorHAnsi" w:hAnsiTheme="minorHAnsi" w:cstheme="minorHAnsi"/>
          <w:b/>
          <w:sz w:val="24"/>
        </w:rPr>
        <w:t xml:space="preserve">Příloha č. 1 – </w:t>
      </w:r>
      <w:r w:rsidR="00325949" w:rsidRPr="00325949">
        <w:rPr>
          <w:rFonts w:asciiTheme="minorHAnsi" w:hAnsiTheme="minorHAnsi" w:cstheme="minorHAnsi"/>
          <w:b/>
          <w:sz w:val="24"/>
        </w:rPr>
        <w:t>Rozsah licence HELIOS Orange č. HEIQ0100-00184</w:t>
      </w:r>
    </w:p>
    <w:p w:rsidR="00FC1A2D" w:rsidRPr="00222AEA" w:rsidRDefault="00FC1A2D" w:rsidP="00222AEA">
      <w:pPr>
        <w:rPr>
          <w:rFonts w:asciiTheme="minorHAnsi" w:hAnsiTheme="minorHAnsi" w:cstheme="minorHAnsi"/>
          <w:b/>
          <w:sz w:val="24"/>
        </w:rPr>
      </w:pPr>
    </w:p>
    <w:p w:rsidR="00222AEA" w:rsidRDefault="00222AEA" w:rsidP="00DA0169">
      <w:pPr>
        <w:rPr>
          <w:rFonts w:asciiTheme="minorHAnsi" w:hAnsiTheme="minorHAnsi" w:cstheme="minorHAnsi"/>
        </w:rPr>
      </w:pPr>
    </w:p>
    <w:p w:rsidR="00222AEA" w:rsidRPr="00E92393" w:rsidRDefault="005F4381" w:rsidP="00DA0169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324225" cy="2867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AEA" w:rsidRPr="00E92393" w:rsidSect="00332CF7">
      <w:type w:val="continuous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42" w:rsidRDefault="00003C42">
      <w:r>
        <w:separator/>
      </w:r>
    </w:p>
  </w:endnote>
  <w:endnote w:type="continuationSeparator" w:id="0">
    <w:p w:rsidR="00003C42" w:rsidRDefault="0000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29438"/>
      <w:docPartObj>
        <w:docPartGallery w:val="Page Numbers (Bottom of Page)"/>
        <w:docPartUnique/>
      </w:docPartObj>
    </w:sdtPr>
    <w:sdtEndPr/>
    <w:sdtContent>
      <w:p w:rsidR="00332CF7" w:rsidRDefault="00CA19BF">
        <w:pPr>
          <w:pStyle w:val="Zpat"/>
          <w:jc w:val="center"/>
        </w:pPr>
        <w:r>
          <w:fldChar w:fldCharType="begin"/>
        </w:r>
        <w:r w:rsidR="00332CF7">
          <w:instrText xml:space="preserve"> PAGE   \* MERGEFORMAT </w:instrText>
        </w:r>
        <w:r>
          <w:fldChar w:fldCharType="separate"/>
        </w:r>
        <w:r w:rsidR="00F30244">
          <w:rPr>
            <w:noProof/>
          </w:rPr>
          <w:t>2</w:t>
        </w:r>
        <w:r>
          <w:fldChar w:fldCharType="end"/>
        </w:r>
      </w:p>
    </w:sdtContent>
  </w:sdt>
  <w:p w:rsidR="004A0C7D" w:rsidRPr="00754D4B" w:rsidRDefault="004A0C7D" w:rsidP="00FC1A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42" w:rsidRDefault="00003C42">
      <w:r>
        <w:separator/>
      </w:r>
    </w:p>
  </w:footnote>
  <w:footnote w:type="continuationSeparator" w:id="0">
    <w:p w:rsidR="00003C42" w:rsidRDefault="0000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B" w:rsidRPr="00B84D10" w:rsidRDefault="00754D4B" w:rsidP="00754D4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0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10241" type="#_x0000_t202" style="position:absolute;left:0;text-align:left;margin-left:196.3pt;margin-top:20.3pt;width:274.95pt;height:4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" stroked="f">
          <v:textbox style="mso-next-textbox:#Textové pole 3" inset="0,0,0,0">
            <w:txbxContent>
              <w:p w:rsidR="00754D4B" w:rsidRPr="00FA4861" w:rsidRDefault="00754D4B" w:rsidP="00754D4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b/>
                    <w:i/>
                    <w:sz w:val="20"/>
                  </w:rPr>
                </w:pPr>
                <w:proofErr w:type="spellStart"/>
                <w:r w:rsidRPr="00FA4861">
                  <w:rPr>
                    <w:b/>
                    <w:i/>
                    <w:sz w:val="20"/>
                  </w:rPr>
                  <w:t>Asseco</w:t>
                </w:r>
                <w:proofErr w:type="spellEnd"/>
                <w:r w:rsidRPr="00FA4861">
                  <w:rPr>
                    <w:b/>
                    <w:i/>
                    <w:sz w:val="20"/>
                  </w:rPr>
                  <w:t xml:space="preserve"> </w:t>
                </w:r>
                <w:proofErr w:type="spellStart"/>
                <w:r w:rsidRPr="00FA4861">
                  <w:rPr>
                    <w:b/>
                    <w:i/>
                    <w:sz w:val="20"/>
                  </w:rPr>
                  <w:t>Solutions</w:t>
                </w:r>
                <w:proofErr w:type="spellEnd"/>
                <w:r w:rsidRPr="00FA4861">
                  <w:rPr>
                    <w:b/>
                    <w:i/>
                    <w:sz w:val="20"/>
                  </w:rPr>
                  <w:t>, a.s.</w:t>
                </w:r>
              </w:p>
              <w:p w:rsidR="00754D4B" w:rsidRPr="00FA4861" w:rsidRDefault="00E152A6" w:rsidP="00754D4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sz w:val="20"/>
                  </w:rPr>
                </w:pPr>
                <w:r w:rsidRPr="00E152A6">
                  <w:rPr>
                    <w:i/>
                    <w:sz w:val="20"/>
                  </w:rPr>
                  <w:t>Dodatek k</w:t>
                </w:r>
                <w:r w:rsidR="00E92393" w:rsidRPr="00E152A6">
                  <w:rPr>
                    <w:i/>
                    <w:sz w:val="20"/>
                  </w:rPr>
                  <w:t xml:space="preserve"> </w:t>
                </w:r>
                <w:r w:rsidRPr="00E152A6">
                  <w:rPr>
                    <w:i/>
                    <w:sz w:val="20"/>
                  </w:rPr>
                  <w:t>Smlouvě sdružující Smlouvu o poskytnutí licence a Smlouvu o systémové podpoře</w:t>
                </w:r>
              </w:p>
              <w:p w:rsidR="00754D4B" w:rsidRDefault="00754D4B" w:rsidP="00754D4B"/>
            </w:txbxContent>
          </v:textbox>
        </v:shape>
      </w:pict>
    </w:r>
  </w:p>
  <w:p w:rsidR="00754D4B" w:rsidRPr="00EB7276" w:rsidRDefault="00754D4B" w:rsidP="00754D4B">
    <w:pPr>
      <w:pStyle w:val="Zhlav"/>
    </w:pPr>
  </w:p>
  <w:p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2" w15:restartNumberingAfterBreak="0">
    <w:nsid w:val="4B7C16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EBC4F57"/>
    <w:multiLevelType w:val="multilevel"/>
    <w:tmpl w:val="C35C1D4E"/>
    <w:lvl w:ilvl="0">
      <w:start w:val="1"/>
      <w:numFmt w:val="ordinal"/>
      <w:pStyle w:val="Nadpis1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708"/>
  <w:hyphenationZone w:val="425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41D"/>
    <w:rsid w:val="00003C42"/>
    <w:rsid w:val="00011D1E"/>
    <w:rsid w:val="00023C6D"/>
    <w:rsid w:val="00026BC0"/>
    <w:rsid w:val="00031A59"/>
    <w:rsid w:val="00047A5E"/>
    <w:rsid w:val="000522DE"/>
    <w:rsid w:val="00054CE6"/>
    <w:rsid w:val="000552C9"/>
    <w:rsid w:val="00061490"/>
    <w:rsid w:val="00063261"/>
    <w:rsid w:val="00083146"/>
    <w:rsid w:val="000A4EE8"/>
    <w:rsid w:val="000C3921"/>
    <w:rsid w:val="000D2710"/>
    <w:rsid w:val="00111434"/>
    <w:rsid w:val="00111E1C"/>
    <w:rsid w:val="00122FA3"/>
    <w:rsid w:val="00131441"/>
    <w:rsid w:val="0013212A"/>
    <w:rsid w:val="00136B1E"/>
    <w:rsid w:val="00153B76"/>
    <w:rsid w:val="00175B6B"/>
    <w:rsid w:val="00186ACB"/>
    <w:rsid w:val="00191F40"/>
    <w:rsid w:val="001B01FC"/>
    <w:rsid w:val="001C202D"/>
    <w:rsid w:val="001C2B9C"/>
    <w:rsid w:val="001D5F15"/>
    <w:rsid w:val="001F2C3D"/>
    <w:rsid w:val="00220543"/>
    <w:rsid w:val="00222AEA"/>
    <w:rsid w:val="00231520"/>
    <w:rsid w:val="0023337E"/>
    <w:rsid w:val="002366D1"/>
    <w:rsid w:val="00241A67"/>
    <w:rsid w:val="0028233E"/>
    <w:rsid w:val="0028322B"/>
    <w:rsid w:val="002C0D6A"/>
    <w:rsid w:val="002C1291"/>
    <w:rsid w:val="002C3D28"/>
    <w:rsid w:val="002D7E8E"/>
    <w:rsid w:val="00322A16"/>
    <w:rsid w:val="00325949"/>
    <w:rsid w:val="00332CF7"/>
    <w:rsid w:val="003340B6"/>
    <w:rsid w:val="00334E47"/>
    <w:rsid w:val="003361CC"/>
    <w:rsid w:val="00344419"/>
    <w:rsid w:val="00356E86"/>
    <w:rsid w:val="00385211"/>
    <w:rsid w:val="003872AD"/>
    <w:rsid w:val="003A6816"/>
    <w:rsid w:val="003A693F"/>
    <w:rsid w:val="003C18D5"/>
    <w:rsid w:val="003C33BD"/>
    <w:rsid w:val="003C5B54"/>
    <w:rsid w:val="003E3CD4"/>
    <w:rsid w:val="003F592E"/>
    <w:rsid w:val="003F5C91"/>
    <w:rsid w:val="003F6648"/>
    <w:rsid w:val="0043425F"/>
    <w:rsid w:val="00435BD8"/>
    <w:rsid w:val="00451039"/>
    <w:rsid w:val="00451FB8"/>
    <w:rsid w:val="00462D3A"/>
    <w:rsid w:val="0047022B"/>
    <w:rsid w:val="00481C29"/>
    <w:rsid w:val="00482B52"/>
    <w:rsid w:val="004938AE"/>
    <w:rsid w:val="004A0C7D"/>
    <w:rsid w:val="004B2F69"/>
    <w:rsid w:val="004B512B"/>
    <w:rsid w:val="004B6736"/>
    <w:rsid w:val="004C3C75"/>
    <w:rsid w:val="004E0027"/>
    <w:rsid w:val="004E49E8"/>
    <w:rsid w:val="004F68D3"/>
    <w:rsid w:val="0052453A"/>
    <w:rsid w:val="00527D8B"/>
    <w:rsid w:val="00527F66"/>
    <w:rsid w:val="0054057F"/>
    <w:rsid w:val="00541F99"/>
    <w:rsid w:val="00546556"/>
    <w:rsid w:val="00553D24"/>
    <w:rsid w:val="00573317"/>
    <w:rsid w:val="00597489"/>
    <w:rsid w:val="005E7095"/>
    <w:rsid w:val="005F2F67"/>
    <w:rsid w:val="005F4381"/>
    <w:rsid w:val="00607C64"/>
    <w:rsid w:val="00617B8D"/>
    <w:rsid w:val="00623D9B"/>
    <w:rsid w:val="00624006"/>
    <w:rsid w:val="00635FD5"/>
    <w:rsid w:val="00642C06"/>
    <w:rsid w:val="00644DFA"/>
    <w:rsid w:val="0065732F"/>
    <w:rsid w:val="00665822"/>
    <w:rsid w:val="006728FD"/>
    <w:rsid w:val="006750F0"/>
    <w:rsid w:val="0067676E"/>
    <w:rsid w:val="00681C67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2CC2"/>
    <w:rsid w:val="00754D4B"/>
    <w:rsid w:val="007554EC"/>
    <w:rsid w:val="00765CB0"/>
    <w:rsid w:val="00766363"/>
    <w:rsid w:val="00767B1B"/>
    <w:rsid w:val="0078150C"/>
    <w:rsid w:val="007868DD"/>
    <w:rsid w:val="007875CC"/>
    <w:rsid w:val="007A5AFD"/>
    <w:rsid w:val="007C3451"/>
    <w:rsid w:val="007D6D29"/>
    <w:rsid w:val="007F4677"/>
    <w:rsid w:val="00803F0D"/>
    <w:rsid w:val="008661DE"/>
    <w:rsid w:val="00881DE6"/>
    <w:rsid w:val="00894224"/>
    <w:rsid w:val="008A5BE8"/>
    <w:rsid w:val="008D567A"/>
    <w:rsid w:val="008D779D"/>
    <w:rsid w:val="008E4A05"/>
    <w:rsid w:val="008E6EBE"/>
    <w:rsid w:val="008F00F1"/>
    <w:rsid w:val="008F4D81"/>
    <w:rsid w:val="00952D2B"/>
    <w:rsid w:val="00952D42"/>
    <w:rsid w:val="00953E0F"/>
    <w:rsid w:val="0097457B"/>
    <w:rsid w:val="00992929"/>
    <w:rsid w:val="009A27E5"/>
    <w:rsid w:val="009E14F8"/>
    <w:rsid w:val="009F76B1"/>
    <w:rsid w:val="00A02EBF"/>
    <w:rsid w:val="00A203ED"/>
    <w:rsid w:val="00A30FA4"/>
    <w:rsid w:val="00A32491"/>
    <w:rsid w:val="00A3724A"/>
    <w:rsid w:val="00A37A64"/>
    <w:rsid w:val="00A440B0"/>
    <w:rsid w:val="00A93F66"/>
    <w:rsid w:val="00AB3C29"/>
    <w:rsid w:val="00AD233A"/>
    <w:rsid w:val="00AF47F0"/>
    <w:rsid w:val="00B12C3A"/>
    <w:rsid w:val="00B36DF3"/>
    <w:rsid w:val="00B53ADE"/>
    <w:rsid w:val="00B76F52"/>
    <w:rsid w:val="00B80371"/>
    <w:rsid w:val="00B813EB"/>
    <w:rsid w:val="00BA4CB3"/>
    <w:rsid w:val="00BD4231"/>
    <w:rsid w:val="00C34BCD"/>
    <w:rsid w:val="00C36FC0"/>
    <w:rsid w:val="00C45684"/>
    <w:rsid w:val="00C5647A"/>
    <w:rsid w:val="00C6178A"/>
    <w:rsid w:val="00C64400"/>
    <w:rsid w:val="00C64FD4"/>
    <w:rsid w:val="00C7172B"/>
    <w:rsid w:val="00C76A91"/>
    <w:rsid w:val="00C84B70"/>
    <w:rsid w:val="00C87162"/>
    <w:rsid w:val="00C87BE8"/>
    <w:rsid w:val="00C931E9"/>
    <w:rsid w:val="00C978C8"/>
    <w:rsid w:val="00CA13B5"/>
    <w:rsid w:val="00CA19BF"/>
    <w:rsid w:val="00CA541D"/>
    <w:rsid w:val="00CB4B92"/>
    <w:rsid w:val="00CB546C"/>
    <w:rsid w:val="00CC7413"/>
    <w:rsid w:val="00CD02F9"/>
    <w:rsid w:val="00CD20D3"/>
    <w:rsid w:val="00D109F5"/>
    <w:rsid w:val="00D14AED"/>
    <w:rsid w:val="00D41EE4"/>
    <w:rsid w:val="00D4608C"/>
    <w:rsid w:val="00D50F08"/>
    <w:rsid w:val="00D57166"/>
    <w:rsid w:val="00D60EAF"/>
    <w:rsid w:val="00D94DC7"/>
    <w:rsid w:val="00DA0169"/>
    <w:rsid w:val="00DA4DE0"/>
    <w:rsid w:val="00DD4379"/>
    <w:rsid w:val="00DE64EF"/>
    <w:rsid w:val="00DF404A"/>
    <w:rsid w:val="00DF7AC5"/>
    <w:rsid w:val="00E06EE4"/>
    <w:rsid w:val="00E14751"/>
    <w:rsid w:val="00E152A6"/>
    <w:rsid w:val="00E17FAB"/>
    <w:rsid w:val="00E272BA"/>
    <w:rsid w:val="00E92393"/>
    <w:rsid w:val="00EA488F"/>
    <w:rsid w:val="00EA797B"/>
    <w:rsid w:val="00EC5011"/>
    <w:rsid w:val="00ED03BE"/>
    <w:rsid w:val="00EF2E77"/>
    <w:rsid w:val="00F20750"/>
    <w:rsid w:val="00F2243B"/>
    <w:rsid w:val="00F23775"/>
    <w:rsid w:val="00F30244"/>
    <w:rsid w:val="00F40399"/>
    <w:rsid w:val="00F62C7B"/>
    <w:rsid w:val="00F8388C"/>
    <w:rsid w:val="00F84C96"/>
    <w:rsid w:val="00FC1752"/>
    <w:rsid w:val="00FC1A2D"/>
    <w:rsid w:val="00FD64F8"/>
    <w:rsid w:val="00FE204B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3A120AC7-70DD-4326-B077-2A6AB23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Smlouvy"/>
    <w:qFormat/>
    <w:rsid w:val="002D7E8E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1F2C3D"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6A6F40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CC7413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  <w:rsid w:val="0028322B"/>
  </w:style>
  <w:style w:type="paragraph" w:customStyle="1" w:styleId="Zkladntext21">
    <w:name w:val="Základní text 21"/>
    <w:basedOn w:val="Normln"/>
    <w:uiPriority w:val="9"/>
    <w:rsid w:val="0028322B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rsid w:val="00283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sid w:val="0028322B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9"/>
    <w:rsid w:val="00283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28322B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rsid w:val="0028322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CC7413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00F0-BD4F-492B-ABE5-353A026C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Sokoltová Lenka, Ing., MBA</cp:lastModifiedBy>
  <cp:revision>9</cp:revision>
  <cp:lastPrinted>2016-09-08T10:25:00Z</cp:lastPrinted>
  <dcterms:created xsi:type="dcterms:W3CDTF">2017-05-25T11:13:00Z</dcterms:created>
  <dcterms:modified xsi:type="dcterms:W3CDTF">2017-06-08T14:40:00Z</dcterms:modified>
</cp:coreProperties>
</file>