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1D28" w14:textId="57899ABB" w:rsidR="001D0187" w:rsidRDefault="00C7340C" w:rsidP="001D0187">
      <w:pPr>
        <w:keepNext/>
        <w:keepLines/>
        <w:spacing w:before="1440" w:after="120"/>
        <w:ind w:left="1134" w:right="1134"/>
        <w:jc w:val="center"/>
        <w:textboxTightWrap w:val="firstLineOnly"/>
        <w:outlineLvl w:val="0"/>
        <w:rPr>
          <w:rFonts w:ascii="Calibri" w:eastAsia="Times New Roman" w:hAnsi="Calibri" w:cs="Times New Roman"/>
          <w:b/>
          <w:bCs/>
          <w:caps/>
          <w:color w:val="000000" w:themeColor="text1"/>
          <w:sz w:val="52"/>
          <w:szCs w:val="28"/>
          <w:lang w:eastAsia="cs-CZ"/>
        </w:rPr>
      </w:pPr>
      <w:r>
        <w:rPr>
          <w:noProof/>
        </w:rPr>
        <w:drawing>
          <wp:inline distT="0" distB="0" distL="0" distR="0" wp14:anchorId="5501D5F8" wp14:editId="427A635C">
            <wp:extent cx="805180" cy="9448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a:ln>
                      <a:noFill/>
                    </a:ln>
                  </pic:spPr>
                </pic:pic>
              </a:graphicData>
            </a:graphic>
          </wp:inline>
        </w:drawing>
      </w:r>
      <w:r w:rsidR="001D0187">
        <w:rPr>
          <w:rFonts w:ascii="Calibri" w:eastAsia="Times New Roman" w:hAnsi="Calibri" w:cs="Times New Roman"/>
          <w:b/>
          <w:bCs/>
          <w:caps/>
          <w:color w:val="000000" w:themeColor="text1"/>
          <w:sz w:val="52"/>
          <w:szCs w:val="28"/>
          <w:lang w:eastAsia="cs-CZ"/>
        </w:rPr>
        <w:t xml:space="preserve">        </w:t>
      </w:r>
      <w:bookmarkStart w:id="0" w:name="_Hlk127256798"/>
      <w:r w:rsidR="001D0187">
        <w:rPr>
          <w:rFonts w:ascii="Calibri" w:eastAsia="Times New Roman" w:hAnsi="Calibri" w:cs="Times New Roman"/>
          <w:b/>
          <w:bCs/>
          <w:caps/>
          <w:color w:val="000000" w:themeColor="text1"/>
          <w:sz w:val="52"/>
          <w:szCs w:val="28"/>
          <w:lang w:eastAsia="cs-CZ"/>
        </w:rPr>
        <w:t>NÁJEMNÍ SMLOUVA</w:t>
      </w:r>
    </w:p>
    <w:p w14:paraId="09164D23" w14:textId="77777777" w:rsidR="00C7340C" w:rsidRDefault="00C7340C" w:rsidP="001D0187">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                                                                            </w:t>
      </w:r>
      <w:r w:rsidR="001D0187">
        <w:rPr>
          <w:rFonts w:ascii="Calibri" w:eastAsia="Calibri" w:hAnsi="Calibri" w:cs="Times New Roman"/>
          <w:b/>
          <w:color w:val="000000"/>
          <w:sz w:val="20"/>
          <w:szCs w:val="20"/>
        </w:rPr>
        <w:t xml:space="preserve">uzavřená dle ustanovení § 2235 a násl. </w:t>
      </w:r>
      <w:r w:rsidR="001D0187">
        <w:rPr>
          <w:rFonts w:ascii="Calibri" w:eastAsia="Calibri" w:hAnsi="Calibri" w:cs="Times New Roman"/>
          <w:b/>
          <w:color w:val="000000"/>
          <w:sz w:val="20"/>
          <w:szCs w:val="20"/>
        </w:rPr>
        <w:br/>
      </w:r>
      <w:r>
        <w:rPr>
          <w:rFonts w:ascii="Calibri" w:eastAsia="Calibri" w:hAnsi="Calibri" w:cs="Times New Roman"/>
          <w:b/>
          <w:color w:val="000000"/>
          <w:sz w:val="20"/>
          <w:szCs w:val="20"/>
        </w:rPr>
        <w:t xml:space="preserve">                                                                           </w:t>
      </w:r>
      <w:r w:rsidR="001D0187">
        <w:rPr>
          <w:rFonts w:ascii="Calibri" w:eastAsia="Calibri" w:hAnsi="Calibri" w:cs="Times New Roman"/>
          <w:b/>
          <w:color w:val="000000"/>
          <w:sz w:val="20"/>
          <w:szCs w:val="20"/>
        </w:rPr>
        <w:t>zákona č. 89/2012 sb., občanský zákoník (dále jen „NOZ")</w:t>
      </w:r>
    </w:p>
    <w:p w14:paraId="31CCFB86" w14:textId="5CC4E872"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Smluvní strany</w:t>
      </w:r>
    </w:p>
    <w:p w14:paraId="1FDA01CC" w14:textId="77777777" w:rsidR="001D0187" w:rsidRDefault="001D0187" w:rsidP="001D0187">
      <w:pPr>
        <w:spacing w:line="264" w:lineRule="auto"/>
        <w:jc w:val="left"/>
        <w:rPr>
          <w:rFonts w:ascii="Calibri" w:eastAsia="Calibri" w:hAnsi="Calibri" w:cs="Times New Roman"/>
          <w:b/>
          <w:color w:val="000000"/>
          <w:sz w:val="20"/>
          <w:szCs w:val="20"/>
        </w:rPr>
      </w:pPr>
    </w:p>
    <w:p w14:paraId="0983B8D8" w14:textId="77777777" w:rsidR="001D0187" w:rsidRDefault="001D0187" w:rsidP="001D0187">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Obec HORNÍ DUBENKY</w:t>
      </w:r>
    </w:p>
    <w:p w14:paraId="1D56DFC2"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se sídlem obecního úřadu: Horních Dubenkách 31</w:t>
      </w:r>
      <w:r>
        <w:rPr>
          <w:rFonts w:ascii="Calibri" w:eastAsia="Calibri" w:hAnsi="Calibri" w:cs="Times New Roman"/>
          <w:color w:val="000000"/>
          <w:sz w:val="20"/>
          <w:szCs w:val="20"/>
        </w:rPr>
        <w:br/>
        <w:t>IČ: 00285889</w:t>
      </w:r>
    </w:p>
    <w:p w14:paraId="28D2CC2D"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za niž jedná: Vladimír Tomšík, starosta</w:t>
      </w:r>
      <w:r>
        <w:rPr>
          <w:rFonts w:ascii="Calibri" w:eastAsia="Calibri" w:hAnsi="Calibri" w:cs="Times New Roman"/>
          <w:color w:val="000000"/>
          <w:sz w:val="20"/>
          <w:szCs w:val="20"/>
        </w:rPr>
        <w:br/>
        <w:t>další osoba pověřená jednáním za obec: Eva Tkadlečková, místostarostka</w:t>
      </w:r>
    </w:p>
    <w:p w14:paraId="39EFA4C1"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bankovní </w:t>
      </w:r>
      <w:proofErr w:type="gramStart"/>
      <w:r>
        <w:rPr>
          <w:rFonts w:ascii="Calibri" w:eastAsia="Calibri" w:hAnsi="Calibri" w:cs="Times New Roman"/>
          <w:color w:val="000000"/>
          <w:sz w:val="20"/>
          <w:szCs w:val="20"/>
        </w:rPr>
        <w:t>spojení:  č.</w:t>
      </w:r>
      <w:proofErr w:type="gramEnd"/>
      <w:r>
        <w:rPr>
          <w:rFonts w:ascii="Calibri" w:eastAsia="Calibri" w:hAnsi="Calibri" w:cs="Times New Roman"/>
          <w:color w:val="000000"/>
          <w:sz w:val="20"/>
          <w:szCs w:val="20"/>
        </w:rPr>
        <w:t xml:space="preserve"> </w:t>
      </w:r>
      <w:proofErr w:type="spellStart"/>
      <w:r>
        <w:rPr>
          <w:rFonts w:ascii="Calibri" w:eastAsia="Calibri" w:hAnsi="Calibri" w:cs="Times New Roman"/>
          <w:color w:val="000000"/>
          <w:sz w:val="20"/>
          <w:szCs w:val="20"/>
        </w:rPr>
        <w:t>ú.</w:t>
      </w:r>
      <w:proofErr w:type="spellEnd"/>
      <w:r>
        <w:rPr>
          <w:rFonts w:ascii="Calibri" w:eastAsia="Calibri" w:hAnsi="Calibri" w:cs="Times New Roman"/>
          <w:color w:val="000000"/>
          <w:sz w:val="20"/>
          <w:szCs w:val="20"/>
        </w:rPr>
        <w:t xml:space="preserve"> :  1466033319/0800</w:t>
      </w:r>
    </w:p>
    <w:p w14:paraId="399041C0"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(dále jen „</w:t>
      </w:r>
      <w:r>
        <w:rPr>
          <w:rFonts w:ascii="Calibri" w:eastAsia="Calibri" w:hAnsi="Calibri" w:cs="Times New Roman"/>
          <w:b/>
          <w:color w:val="000000"/>
          <w:sz w:val="20"/>
          <w:szCs w:val="20"/>
        </w:rPr>
        <w:t>Pronajímatel</w:t>
      </w:r>
      <w:r>
        <w:rPr>
          <w:rFonts w:ascii="Calibri" w:eastAsia="Calibri" w:hAnsi="Calibri" w:cs="Times New Roman"/>
          <w:color w:val="000000"/>
          <w:sz w:val="20"/>
          <w:szCs w:val="20"/>
        </w:rPr>
        <w:t>“)</w:t>
      </w:r>
    </w:p>
    <w:p w14:paraId="6E374115"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a</w:t>
      </w:r>
    </w:p>
    <w:p w14:paraId="58C8B6C4" w14:textId="77777777" w:rsidR="001D0187" w:rsidRDefault="001D0187" w:rsidP="001D0187">
      <w:pPr>
        <w:spacing w:line="264" w:lineRule="auto"/>
        <w:jc w:val="left"/>
        <w:rPr>
          <w:rFonts w:ascii="Calibri" w:eastAsia="Calibri" w:hAnsi="Calibri" w:cs="Times New Roman"/>
          <w:color w:val="000000"/>
          <w:sz w:val="20"/>
          <w:szCs w:val="20"/>
        </w:rPr>
      </w:pPr>
    </w:p>
    <w:p w14:paraId="27186C06" w14:textId="77777777" w:rsidR="001D0187" w:rsidRDefault="001D0187" w:rsidP="001D0187">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p>
    <w:p w14:paraId="6EF4EE74"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p>
    <w:p w14:paraId="456CD4E5" w14:textId="77777777" w:rsidR="001D0187" w:rsidRDefault="001D0187" w:rsidP="001D0187">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trvalým pobytem</w:t>
      </w:r>
      <w:r>
        <w:rPr>
          <w:rFonts w:ascii="Calibri" w:eastAsia="Calibri" w:hAnsi="Calibri" w:cs="Times New Roman"/>
          <w:color w:val="000000"/>
          <w:sz w:val="20"/>
          <w:szCs w:val="20"/>
        </w:rPr>
        <w:t xml:space="preserve">:  </w:t>
      </w:r>
      <w:r>
        <w:rPr>
          <w:rFonts w:ascii="Calibri" w:eastAsia="Calibri" w:hAnsi="Calibri" w:cs="Times New Roman"/>
          <w:color w:val="000000"/>
          <w:sz w:val="20"/>
          <w:szCs w:val="20"/>
        </w:rPr>
        <w:br/>
        <w:t>č. OP: x</w:t>
      </w:r>
      <w:r>
        <w:rPr>
          <w:rFonts w:ascii="Calibri" w:eastAsia="Calibri" w:hAnsi="Calibri" w:cs="Times New Roman"/>
          <w:color w:val="000000"/>
          <w:sz w:val="20"/>
          <w:szCs w:val="20"/>
        </w:rPr>
        <w:br/>
        <w:t>r. č.: x</w:t>
      </w:r>
      <w:r>
        <w:rPr>
          <w:rFonts w:ascii="Calibri" w:eastAsia="Calibri" w:hAnsi="Calibri" w:cs="Times New Roman"/>
          <w:color w:val="000000"/>
          <w:sz w:val="20"/>
          <w:szCs w:val="20"/>
        </w:rPr>
        <w:br/>
        <w:t xml:space="preserve">bankovní spojení: x, č. </w:t>
      </w:r>
      <w:proofErr w:type="spellStart"/>
      <w:r>
        <w:rPr>
          <w:rFonts w:ascii="Calibri" w:eastAsia="Calibri" w:hAnsi="Calibri" w:cs="Times New Roman"/>
          <w:color w:val="000000"/>
          <w:sz w:val="20"/>
          <w:szCs w:val="20"/>
        </w:rPr>
        <w:t>ú.</w:t>
      </w:r>
      <w:proofErr w:type="spellEnd"/>
      <w:r>
        <w:rPr>
          <w:rFonts w:ascii="Calibri" w:eastAsia="Calibri" w:hAnsi="Calibri" w:cs="Times New Roman"/>
          <w:color w:val="000000"/>
          <w:sz w:val="20"/>
          <w:szCs w:val="20"/>
        </w:rPr>
        <w:t>: x</w:t>
      </w:r>
      <w:r>
        <w:rPr>
          <w:rFonts w:ascii="Calibri" w:eastAsia="Calibri" w:hAnsi="Calibri" w:cs="Times New Roman"/>
          <w:color w:val="000000"/>
          <w:sz w:val="20"/>
          <w:szCs w:val="20"/>
        </w:rPr>
        <w:br/>
        <w:t>tel.: x</w:t>
      </w:r>
    </w:p>
    <w:p w14:paraId="7B303FA9" w14:textId="77777777" w:rsidR="001D0187" w:rsidRDefault="001D0187" w:rsidP="001D0187">
      <w:pPr>
        <w:jc w:val="left"/>
        <w:rPr>
          <w:rFonts w:ascii="Calibri" w:eastAsia="Calibri" w:hAnsi="Calibri" w:cs="Times New Roman"/>
          <w:color w:val="000000"/>
          <w:sz w:val="20"/>
          <w:szCs w:val="20"/>
        </w:rPr>
      </w:pPr>
      <w:r>
        <w:rPr>
          <w:rFonts w:ascii="Calibri" w:eastAsia="Calibri" w:hAnsi="Calibri" w:cs="Times New Roman"/>
          <w:color w:val="000000"/>
          <w:sz w:val="20"/>
          <w:szCs w:val="20"/>
        </w:rPr>
        <w:t>(dále jen společně „</w:t>
      </w:r>
      <w:r>
        <w:rPr>
          <w:rFonts w:ascii="Calibri" w:eastAsia="Calibri" w:hAnsi="Calibri" w:cs="Times New Roman"/>
          <w:b/>
          <w:color w:val="000000"/>
          <w:sz w:val="20"/>
          <w:szCs w:val="20"/>
        </w:rPr>
        <w:t>Nájemci / Nájemce</w:t>
      </w:r>
      <w:r>
        <w:rPr>
          <w:rFonts w:ascii="Calibri" w:eastAsia="Calibri" w:hAnsi="Calibri" w:cs="Times New Roman"/>
          <w:color w:val="000000"/>
          <w:sz w:val="20"/>
          <w:szCs w:val="20"/>
        </w:rPr>
        <w:t>“)</w:t>
      </w:r>
    </w:p>
    <w:p w14:paraId="05073ADF" w14:textId="77777777" w:rsidR="001D0187" w:rsidRDefault="001D0187" w:rsidP="001D0187">
      <w:pPr>
        <w:jc w:val="left"/>
        <w:rPr>
          <w:rFonts w:ascii="Calibri" w:eastAsia="Times New Roman" w:hAnsi="Calibri" w:cs="Calibri"/>
          <w:bCs/>
          <w:sz w:val="20"/>
          <w:szCs w:val="20"/>
        </w:rPr>
      </w:pPr>
    </w:p>
    <w:p w14:paraId="016A35E3" w14:textId="02D558A2" w:rsidR="001D0187" w:rsidRDefault="001D0187" w:rsidP="001D0187">
      <w:pPr>
        <w:spacing w:after="600"/>
        <w:jc w:val="left"/>
        <w:rPr>
          <w:rFonts w:ascii="Calibri" w:eastAsia="Times New Roman" w:hAnsi="Calibri" w:cs="Calibri"/>
          <w:bCs/>
          <w:sz w:val="20"/>
          <w:szCs w:val="20"/>
        </w:rPr>
      </w:pPr>
      <w:r>
        <w:rPr>
          <w:rFonts w:ascii="Calibri" w:eastAsia="Times New Roman" w:hAnsi="Calibri" w:cs="Calibri"/>
          <w:bCs/>
          <w:sz w:val="20"/>
          <w:szCs w:val="20"/>
        </w:rPr>
        <w:t xml:space="preserve">prodloužily níže uvedeného dne, měsíce a roku dle ustanovení § 2235 a násl. zákona č. 89/2012 Sb., občanský zákoník, tuto </w:t>
      </w:r>
      <w:r>
        <w:rPr>
          <w:rFonts w:ascii="Calibri" w:eastAsia="Times New Roman" w:hAnsi="Calibri" w:cs="Calibri"/>
          <w:b/>
          <w:bCs/>
          <w:sz w:val="20"/>
          <w:szCs w:val="20"/>
        </w:rPr>
        <w:t>nájemní smlouvu</w:t>
      </w:r>
      <w:r>
        <w:rPr>
          <w:rFonts w:ascii="Calibri" w:eastAsia="Times New Roman" w:hAnsi="Calibri" w:cs="Calibri"/>
          <w:bCs/>
          <w:sz w:val="20"/>
          <w:szCs w:val="20"/>
        </w:rPr>
        <w:t xml:space="preserve"> (dále jen „</w:t>
      </w:r>
      <w:r>
        <w:rPr>
          <w:rFonts w:ascii="Calibri" w:eastAsia="Times New Roman" w:hAnsi="Calibri" w:cs="Calibri"/>
          <w:b/>
          <w:bCs/>
          <w:sz w:val="20"/>
          <w:szCs w:val="20"/>
        </w:rPr>
        <w:t>smlouva</w:t>
      </w:r>
      <w:r>
        <w:rPr>
          <w:rFonts w:ascii="Calibri" w:eastAsia="Times New Roman" w:hAnsi="Calibri" w:cs="Calibri"/>
          <w:bCs/>
          <w:sz w:val="20"/>
          <w:szCs w:val="20"/>
        </w:rPr>
        <w:t>“), pod č. j.: OUHD/1</w:t>
      </w:r>
      <w:r w:rsidR="00FA393C">
        <w:rPr>
          <w:rFonts w:ascii="Calibri" w:eastAsia="Times New Roman" w:hAnsi="Calibri" w:cs="Calibri"/>
          <w:bCs/>
          <w:sz w:val="20"/>
          <w:szCs w:val="20"/>
        </w:rPr>
        <w:t>58</w:t>
      </w:r>
      <w:r>
        <w:rPr>
          <w:rFonts w:ascii="Calibri" w:eastAsia="Times New Roman" w:hAnsi="Calibri" w:cs="Calibri"/>
          <w:bCs/>
          <w:sz w:val="20"/>
          <w:szCs w:val="20"/>
        </w:rPr>
        <w:t>/2023</w:t>
      </w:r>
    </w:p>
    <w:p w14:paraId="62A1F3C5"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w:t>
      </w:r>
      <w:r>
        <w:rPr>
          <w:rFonts w:ascii="Calibri" w:eastAsia="Times New Roman" w:hAnsi="Calibri" w:cs="Times New Roman"/>
          <w:b/>
          <w:color w:val="000000"/>
          <w:sz w:val="20"/>
          <w:szCs w:val="20"/>
          <w:lang w:eastAsia="cs-CZ"/>
        </w:rPr>
        <w:br/>
        <w:t>Úvodní ustanovení</w:t>
      </w:r>
    </w:p>
    <w:p w14:paraId="7A11B025" w14:textId="3CD5BD92"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1.1.  Pronajímatel</w:t>
      </w:r>
      <w:proofErr w:type="gramEnd"/>
      <w:r>
        <w:rPr>
          <w:rFonts w:ascii="Calibri" w:eastAsia="Calibri" w:hAnsi="Calibri" w:cs="Calibri"/>
          <w:color w:val="000000"/>
          <w:sz w:val="20"/>
          <w:szCs w:val="20"/>
        </w:rPr>
        <w:t xml:space="preserve"> prohlašuje, že je výlučným vlastníkem bytové jednotky č. </w:t>
      </w:r>
      <w:r w:rsidR="00FA393C">
        <w:rPr>
          <w:rFonts w:ascii="Calibri" w:eastAsia="Calibri" w:hAnsi="Calibri" w:cs="Calibri"/>
          <w:color w:val="000000"/>
          <w:sz w:val="20"/>
          <w:szCs w:val="20"/>
        </w:rPr>
        <w:t>3</w:t>
      </w:r>
      <w:r>
        <w:rPr>
          <w:rFonts w:ascii="Calibri" w:eastAsia="Calibri" w:hAnsi="Calibri" w:cs="Calibri"/>
          <w:color w:val="000000"/>
          <w:sz w:val="20"/>
          <w:szCs w:val="20"/>
        </w:rPr>
        <w:t xml:space="preserve"> ve </w:t>
      </w:r>
      <w:r w:rsidR="001D4E66">
        <w:rPr>
          <w:rFonts w:ascii="Calibri" w:eastAsia="Calibri" w:hAnsi="Calibri" w:cs="Calibri"/>
          <w:color w:val="000000"/>
          <w:sz w:val="20"/>
          <w:szCs w:val="20"/>
        </w:rPr>
        <w:t>2</w:t>
      </w:r>
      <w:r>
        <w:rPr>
          <w:rFonts w:ascii="Calibri" w:eastAsia="Calibri" w:hAnsi="Calibri" w:cs="Calibri"/>
          <w:color w:val="000000"/>
          <w:sz w:val="20"/>
          <w:szCs w:val="20"/>
        </w:rPr>
        <w:t xml:space="preserve">. podlaží domu č. p. </w:t>
      </w:r>
      <w:r w:rsidR="00FA393C">
        <w:rPr>
          <w:rFonts w:ascii="Calibri" w:eastAsia="Calibri" w:hAnsi="Calibri" w:cs="Calibri"/>
          <w:color w:val="000000"/>
          <w:sz w:val="20"/>
          <w:szCs w:val="20"/>
        </w:rPr>
        <w:t>131</w:t>
      </w:r>
      <w:r>
        <w:rPr>
          <w:rFonts w:ascii="Calibri" w:eastAsia="Calibri" w:hAnsi="Calibri" w:cs="Calibri"/>
          <w:color w:val="000000"/>
          <w:sz w:val="20"/>
          <w:szCs w:val="20"/>
        </w:rPr>
        <w:t>. Nemovitost</w:t>
      </w:r>
      <w:r>
        <w:rPr>
          <w:rFonts w:ascii="Calibri" w:eastAsia="Calibri" w:hAnsi="Calibri" w:cs="Calibri"/>
          <w:b/>
          <w:color w:val="000000"/>
          <w:sz w:val="20"/>
          <w:szCs w:val="20"/>
        </w:rPr>
        <w:t xml:space="preserve"> </w:t>
      </w:r>
      <w:r>
        <w:rPr>
          <w:rFonts w:ascii="Calibri" w:eastAsia="Calibri" w:hAnsi="Calibri" w:cs="Calibri"/>
          <w:color w:val="000000"/>
          <w:sz w:val="20"/>
          <w:szCs w:val="20"/>
        </w:rPr>
        <w:t>a pronajatý byt je zapsán na LV č. 10001 pro katastrální území a obec Horní Dubenky u katastrálního úřadu pro Vysočinu, krajské pracoviště Jihlava.</w:t>
      </w:r>
    </w:p>
    <w:p w14:paraId="139F701C"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II.</w:t>
      </w:r>
      <w:r>
        <w:rPr>
          <w:rFonts w:ascii="Calibri" w:eastAsia="Times New Roman" w:hAnsi="Calibri" w:cs="Times New Roman"/>
          <w:b/>
          <w:color w:val="000000"/>
          <w:sz w:val="20"/>
          <w:szCs w:val="20"/>
          <w:lang w:eastAsia="cs-CZ"/>
        </w:rPr>
        <w:br/>
        <w:t>Předmět nájmu</w:t>
      </w:r>
    </w:p>
    <w:p w14:paraId="669C8E9A"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1F179F23" w14:textId="6D11B906"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2.1.  Pronajímatel</w:t>
      </w:r>
      <w:proofErr w:type="gramEnd"/>
      <w:r>
        <w:rPr>
          <w:rFonts w:ascii="Calibri" w:eastAsia="Calibri" w:hAnsi="Calibri" w:cs="Calibri"/>
          <w:color w:val="000000"/>
          <w:sz w:val="20"/>
          <w:szCs w:val="20"/>
        </w:rPr>
        <w:t xml:space="preserve"> přenechává Nájemci za účelem zajištění jeho bytových potřeb do užívání byt dle bodu 1.1 smlouvy o dispozici </w:t>
      </w:r>
      <w:r w:rsidR="00FA393C">
        <w:rPr>
          <w:rFonts w:ascii="Calibri" w:eastAsia="Calibri" w:hAnsi="Calibri" w:cs="Calibri"/>
          <w:color w:val="000000"/>
          <w:sz w:val="20"/>
          <w:szCs w:val="20"/>
        </w:rPr>
        <w:t>2</w:t>
      </w:r>
      <w:r>
        <w:rPr>
          <w:rFonts w:ascii="Calibri" w:eastAsia="Calibri" w:hAnsi="Calibri" w:cs="Calibri"/>
          <w:color w:val="000000"/>
          <w:sz w:val="20"/>
          <w:szCs w:val="20"/>
        </w:rPr>
        <w:t xml:space="preserve"> + 1 s přísl. a o celkové výměře </w:t>
      </w:r>
      <w:r w:rsidR="00FA393C">
        <w:rPr>
          <w:rFonts w:ascii="Calibri" w:eastAsia="Calibri" w:hAnsi="Calibri" w:cs="Calibri"/>
          <w:color w:val="000000"/>
          <w:sz w:val="20"/>
          <w:szCs w:val="20"/>
        </w:rPr>
        <w:t>65</w:t>
      </w:r>
      <w:r>
        <w:rPr>
          <w:rFonts w:ascii="Calibri" w:eastAsia="Calibri" w:hAnsi="Calibri" w:cs="Calibri"/>
          <w:color w:val="000000"/>
          <w:sz w:val="20"/>
          <w:szCs w:val="20"/>
        </w:rPr>
        <w:t>,</w:t>
      </w:r>
      <w:r w:rsidR="00FA393C">
        <w:rPr>
          <w:rFonts w:ascii="Calibri" w:eastAsia="Calibri" w:hAnsi="Calibri" w:cs="Calibri"/>
          <w:color w:val="000000"/>
          <w:sz w:val="20"/>
          <w:szCs w:val="20"/>
        </w:rPr>
        <w:t>26</w:t>
      </w:r>
      <w:r>
        <w:rPr>
          <w:rFonts w:ascii="Calibri" w:eastAsia="Calibri" w:hAnsi="Calibri" w:cs="Calibri"/>
          <w:color w:val="000000"/>
          <w:sz w:val="20"/>
          <w:szCs w:val="20"/>
        </w:rPr>
        <w:t xml:space="preserve"> m</w:t>
      </w:r>
      <w:r>
        <w:rPr>
          <w:rFonts w:ascii="Calibri" w:eastAsia="Calibri" w:hAnsi="Calibri" w:cs="Calibri"/>
          <w:color w:val="000000"/>
          <w:sz w:val="20"/>
          <w:szCs w:val="20"/>
          <w:vertAlign w:val="superscript"/>
        </w:rPr>
        <w:t>2</w:t>
      </w:r>
      <w:r>
        <w:rPr>
          <w:rFonts w:ascii="Calibri" w:eastAsia="Calibri" w:hAnsi="Calibri" w:cs="Calibri"/>
          <w:color w:val="000000"/>
          <w:sz w:val="20"/>
          <w:szCs w:val="20"/>
        </w:rPr>
        <w:t>, a to za podmínek v této smlouvě dále sjednaných.</w:t>
      </w:r>
    </w:p>
    <w:p w14:paraId="6840B87C" w14:textId="101ADD8C"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lastRenderedPageBreak/>
        <w:t>2.2.  Byt</w:t>
      </w:r>
      <w:proofErr w:type="gramEnd"/>
      <w:r>
        <w:rPr>
          <w:rFonts w:ascii="Calibri" w:eastAsia="Calibri" w:hAnsi="Calibri" w:cs="Calibri"/>
          <w:color w:val="000000"/>
          <w:sz w:val="20"/>
          <w:szCs w:val="20"/>
        </w:rPr>
        <w:t xml:space="preserve"> sestává z</w:t>
      </w:r>
      <w:r w:rsidR="00FA393C">
        <w:rPr>
          <w:rFonts w:ascii="Calibri" w:eastAsia="Calibri" w:hAnsi="Calibri" w:cs="Calibri"/>
          <w:color w:val="000000"/>
          <w:sz w:val="20"/>
          <w:szCs w:val="20"/>
        </w:rPr>
        <w:t>e</w:t>
      </w:r>
      <w:r>
        <w:rPr>
          <w:rFonts w:ascii="Calibri" w:eastAsia="Calibri" w:hAnsi="Calibri" w:cs="Calibri"/>
          <w:color w:val="000000"/>
          <w:sz w:val="20"/>
          <w:szCs w:val="20"/>
        </w:rPr>
        <w:t xml:space="preserve"> </w:t>
      </w:r>
      <w:r w:rsidR="00FA393C">
        <w:rPr>
          <w:rFonts w:ascii="Calibri" w:eastAsia="Calibri" w:hAnsi="Calibri" w:cs="Calibri"/>
          <w:color w:val="000000"/>
          <w:sz w:val="20"/>
          <w:szCs w:val="20"/>
        </w:rPr>
        <w:t>2</w:t>
      </w:r>
      <w:r>
        <w:rPr>
          <w:rFonts w:ascii="Calibri" w:eastAsia="Calibri" w:hAnsi="Calibri" w:cs="Calibri"/>
          <w:color w:val="000000"/>
          <w:sz w:val="20"/>
          <w:szCs w:val="20"/>
        </w:rPr>
        <w:t> pokoj</w:t>
      </w:r>
      <w:r w:rsidR="00FA393C">
        <w:rPr>
          <w:rFonts w:ascii="Calibri" w:eastAsia="Calibri" w:hAnsi="Calibri" w:cs="Calibri"/>
          <w:color w:val="000000"/>
          <w:sz w:val="20"/>
          <w:szCs w:val="20"/>
        </w:rPr>
        <w:t>ů</w:t>
      </w:r>
      <w:r>
        <w:rPr>
          <w:rFonts w:ascii="Calibri" w:eastAsia="Calibri" w:hAnsi="Calibri" w:cs="Calibri"/>
          <w:color w:val="000000"/>
          <w:sz w:val="20"/>
          <w:szCs w:val="20"/>
        </w:rPr>
        <w:t>, kuchyně, předsíně, WC</w:t>
      </w:r>
      <w:r w:rsidR="00FA393C">
        <w:rPr>
          <w:rFonts w:ascii="Calibri" w:eastAsia="Calibri" w:hAnsi="Calibri" w:cs="Calibri"/>
          <w:color w:val="000000"/>
          <w:sz w:val="20"/>
          <w:szCs w:val="20"/>
        </w:rPr>
        <w:t>,</w:t>
      </w:r>
      <w:r w:rsidR="001D4E66">
        <w:rPr>
          <w:rFonts w:ascii="Calibri" w:eastAsia="Calibri" w:hAnsi="Calibri" w:cs="Calibri"/>
          <w:color w:val="000000"/>
          <w:sz w:val="20"/>
          <w:szCs w:val="20"/>
        </w:rPr>
        <w:t xml:space="preserve"> </w:t>
      </w:r>
      <w:r>
        <w:rPr>
          <w:rFonts w:ascii="Calibri" w:eastAsia="Calibri" w:hAnsi="Calibri" w:cs="Calibri"/>
          <w:color w:val="000000"/>
          <w:sz w:val="20"/>
          <w:szCs w:val="20"/>
        </w:rPr>
        <w:t>koupelny</w:t>
      </w:r>
      <w:r w:rsidR="00FA393C">
        <w:rPr>
          <w:rFonts w:ascii="Calibri" w:eastAsia="Calibri" w:hAnsi="Calibri" w:cs="Calibri"/>
          <w:color w:val="000000"/>
          <w:sz w:val="20"/>
          <w:szCs w:val="20"/>
        </w:rPr>
        <w:t>, spíže, 1 sklepu a kolny</w:t>
      </w:r>
      <w:r>
        <w:rPr>
          <w:rFonts w:ascii="Calibri" w:eastAsia="Calibri" w:hAnsi="Calibri" w:cs="Calibri"/>
          <w:color w:val="000000"/>
          <w:sz w:val="20"/>
          <w:szCs w:val="20"/>
        </w:rPr>
        <w:t>. Popis jednotlivých místností včetně vybavení a podlahové plochy je uveden v evidenčním listě, který je nedílnou součástí této smlouvy.</w:t>
      </w:r>
    </w:p>
    <w:p w14:paraId="15F264C9"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Stav bytu a jeho vybavení jsou uvedeny v protokolu o převzetí bytu ke dni předání bytu. </w:t>
      </w:r>
    </w:p>
    <w:p w14:paraId="0F11308A"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2.4.   Nájemce je oprávněn užívat byt pouze k bytovým účelům (zajištění základní lidské potřeby bydlení).</w:t>
      </w:r>
    </w:p>
    <w:p w14:paraId="217FD67B"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2.5.  Pronajímatel</w:t>
      </w:r>
      <w:proofErr w:type="gramEnd"/>
      <w:r>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4053F6F0"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2.6.   Nájemce a osoby, které žijí s Nájemcem ve společné domácnosti, mají vedle práva užívat byt i právo užívat společné prostory a zařízení domu a řádně požívat plnění, jejichž poskytování je s užíváním bytu spojeno.</w:t>
      </w:r>
    </w:p>
    <w:p w14:paraId="70352F40"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III.</w:t>
      </w:r>
      <w:r>
        <w:rPr>
          <w:rFonts w:ascii="Calibri" w:eastAsia="Times New Roman" w:hAnsi="Calibri" w:cs="Times New Roman"/>
          <w:b/>
          <w:color w:val="000000"/>
          <w:sz w:val="20"/>
          <w:szCs w:val="20"/>
          <w:lang w:eastAsia="cs-CZ"/>
        </w:rPr>
        <w:br/>
        <w:t>Předání a převzetí</w:t>
      </w:r>
    </w:p>
    <w:p w14:paraId="436290D4"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375AE21E" w14:textId="5719457E"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3.1. Pronajímatel prodlužuje nájemní smlouvu Nájemci ode dne 01.0</w:t>
      </w:r>
      <w:r w:rsidR="00FA393C">
        <w:rPr>
          <w:rFonts w:ascii="Calibri" w:eastAsia="Calibri" w:hAnsi="Calibri" w:cs="Calibri"/>
          <w:color w:val="000000"/>
          <w:sz w:val="20"/>
          <w:szCs w:val="20"/>
        </w:rPr>
        <w:t>7</w:t>
      </w:r>
      <w:r>
        <w:rPr>
          <w:rFonts w:ascii="Calibri" w:eastAsia="Calibri" w:hAnsi="Calibri" w:cs="Calibri"/>
          <w:color w:val="000000"/>
          <w:sz w:val="20"/>
          <w:szCs w:val="20"/>
        </w:rPr>
        <w:t xml:space="preserve">.2023 a Nájemce se ji k tomuto dni zavazuje od Pronajímatele převzít. </w:t>
      </w:r>
    </w:p>
    <w:p w14:paraId="34A16F3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30347469"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IV.</w:t>
      </w:r>
      <w:r>
        <w:rPr>
          <w:rFonts w:ascii="Calibri" w:eastAsia="Times New Roman" w:hAnsi="Calibri" w:cs="Times New Roman"/>
          <w:b/>
          <w:color w:val="000000"/>
          <w:sz w:val="20"/>
          <w:szCs w:val="20"/>
          <w:lang w:eastAsia="cs-CZ"/>
        </w:rPr>
        <w:br/>
        <w:t>Nájemné</w:t>
      </w:r>
    </w:p>
    <w:p w14:paraId="6762BB68" w14:textId="77777777" w:rsidR="001D0187" w:rsidRDefault="001D0187" w:rsidP="001D0187">
      <w:pPr>
        <w:numPr>
          <w:ilvl w:val="0"/>
          <w:numId w:val="1"/>
        </w:numPr>
        <w:spacing w:before="360"/>
        <w:rPr>
          <w:rFonts w:ascii="Calibri" w:eastAsia="Calibri" w:hAnsi="Calibri" w:cs="Calibri"/>
          <w:vanish/>
          <w:color w:val="000000"/>
          <w:sz w:val="20"/>
          <w:szCs w:val="20"/>
        </w:rPr>
      </w:pPr>
    </w:p>
    <w:p w14:paraId="51BC67C3" w14:textId="2AD7B7D4"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Nájemce se zavazuje hradit Pronajímateli za užívání bytu nájemné ve výši </w:t>
      </w:r>
      <w:proofErr w:type="gramStart"/>
      <w:r w:rsidR="001D4E66">
        <w:rPr>
          <w:rFonts w:ascii="Calibri" w:eastAsia="Calibri" w:hAnsi="Calibri" w:cs="Calibri"/>
          <w:color w:val="000000"/>
          <w:sz w:val="20"/>
          <w:szCs w:val="20"/>
        </w:rPr>
        <w:t>2</w:t>
      </w:r>
      <w:r>
        <w:rPr>
          <w:rFonts w:ascii="Calibri" w:eastAsia="Calibri" w:hAnsi="Calibri" w:cs="Calibri"/>
          <w:color w:val="000000"/>
          <w:sz w:val="20"/>
          <w:szCs w:val="20"/>
        </w:rPr>
        <w:t>.</w:t>
      </w:r>
      <w:r w:rsidR="00975A0E">
        <w:rPr>
          <w:rFonts w:ascii="Calibri" w:eastAsia="Calibri" w:hAnsi="Calibri" w:cs="Calibri"/>
          <w:color w:val="000000"/>
          <w:sz w:val="20"/>
          <w:szCs w:val="20"/>
        </w:rPr>
        <w:t>420</w:t>
      </w:r>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Kč (slovy: </w:t>
      </w:r>
      <w:proofErr w:type="spellStart"/>
      <w:r w:rsidR="001D4E66">
        <w:rPr>
          <w:rFonts w:ascii="Calibri" w:eastAsia="Calibri" w:hAnsi="Calibri" w:cs="Calibri"/>
          <w:color w:val="000000"/>
          <w:sz w:val="20"/>
          <w:szCs w:val="20"/>
        </w:rPr>
        <w:t>dvatisíce</w:t>
      </w:r>
      <w:r w:rsidR="00975A0E">
        <w:rPr>
          <w:rFonts w:ascii="Calibri" w:eastAsia="Calibri" w:hAnsi="Calibri" w:cs="Calibri"/>
          <w:color w:val="000000"/>
          <w:sz w:val="20"/>
          <w:szCs w:val="20"/>
        </w:rPr>
        <w:t>čtyřistadvacet</w:t>
      </w:r>
      <w:r>
        <w:rPr>
          <w:rFonts w:ascii="Calibri" w:eastAsia="Calibri" w:hAnsi="Calibri" w:cs="Calibri"/>
          <w:color w:val="000000"/>
          <w:sz w:val="20"/>
          <w:szCs w:val="20"/>
        </w:rPr>
        <w:t>korunčeských</w:t>
      </w:r>
      <w:proofErr w:type="spellEnd"/>
      <w:r>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43E57BA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Pr>
          <w:rFonts w:ascii="Calibri" w:eastAsia="Calibri" w:hAnsi="Calibri" w:cs="Calibri"/>
          <w:color w:val="000000"/>
          <w:sz w:val="20"/>
          <w:szCs w:val="20"/>
        </w:rPr>
        <w:t>Consumer</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Price</w:t>
      </w:r>
      <w:proofErr w:type="spellEnd"/>
      <w:r>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w:t>
      </w:r>
      <w:proofErr w:type="gramStart"/>
      <w:r>
        <w:rPr>
          <w:rFonts w:ascii="Calibri" w:eastAsia="Calibri" w:hAnsi="Calibri" w:cs="Calibri"/>
          <w:color w:val="000000"/>
          <w:sz w:val="20"/>
          <w:szCs w:val="20"/>
        </w:rPr>
        <w:t>zvýší</w:t>
      </w:r>
      <w:proofErr w:type="gramEnd"/>
      <w:r>
        <w:rPr>
          <w:rFonts w:ascii="Calibri" w:eastAsia="Calibri" w:hAnsi="Calibri" w:cs="Calibri"/>
          <w:color w:val="000000"/>
          <w:sz w:val="20"/>
          <w:szCs w:val="20"/>
        </w:rPr>
        <w:t xml:space="preserve">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55C5B160"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4.3.  Ujednáním obsaženým v předchozím odstavci této smlouvy není nikterak dotčena možnost Pronajímatele navrhnout zvýšení nájemného za podmínek obsažených v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1C32857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4.4.  Nájemce</w:t>
      </w:r>
      <w:proofErr w:type="gramEnd"/>
      <w:r>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59362A86"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lastRenderedPageBreak/>
        <w:t>4.5.  Právo</w:t>
      </w:r>
      <w:proofErr w:type="gramEnd"/>
      <w:r>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0E0A34CB"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V.</w:t>
      </w:r>
      <w:r>
        <w:rPr>
          <w:rFonts w:ascii="Calibri" w:eastAsia="Times New Roman" w:hAnsi="Calibri" w:cs="Times New Roman"/>
          <w:b/>
          <w:color w:val="000000"/>
          <w:sz w:val="20"/>
          <w:szCs w:val="20"/>
          <w:lang w:eastAsia="cs-CZ"/>
        </w:rPr>
        <w:br/>
        <w:t>Platební podmínky</w:t>
      </w:r>
    </w:p>
    <w:p w14:paraId="3898089E" w14:textId="77777777" w:rsidR="001D0187" w:rsidRDefault="001D0187" w:rsidP="001D0187">
      <w:pPr>
        <w:numPr>
          <w:ilvl w:val="0"/>
          <w:numId w:val="1"/>
        </w:numPr>
        <w:contextualSpacing/>
        <w:rPr>
          <w:rFonts w:ascii="Calibri" w:eastAsia="Calibri" w:hAnsi="Calibri" w:cs="Calibri"/>
          <w:vanish/>
          <w:color w:val="000000"/>
          <w:sz w:val="20"/>
          <w:szCs w:val="20"/>
        </w:rPr>
      </w:pPr>
    </w:p>
    <w:p w14:paraId="3B8F6A11"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5.1.  Nájemné</w:t>
      </w:r>
      <w:proofErr w:type="gramEnd"/>
      <w:r>
        <w:rPr>
          <w:rFonts w:ascii="Calibri" w:eastAsia="Calibri" w:hAnsi="Calibri" w:cs="Calibri"/>
          <w:color w:val="000000"/>
          <w:sz w:val="20"/>
          <w:szCs w:val="20"/>
        </w:rPr>
        <w:t xml:space="preserve"> ve výše uvedené výši bude hrazeno formou měsíčních plateb. Nájemné a úhrada za plnění poskytovaná v souvislosti s užíváním bytu je splatné měsíčně sdruženým inkasem do posledního dne běžného měsíce.</w:t>
      </w:r>
    </w:p>
    <w:p w14:paraId="07E4F1C2" w14:textId="77777777" w:rsidR="001D0187" w:rsidRDefault="001D0187" w:rsidP="001D0187">
      <w:pPr>
        <w:pStyle w:val="Odstavec"/>
        <w:numPr>
          <w:ilvl w:val="0"/>
          <w:numId w:val="0"/>
        </w:numPr>
        <w:tabs>
          <w:tab w:val="left" w:pos="708"/>
        </w:tabs>
      </w:pPr>
      <w:r>
        <w:t>5.2.   Nájemné je splatné i na účet Pronajímatele uvedený v záhlaví této smlouvy. Za den úhrady nájemného se   považuje den připsání nájemného na účet Pronajímatele. Dostane-li se příjemce (nájemce) služeb do prodlení s peněžitým plněním dle zák. 67/2013, které 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751B624F"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369771CD"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VI.</w:t>
      </w:r>
      <w:r>
        <w:rPr>
          <w:rFonts w:ascii="Calibri" w:eastAsia="Times New Roman" w:hAnsi="Calibri" w:cs="Times New Roman"/>
          <w:b/>
          <w:color w:val="000000"/>
          <w:sz w:val="20"/>
          <w:szCs w:val="20"/>
          <w:lang w:eastAsia="cs-CZ"/>
        </w:rPr>
        <w:br/>
        <w:t>Ostatní práva a povinnosti</w:t>
      </w:r>
    </w:p>
    <w:p w14:paraId="6AF59E1C" w14:textId="77777777" w:rsidR="001D0187" w:rsidRDefault="001D0187" w:rsidP="001D0187">
      <w:pPr>
        <w:numPr>
          <w:ilvl w:val="0"/>
          <w:numId w:val="2"/>
        </w:numPr>
        <w:rPr>
          <w:rFonts w:ascii="Calibri" w:eastAsia="Calibri" w:hAnsi="Calibri" w:cs="Calibri"/>
          <w:vanish/>
          <w:sz w:val="20"/>
          <w:szCs w:val="20"/>
        </w:rPr>
      </w:pPr>
    </w:p>
    <w:p w14:paraId="6BBF93CD" w14:textId="77777777" w:rsidR="001D0187" w:rsidRDefault="001D0187" w:rsidP="001D0187">
      <w:pPr>
        <w:numPr>
          <w:ilvl w:val="0"/>
          <w:numId w:val="2"/>
        </w:numPr>
        <w:rPr>
          <w:rFonts w:ascii="Calibri" w:eastAsia="Calibri" w:hAnsi="Calibri" w:cs="Calibri"/>
          <w:vanish/>
          <w:sz w:val="20"/>
          <w:szCs w:val="20"/>
        </w:rPr>
      </w:pPr>
    </w:p>
    <w:p w14:paraId="2F961496"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2BA094B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6.1.  Nájemce</w:t>
      </w:r>
      <w:proofErr w:type="gramEnd"/>
      <w:r>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4A76CCC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6.2.  Nájemce</w:t>
      </w:r>
      <w:proofErr w:type="gramEnd"/>
      <w:r>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4A9A0DD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6.3.  Zjistí</w:t>
      </w:r>
      <w:proofErr w:type="gramEnd"/>
      <w:r>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1312938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6.4.  Nájemce</w:t>
      </w:r>
      <w:proofErr w:type="gramEnd"/>
      <w:r>
        <w:rPr>
          <w:rFonts w:ascii="Calibri" w:eastAsia="Calibri" w:hAnsi="Calibri" w:cs="Calibri"/>
          <w:color w:val="000000"/>
          <w:sz w:val="20"/>
          <w:szCs w:val="20"/>
        </w:rPr>
        <w:t xml:space="preserve"> není oprávněn provádět v bytě stavební úpravy ani jiné podstatné změny bez souhlasu Pronajímatele, a to ani na svůj náklad.</w:t>
      </w:r>
    </w:p>
    <w:p w14:paraId="4AB27D61"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6.5.  Nájemce se zavazuje dodržovat po dobu nájmu pravidla obvyklá pro chování v domě a rozumné pokyny Pronajímatele pro zachování náležitého pořádku obvyklého podle místních poměrů, přičemž Domovní řád může tato pravidla určit podrobně.</w:t>
      </w:r>
    </w:p>
    <w:p w14:paraId="3C80DC30"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6.6.   Pronajímatel je oprávněn z vážných důvodů vstupovat do bytu; nebude-li hrozit nebezpečí z prodlení, bude vstup Nájemci oznámen s dostatečným časovým předstihem.</w:t>
      </w:r>
    </w:p>
    <w:p w14:paraId="368BF12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6.7.  V posledních dvou měsících trvání nájemního vztahu je Nájemce povinen umožnit zájemci o pronajmutí bytu jeho prohlídku v přítomnosti Pronajímatele nebo jeho zástupce, a to tak, aby Nájemce nebyl prohlídkou zbytečně obtěžován.</w:t>
      </w:r>
    </w:p>
    <w:p w14:paraId="31AE7B1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6.8.  Nájemce</w:t>
      </w:r>
      <w:proofErr w:type="gramEnd"/>
      <w:r>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0DB43397"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6.9.  Nájemce</w:t>
      </w:r>
      <w:proofErr w:type="gramEnd"/>
      <w:r>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552BD75C" w14:textId="1EED8704"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Pro účely této smlouvy, ke dni jejího uzavření, tvoří Nájemcovu domácnost ve smyslu § 2272 NOZ celkem </w:t>
      </w:r>
      <w:r w:rsidR="00975A0E">
        <w:rPr>
          <w:rFonts w:ascii="Calibri" w:eastAsia="Calibri" w:hAnsi="Calibri" w:cs="Calibri"/>
          <w:color w:val="000000"/>
          <w:sz w:val="20"/>
          <w:szCs w:val="20"/>
        </w:rPr>
        <w:t>2</w:t>
      </w: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osob</w:t>
      </w:r>
      <w:r w:rsidR="00975A0E">
        <w:rPr>
          <w:rFonts w:ascii="Calibri" w:eastAsia="Calibri" w:hAnsi="Calibri" w:cs="Calibri"/>
          <w:color w:val="000000"/>
          <w:sz w:val="20"/>
          <w:szCs w:val="20"/>
        </w:rPr>
        <w:t>y</w:t>
      </w:r>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K tomuto datu se do bytu spolu s Nájemcem nebudou stěhovat další osoby coby příslušníci jeho domácnosti. </w:t>
      </w:r>
    </w:p>
    <w:p w14:paraId="0DF1C469"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w:t>
      </w:r>
      <w:proofErr w:type="gramStart"/>
      <w:r>
        <w:rPr>
          <w:rFonts w:ascii="Calibri" w:eastAsia="Calibri" w:hAnsi="Calibri" w:cs="Calibri"/>
          <w:color w:val="000000"/>
          <w:sz w:val="20"/>
          <w:szCs w:val="20"/>
        </w:rPr>
        <w:t>poruší</w:t>
      </w:r>
      <w:proofErr w:type="gramEnd"/>
      <w:r>
        <w:rPr>
          <w:rFonts w:ascii="Calibri" w:eastAsia="Calibri" w:hAnsi="Calibri" w:cs="Calibri"/>
          <w:color w:val="000000"/>
          <w:sz w:val="20"/>
          <w:szCs w:val="20"/>
        </w:rPr>
        <w:t xml:space="preserve"> svoji povinnost uvedenou ve větě první tohoto odstavce.</w:t>
      </w:r>
    </w:p>
    <w:p w14:paraId="0F089769" w14:textId="77777777" w:rsidR="001D0187" w:rsidRDefault="001D0187" w:rsidP="001D0187">
      <w:p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Č</w:t>
      </w:r>
      <w:r>
        <w:rPr>
          <w:rFonts w:ascii="Calibri" w:eastAsia="Times New Roman" w:hAnsi="Calibri" w:cs="Times New Roman"/>
          <w:b/>
          <w:color w:val="000000"/>
          <w:sz w:val="20"/>
          <w:szCs w:val="20"/>
          <w:lang w:eastAsia="cs-CZ"/>
        </w:rPr>
        <w:t>lánek VII.</w:t>
      </w:r>
    </w:p>
    <w:p w14:paraId="57A55183" w14:textId="77777777" w:rsidR="001D0187" w:rsidRDefault="001D0187" w:rsidP="001D0187">
      <w:p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 xml:space="preserve">                                                                         Služby poskytované s nájmem</w:t>
      </w:r>
    </w:p>
    <w:p w14:paraId="7C34FB8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7.1.   Nájemce se zavazuje hradit Pronajímateli náklady spojené s poskytováním služeb uvedených v evidenčním listě. Pronajímatel se zavazuje zajistit Nájemci prostřednictvím dodavatelů v souvislosti s užíváním bytu služby uvedené v evidenčním listě.</w:t>
      </w:r>
    </w:p>
    <w:p w14:paraId="17A294A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7.2.  Nájemce</w:t>
      </w:r>
      <w:proofErr w:type="gramEnd"/>
      <w:r>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532DBB6F"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7.3.   Záloha na služby je splatná společně s nájemným. Body 5.1 a 5.2 platí obdobně.</w:t>
      </w:r>
    </w:p>
    <w:p w14:paraId="1C7C7954"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7.4.   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6E47437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7.5.  Pronajímatel</w:t>
      </w:r>
      <w:proofErr w:type="gramEnd"/>
      <w:r>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Nájemci, leda by Nájemce proti vyúčtování uplatnil námitku. Ujednání stran vyúčtování platí jen tehdy, neupraví-li je právní předpis.</w:t>
      </w:r>
    </w:p>
    <w:p w14:paraId="3EF4E030"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534959E4"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400A727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6BD63BFC" w14:textId="77777777" w:rsidR="001D0187" w:rsidRDefault="001D0187" w:rsidP="001D0187">
      <w:pPr>
        <w:spacing w:line="264" w:lineRule="auto"/>
        <w:jc w:val="center"/>
        <w:rPr>
          <w:rFonts w:ascii="Calibri" w:eastAsia="Calibri" w:hAnsi="Calibri" w:cs="Calibri"/>
          <w:b/>
          <w:color w:val="000000"/>
          <w:sz w:val="20"/>
          <w:szCs w:val="20"/>
        </w:rPr>
      </w:pPr>
      <w:r>
        <w:rPr>
          <w:rFonts w:ascii="Calibri" w:eastAsia="Calibri" w:hAnsi="Calibri" w:cs="Calibri"/>
          <w:b/>
          <w:color w:val="000000"/>
          <w:sz w:val="20"/>
          <w:szCs w:val="20"/>
        </w:rPr>
        <w:t>Článek VIII.</w:t>
      </w:r>
      <w:r>
        <w:rPr>
          <w:rFonts w:ascii="Calibri" w:eastAsia="Calibri" w:hAnsi="Calibri" w:cs="Calibri"/>
          <w:b/>
          <w:color w:val="000000"/>
          <w:sz w:val="20"/>
          <w:szCs w:val="20"/>
        </w:rPr>
        <w:br/>
        <w:t>Doba trvání a ukončení smlouvy</w:t>
      </w:r>
    </w:p>
    <w:p w14:paraId="14C81CF3" w14:textId="77777777" w:rsidR="001D0187" w:rsidRDefault="001D0187" w:rsidP="001D0187">
      <w:pPr>
        <w:numPr>
          <w:ilvl w:val="0"/>
          <w:numId w:val="2"/>
        </w:numPr>
        <w:rPr>
          <w:rFonts w:ascii="Calibri" w:eastAsia="Calibri" w:hAnsi="Calibri" w:cs="Calibri"/>
          <w:vanish/>
          <w:sz w:val="20"/>
          <w:szCs w:val="20"/>
        </w:rPr>
      </w:pPr>
    </w:p>
    <w:p w14:paraId="5C0B470E"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37B1C771" w14:textId="4B8A5CAD"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8.1.  Smlouva</w:t>
      </w:r>
      <w:proofErr w:type="gramEnd"/>
      <w:r>
        <w:rPr>
          <w:rFonts w:ascii="Calibri" w:eastAsia="Calibri" w:hAnsi="Calibri" w:cs="Calibri"/>
          <w:color w:val="000000"/>
          <w:sz w:val="20"/>
          <w:szCs w:val="20"/>
        </w:rPr>
        <w:t xml:space="preserve"> se uzavírá na dobu určitou, a to do </w:t>
      </w:r>
      <w:r w:rsidR="001D4E66">
        <w:rPr>
          <w:rFonts w:ascii="Calibri" w:eastAsia="Calibri" w:hAnsi="Calibri" w:cs="Calibri"/>
          <w:color w:val="000000"/>
          <w:sz w:val="20"/>
          <w:szCs w:val="20"/>
        </w:rPr>
        <w:t>30</w:t>
      </w:r>
      <w:r>
        <w:rPr>
          <w:rFonts w:ascii="Calibri" w:eastAsia="Calibri" w:hAnsi="Calibri" w:cs="Calibri"/>
          <w:color w:val="000000"/>
          <w:sz w:val="20"/>
          <w:szCs w:val="20"/>
        </w:rPr>
        <w:t>.0</w:t>
      </w:r>
      <w:r w:rsidR="00975A0E">
        <w:rPr>
          <w:rFonts w:ascii="Calibri" w:eastAsia="Calibri" w:hAnsi="Calibri" w:cs="Calibri"/>
          <w:color w:val="000000"/>
          <w:sz w:val="20"/>
          <w:szCs w:val="20"/>
        </w:rPr>
        <w:t>6</w:t>
      </w:r>
      <w:r>
        <w:rPr>
          <w:rFonts w:ascii="Calibri" w:eastAsia="Calibri" w:hAnsi="Calibri" w:cs="Calibri"/>
          <w:color w:val="000000"/>
          <w:sz w:val="20"/>
          <w:szCs w:val="20"/>
        </w:rPr>
        <w:t>.2026 .</w:t>
      </w:r>
    </w:p>
    <w:p w14:paraId="3A3D0E59"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8.2.  Nájemní</w:t>
      </w:r>
      <w:proofErr w:type="gramEnd"/>
      <w:r>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535C2D1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8.3.  Nájemní</w:t>
      </w:r>
      <w:proofErr w:type="gramEnd"/>
      <w:r>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1239E2F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8.4. Nájemce hrubě poruší svoji povinnost vyplývající z nájmu, jestliže dá byt nebo jeho část do podnájmu či bezplatnému užívání třetí osobě, aniž by obdržel předchozí písemný souhlas Pronajímatele, provede stavební úpravy nebo jiné podstatné změny bez souhlasu Pronajímatele, neoznámí Pronajímateli potřebu oprav nad rámec běžné údržby a neumožní mu provedení těchto oprav, v důsledku čehož vznikne na majetku Pronajímatele či třetích osob škoda ve výši desetinásobku měsíčního nájemného, přijme-li dalšího člena své domácnosti a překročí tím limit stanovený v bodu 6.11 věta poslední, Nájemcem chovaná zvířata nebo jiné organismy budou opakovaně závažným způsobem obtěžovat ostatní obyvatele domu nebo Nájemce opakovaně neodstraní případné znečištění domu způsobené jím chovaným zvířetem, a i přes upozornění nesjedná nápravu, opakovaně poruší pravidla obvyklá pro chování v domě a rozumné pokyny Pronajímatele pro zachování náležitého pořádku a i přes upozornění nesjedná nápravu.</w:t>
      </w:r>
    </w:p>
    <w:p w14:paraId="51C5900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8.5.  Nájemce</w:t>
      </w:r>
      <w:proofErr w:type="gramEnd"/>
      <w:r>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23340689"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IX.</w:t>
      </w:r>
      <w:r>
        <w:rPr>
          <w:rFonts w:ascii="Calibri" w:eastAsia="Times New Roman" w:hAnsi="Calibri" w:cs="Times New Roman"/>
          <w:b/>
          <w:color w:val="000000"/>
          <w:sz w:val="20"/>
          <w:szCs w:val="20"/>
          <w:lang w:eastAsia="cs-CZ"/>
        </w:rPr>
        <w:br/>
        <w:t>Vrácení bytu</w:t>
      </w:r>
    </w:p>
    <w:p w14:paraId="1DEB7802" w14:textId="77777777" w:rsidR="001D0187" w:rsidRDefault="001D0187" w:rsidP="001D0187">
      <w:pPr>
        <w:numPr>
          <w:ilvl w:val="0"/>
          <w:numId w:val="2"/>
        </w:numPr>
        <w:rPr>
          <w:rFonts w:ascii="Calibri" w:eastAsia="Calibri" w:hAnsi="Calibri" w:cs="Calibri"/>
          <w:vanish/>
          <w:sz w:val="20"/>
          <w:szCs w:val="20"/>
        </w:rPr>
      </w:pPr>
    </w:p>
    <w:p w14:paraId="6D67AE14"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3D8E2ECD"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9.1.  Nájemce</w:t>
      </w:r>
      <w:proofErr w:type="gramEnd"/>
      <w:r>
        <w:rPr>
          <w:rFonts w:ascii="Calibri" w:eastAsia="Calibri" w:hAnsi="Calibri" w:cs="Calibri"/>
          <w:color w:val="000000"/>
          <w:sz w:val="20"/>
          <w:szCs w:val="20"/>
        </w:rPr>
        <w:t xml:space="preserve"> je povinen nejpozději dnem ukončení nájemního vztahu na své náklady byt vyklidit, vybílit, uklidit a 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12A639EE"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Pro případ prodlení Nájemce s vyklizením či předáním bytu má Pronajímatel právo byt na náklady Nájemce sám vyklidit, vybílit, uklidit a odstranit veškerá zařízení a příslušenství, která v pronajatých prostorách Nájemce nainstaloval, s čímž Nájemce výslovně souhlasí. V rámci předání bytu při ukončení nájmu musí být zachováno a plně funkční připojení elektrické energie a plynu (elektroměr a plynoměr). </w:t>
      </w:r>
      <w:proofErr w:type="gramStart"/>
      <w:r>
        <w:rPr>
          <w:rFonts w:ascii="Calibri" w:eastAsia="Calibri" w:hAnsi="Calibri" w:cs="Calibri"/>
          <w:color w:val="000000"/>
          <w:sz w:val="20"/>
          <w:szCs w:val="20"/>
        </w:rPr>
        <w:t>V  opačném</w:t>
      </w:r>
      <w:proofErr w:type="gramEnd"/>
      <w:r>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0E090F91"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9.3.   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0CA6F8AF"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9.4.   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7C9EFE3A"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X.</w:t>
      </w:r>
      <w:r>
        <w:rPr>
          <w:rFonts w:ascii="Calibri" w:eastAsia="Times New Roman" w:hAnsi="Calibri" w:cs="Times New Roman"/>
          <w:b/>
          <w:color w:val="000000"/>
          <w:sz w:val="20"/>
          <w:szCs w:val="20"/>
          <w:lang w:eastAsia="cs-CZ"/>
        </w:rPr>
        <w:br/>
        <w:t>Závěrečná ustanovení</w:t>
      </w:r>
    </w:p>
    <w:p w14:paraId="7A8C0129" w14:textId="77777777" w:rsidR="001D0187" w:rsidRDefault="001D0187" w:rsidP="001D0187">
      <w:pPr>
        <w:numPr>
          <w:ilvl w:val="0"/>
          <w:numId w:val="2"/>
        </w:numPr>
        <w:rPr>
          <w:rFonts w:ascii="Calibri" w:eastAsia="Calibri" w:hAnsi="Calibri" w:cs="Calibri"/>
          <w:vanish/>
          <w:sz w:val="20"/>
          <w:szCs w:val="20"/>
        </w:rPr>
      </w:pPr>
    </w:p>
    <w:p w14:paraId="6815791A"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1AD3DA5A"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10.1.  Tato</w:t>
      </w:r>
      <w:proofErr w:type="gramEnd"/>
      <w:r>
        <w:rPr>
          <w:rFonts w:ascii="Calibri" w:eastAsia="Calibri" w:hAnsi="Calibri" w:cs="Calibri"/>
          <w:color w:val="000000"/>
          <w:sz w:val="20"/>
          <w:szCs w:val="20"/>
        </w:rPr>
        <w:t xml:space="preserve"> smlouva nabývá účinnosti uzavřením.</w:t>
      </w:r>
    </w:p>
    <w:p w14:paraId="4C6C647E"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10.2. 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75581FA5"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10.3. 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0C2F00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10.4. Tato smlouva, její výklad a otázky v ní neupravené se řídí českým právem. Není-li touto smlouvou upraveno jinak, použijí se dispozitivní ustanovení NOZ; to platí i tam, kde smlouva upravuje některá práva či povinnosti jen částečně.</w:t>
      </w:r>
    </w:p>
    <w:p w14:paraId="617F3CBE" w14:textId="77777777" w:rsidR="001D0187" w:rsidRDefault="001D0187" w:rsidP="001D0187">
      <w:pPr>
        <w:spacing w:before="240" w:after="120"/>
        <w:ind w:left="482" w:hanging="482"/>
        <w:rPr>
          <w:rFonts w:ascii="Calibri" w:eastAsia="Calibri" w:hAnsi="Calibri" w:cs="Calibri"/>
          <w:color w:val="000000"/>
          <w:sz w:val="20"/>
          <w:szCs w:val="20"/>
        </w:rPr>
      </w:pPr>
    </w:p>
    <w:p w14:paraId="694A3D0E" w14:textId="77777777" w:rsidR="001D0187" w:rsidRDefault="001D0187" w:rsidP="001D0187">
      <w:pPr>
        <w:rPr>
          <w:rFonts w:ascii="Calibri" w:eastAsia="Calibri" w:hAnsi="Calibri" w:cs="Times New Roman"/>
          <w:sz w:val="20"/>
        </w:rPr>
      </w:pPr>
    </w:p>
    <w:p w14:paraId="601541D6" w14:textId="77777777" w:rsidR="001D0187" w:rsidRDefault="001D0187" w:rsidP="001D0187">
      <w:pPr>
        <w:jc w:val="left"/>
        <w:rPr>
          <w:rFonts w:ascii="Calibri" w:eastAsia="Calibri" w:hAnsi="Calibri" w:cs="Times New Roman"/>
          <w:sz w:val="20"/>
        </w:rPr>
        <w:sectPr w:rsidR="001D0187">
          <w:pgSz w:w="11906" w:h="16838"/>
          <w:pgMar w:top="1418" w:right="1418" w:bottom="1843" w:left="1418" w:header="567" w:footer="1134" w:gutter="0"/>
          <w:cols w:space="708"/>
        </w:sectPr>
      </w:pPr>
    </w:p>
    <w:p w14:paraId="2A8BA355" w14:textId="5F5F460D" w:rsidR="001D0187" w:rsidRDefault="001D0187" w:rsidP="001D0187">
      <w:pPr>
        <w:rPr>
          <w:rFonts w:ascii="Calibri" w:eastAsia="Calibri" w:hAnsi="Calibri" w:cs="Times New Roman"/>
          <w:sz w:val="20"/>
        </w:rPr>
      </w:pPr>
      <w:r>
        <w:rPr>
          <w:rFonts w:ascii="Calibri" w:eastAsia="Calibri" w:hAnsi="Calibri" w:cs="Times New Roman"/>
          <w:sz w:val="20"/>
        </w:rPr>
        <w:t xml:space="preserve">V Horních Dubenkách  dne </w:t>
      </w:r>
      <w:r w:rsidR="001D4E66">
        <w:rPr>
          <w:rFonts w:ascii="Calibri" w:eastAsia="Calibri" w:hAnsi="Calibri" w:cs="Times New Roman"/>
          <w:sz w:val="20"/>
        </w:rPr>
        <w:t>2</w:t>
      </w:r>
      <w:r w:rsidR="00975A0E">
        <w:rPr>
          <w:rFonts w:ascii="Calibri" w:eastAsia="Calibri" w:hAnsi="Calibri" w:cs="Times New Roman"/>
          <w:sz w:val="20"/>
        </w:rPr>
        <w:t>0</w:t>
      </w:r>
      <w:r>
        <w:rPr>
          <w:rFonts w:ascii="Calibri" w:eastAsia="Calibri" w:hAnsi="Calibri" w:cs="Times New Roman"/>
          <w:sz w:val="20"/>
        </w:rPr>
        <w:t>.0</w:t>
      </w:r>
      <w:r w:rsidR="00975A0E">
        <w:rPr>
          <w:rFonts w:ascii="Calibri" w:eastAsia="Calibri" w:hAnsi="Calibri" w:cs="Times New Roman"/>
          <w:sz w:val="20"/>
        </w:rPr>
        <w:t>6</w:t>
      </w:r>
      <w:r>
        <w:rPr>
          <w:rFonts w:ascii="Calibri" w:eastAsia="Calibri" w:hAnsi="Calibri" w:cs="Times New Roman"/>
          <w:sz w:val="20"/>
        </w:rPr>
        <w:t xml:space="preserve"> .2023                                                                                                                                                                                                                                                                                                                                                                                                                                                                                                                                                                                                                                                                                                                                                                                                                                                                                                                                                                                 </w:t>
      </w:r>
    </w:p>
    <w:p w14:paraId="4A05BFA2" w14:textId="77777777" w:rsidR="001D0187" w:rsidRDefault="001D0187" w:rsidP="001D0187">
      <w:pPr>
        <w:rPr>
          <w:rFonts w:ascii="Calibri" w:eastAsia="Calibri" w:hAnsi="Calibri" w:cs="Times New Roman"/>
          <w:sz w:val="20"/>
        </w:rPr>
      </w:pPr>
      <w:r>
        <w:rPr>
          <w:rFonts w:ascii="Calibri" w:eastAsia="Calibri" w:hAnsi="Calibri" w:cs="Times New Roman"/>
          <w:sz w:val="20"/>
        </w:rPr>
        <w:t xml:space="preserve">                                                                                                                                                                                                                                                                                                                                                                                                                                                                                                                                                                                                                                                                                                                                                                                                                                                                                                                                                                                                                                                                                                                                                                                                                                                                                                                                                                                     </w:t>
      </w:r>
    </w:p>
    <w:p w14:paraId="599575D4" w14:textId="77777777" w:rsidR="001D0187" w:rsidRDefault="001D0187" w:rsidP="001D0187">
      <w:pPr>
        <w:spacing w:line="480" w:lineRule="auto"/>
        <w:rPr>
          <w:rFonts w:ascii="Calibri" w:eastAsia="Calibri" w:hAnsi="Calibri" w:cs="Times New Roman"/>
          <w:sz w:val="20"/>
        </w:rPr>
      </w:pPr>
    </w:p>
    <w:p w14:paraId="55D626E6" w14:textId="77777777" w:rsidR="001D0187" w:rsidRDefault="001D0187" w:rsidP="001D0187">
      <w:pPr>
        <w:spacing w:line="480" w:lineRule="auto"/>
        <w:rPr>
          <w:rFonts w:ascii="Calibri" w:eastAsia="Calibri" w:hAnsi="Calibri" w:cs="Times New Roman"/>
          <w:sz w:val="20"/>
        </w:rPr>
      </w:pPr>
    </w:p>
    <w:p w14:paraId="139F1A14" w14:textId="77777777" w:rsidR="001D0187" w:rsidRDefault="001D0187" w:rsidP="001D0187">
      <w:pPr>
        <w:spacing w:line="480" w:lineRule="auto"/>
        <w:rPr>
          <w:rFonts w:ascii="Calibri" w:eastAsia="Calibri" w:hAnsi="Calibri" w:cs="Times New Roman"/>
          <w:sz w:val="20"/>
        </w:rPr>
      </w:pPr>
    </w:p>
    <w:p w14:paraId="59B8208B" w14:textId="77777777" w:rsidR="001D0187" w:rsidRDefault="001D0187" w:rsidP="001D0187">
      <w:pPr>
        <w:jc w:val="center"/>
        <w:rPr>
          <w:rFonts w:ascii="Calibri" w:eastAsia="Calibri" w:hAnsi="Calibri" w:cs="Times New Roman"/>
          <w:sz w:val="20"/>
          <w:szCs w:val="20"/>
        </w:rPr>
      </w:pPr>
    </w:p>
    <w:p w14:paraId="07C565F1" w14:textId="77777777" w:rsidR="001D0187" w:rsidRDefault="001D0187" w:rsidP="001D0187">
      <w:pPr>
        <w:spacing w:line="360" w:lineRule="auto"/>
      </w:pPr>
      <w:r>
        <w:t>………………………………………….…………………….                            ………………………………………………………..</w:t>
      </w:r>
    </w:p>
    <w:p w14:paraId="3AE4822D" w14:textId="77777777" w:rsidR="001D0187" w:rsidRDefault="001D0187" w:rsidP="001D0187">
      <w:pPr>
        <w:jc w:val="left"/>
      </w:pPr>
      <w:r>
        <w:t xml:space="preserve">                            </w:t>
      </w:r>
      <w:r>
        <w:rPr>
          <w:rFonts w:ascii="Calibri" w:eastAsia="Calibri" w:hAnsi="Calibri" w:cs="Times New Roman"/>
          <w:sz w:val="20"/>
          <w:szCs w:val="20"/>
        </w:rPr>
        <w:t>Nájemce</w:t>
      </w:r>
      <w:r>
        <w:t xml:space="preserve">                            </w:t>
      </w:r>
      <w:r>
        <w:rPr>
          <w:rFonts w:ascii="Calibri" w:eastAsia="Calibri" w:hAnsi="Calibri" w:cs="Times New Roman"/>
          <w:sz w:val="20"/>
          <w:szCs w:val="20"/>
        </w:rPr>
        <w:t xml:space="preserve">                                                     Pronajímatel</w:t>
      </w:r>
    </w:p>
    <w:p w14:paraId="6B62D7F4" w14:textId="77777777" w:rsidR="001D0187" w:rsidRDefault="001D0187" w:rsidP="001D0187">
      <w:pPr>
        <w:jc w:val="left"/>
        <w:rPr>
          <w:rFonts w:ascii="Calibri" w:eastAsia="Calibri" w:hAnsi="Calibri" w:cs="Times New Roman"/>
          <w:sz w:val="20"/>
          <w:szCs w:val="20"/>
        </w:rPr>
      </w:pPr>
    </w:p>
    <w:p w14:paraId="4A03A327" w14:textId="77777777" w:rsidR="001D0187" w:rsidRDefault="001D0187" w:rsidP="001D0187">
      <w:pPr>
        <w:jc w:val="center"/>
        <w:rPr>
          <w:rFonts w:ascii="Calibri" w:eastAsia="Calibri" w:hAnsi="Calibri" w:cs="Times New Roman"/>
          <w:sz w:val="20"/>
          <w:szCs w:val="20"/>
        </w:rPr>
      </w:pPr>
    </w:p>
    <w:p w14:paraId="0896DE39" w14:textId="77777777" w:rsidR="001D0187" w:rsidRDefault="001D0187" w:rsidP="001D0187">
      <w:pPr>
        <w:jc w:val="center"/>
        <w:rPr>
          <w:rFonts w:ascii="Calibri" w:eastAsia="Calibri" w:hAnsi="Calibri" w:cs="Times New Roman"/>
          <w:sz w:val="20"/>
          <w:szCs w:val="20"/>
        </w:rPr>
      </w:pPr>
    </w:p>
    <w:p w14:paraId="1ED7D606" w14:textId="77777777" w:rsidR="001D0187" w:rsidRDefault="001D0187" w:rsidP="001D0187">
      <w:pPr>
        <w:jc w:val="center"/>
        <w:rPr>
          <w:rFonts w:ascii="Calibri" w:eastAsia="Calibri" w:hAnsi="Calibri" w:cs="Times New Roman"/>
          <w:sz w:val="20"/>
          <w:szCs w:val="20"/>
        </w:rPr>
      </w:pPr>
    </w:p>
    <w:p w14:paraId="593A6930" w14:textId="77777777" w:rsidR="001D0187" w:rsidRDefault="001D0187" w:rsidP="001D0187">
      <w:pPr>
        <w:jc w:val="center"/>
        <w:rPr>
          <w:rFonts w:ascii="Calibri" w:eastAsia="Calibri" w:hAnsi="Calibri" w:cs="Times New Roman"/>
          <w:sz w:val="20"/>
          <w:szCs w:val="20"/>
        </w:rPr>
      </w:pPr>
    </w:p>
    <w:p w14:paraId="30E23B71" w14:textId="77777777" w:rsidR="001D0187" w:rsidRDefault="001D0187" w:rsidP="001D0187">
      <w:pPr>
        <w:jc w:val="center"/>
      </w:pPr>
    </w:p>
    <w:p w14:paraId="720F3231" w14:textId="77777777" w:rsidR="001D0187" w:rsidRDefault="001D0187" w:rsidP="001D0187">
      <w:pPr>
        <w:jc w:val="center"/>
        <w:rPr>
          <w:rFonts w:ascii="Calibri" w:eastAsia="Calibri" w:hAnsi="Calibri" w:cs="Times New Roman"/>
          <w:sz w:val="20"/>
          <w:szCs w:val="20"/>
        </w:rPr>
      </w:pPr>
    </w:p>
    <w:p w14:paraId="4C058154" w14:textId="77777777" w:rsidR="001D0187" w:rsidRDefault="001D0187" w:rsidP="001D0187">
      <w:pPr>
        <w:jc w:val="center"/>
        <w:rPr>
          <w:rFonts w:ascii="Calibri" w:eastAsia="Calibri" w:hAnsi="Calibri" w:cs="Times New Roman"/>
          <w:sz w:val="20"/>
          <w:szCs w:val="20"/>
        </w:rPr>
      </w:pPr>
    </w:p>
    <w:p w14:paraId="0A3F535A" w14:textId="77777777" w:rsidR="001D0187" w:rsidRDefault="001D0187" w:rsidP="001D0187">
      <w:pPr>
        <w:jc w:val="center"/>
        <w:rPr>
          <w:rFonts w:ascii="Calibri" w:eastAsia="Calibri" w:hAnsi="Calibri" w:cs="Times New Roman"/>
          <w:sz w:val="20"/>
          <w:szCs w:val="20"/>
        </w:rPr>
      </w:pPr>
    </w:p>
    <w:p w14:paraId="3A6D6363" w14:textId="77777777" w:rsidR="001D0187" w:rsidRDefault="001D0187" w:rsidP="001D0187">
      <w:pPr>
        <w:jc w:val="left"/>
        <w:rPr>
          <w:rFonts w:ascii="Calibri" w:eastAsia="Calibri" w:hAnsi="Calibri" w:cs="Times New Roman"/>
          <w:b/>
          <w:sz w:val="20"/>
          <w:szCs w:val="20"/>
        </w:rPr>
        <w:sectPr w:rsidR="001D0187">
          <w:type w:val="continuous"/>
          <w:pgSz w:w="11906" w:h="16838"/>
          <w:pgMar w:top="1417" w:right="1417" w:bottom="1417" w:left="1417" w:header="708" w:footer="1117" w:gutter="0"/>
          <w:cols w:space="708"/>
        </w:sectPr>
      </w:pPr>
    </w:p>
    <w:p w14:paraId="118A8F94" w14:textId="77777777" w:rsidR="001D0187" w:rsidRDefault="001D0187" w:rsidP="001D0187">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Pr>
          <w:rFonts w:ascii="Calibri" w:eastAsia="Times New Roman" w:hAnsi="Calibri" w:cs="Times New Roman"/>
          <w:b/>
          <w:bCs/>
          <w:caps/>
          <w:color w:val="005A9F"/>
          <w:sz w:val="36"/>
          <w:szCs w:val="28"/>
          <w:lang w:eastAsia="cs-CZ"/>
        </w:rPr>
        <w:lastRenderedPageBreak/>
        <w:t>P</w:t>
      </w:r>
      <w:r>
        <w:rPr>
          <w:rFonts w:ascii="Calibri" w:eastAsia="Times New Roman" w:hAnsi="Calibri" w:cs="Times New Roman"/>
          <w:b/>
          <w:bCs/>
          <w:color w:val="005A9F"/>
          <w:sz w:val="36"/>
          <w:szCs w:val="28"/>
          <w:lang w:eastAsia="cs-CZ"/>
        </w:rPr>
        <w:t>říloha č. 1</w:t>
      </w:r>
    </w:p>
    <w:p w14:paraId="0BB2E69A" w14:textId="77777777" w:rsidR="001D0187" w:rsidRDefault="001D0187" w:rsidP="001D0187">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Pr>
          <w:rFonts w:ascii="Calibri" w:eastAsia="Times New Roman" w:hAnsi="Calibri" w:cs="Times New Roman"/>
          <w:b/>
          <w:bCs/>
          <w:caps/>
          <w:color w:val="005A9F"/>
          <w:sz w:val="40"/>
          <w:szCs w:val="28"/>
          <w:lang w:eastAsia="cs-CZ"/>
        </w:rPr>
        <w:t>DROBNÉ OPRAVY BYTU</w:t>
      </w:r>
    </w:p>
    <w:p w14:paraId="69456082"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25944EC5"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2) Podle věcného vymezení se za drobné opravy považují tyto opravy a výměny:</w:t>
      </w:r>
    </w:p>
    <w:p w14:paraId="459E927D"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opravy jednotlivých vrchních částí podlah, opravy podlahových krytin a výměny prahů a lišt,</w:t>
      </w:r>
    </w:p>
    <w:p w14:paraId="6F66A4B7"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opravy jednotlivých částí oken a dveří a jejich součástí, kování a klik, výměny zámků včetně elektronického otevírání vstupních dveří bytu a opravy kování, klik, rolet a žaluzií u oken zasahujících do vnitřního prostoru bytu.</w:t>
      </w:r>
    </w:p>
    <w:p w14:paraId="4FCA027B"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13CE0838"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výměny uzavíracích ventilů u rozvodu plynu s výjimkou hlavního uzávěru pro byt,</w:t>
      </w:r>
    </w:p>
    <w:p w14:paraId="621E1685"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opravy uzavíracích armatur na rozvodech vody s výjimkou hlavního uzávěru pro byt, výměny sifonů a lapačů tuku,</w:t>
      </w:r>
    </w:p>
    <w:p w14:paraId="3752E5C7" w14:textId="77777777" w:rsidR="001D0187" w:rsidRDefault="001D0187" w:rsidP="001D0187">
      <w:pPr>
        <w:numPr>
          <w:ilvl w:val="0"/>
          <w:numId w:val="3"/>
        </w:numPr>
        <w:spacing w:after="240"/>
        <w:ind w:left="567" w:hanging="284"/>
        <w:rPr>
          <w:rFonts w:ascii="Calibri" w:eastAsia="Calibri" w:hAnsi="Calibri" w:cs="Times New Roman"/>
          <w:color w:val="000000"/>
          <w:sz w:val="20"/>
          <w:szCs w:val="20"/>
        </w:rPr>
      </w:pPr>
      <w:r>
        <w:rPr>
          <w:rFonts w:ascii="Calibri" w:eastAsia="Calibri" w:hAnsi="Calibri" w:cs="Times New Roman"/>
          <w:color w:val="000000"/>
          <w:sz w:val="20"/>
          <w:szCs w:val="20"/>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245C7A2"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 xml:space="preserve">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 včetně kouřovodu, kotlů etážového topení na elektřinu, pevná, kapalná a plynná paliva včetně kouřovodů </w:t>
      </w:r>
      <w:proofErr w:type="gramStart"/>
      <w:r>
        <w:rPr>
          <w:rFonts w:ascii="Calibri" w:eastAsia="Calibri" w:hAnsi="Calibri" w:cs="Times New Roman"/>
          <w:color w:val="000000"/>
          <w:sz w:val="20"/>
          <w:szCs w:val="20"/>
        </w:rPr>
        <w:t>a  uzavíracích</w:t>
      </w:r>
      <w:proofErr w:type="gramEnd"/>
      <w:r>
        <w:rPr>
          <w:rFonts w:ascii="Calibri" w:eastAsia="Calibri" w:hAnsi="Calibri" w:cs="Times New Roman"/>
          <w:color w:val="000000"/>
          <w:sz w:val="20"/>
          <w:szCs w:val="20"/>
        </w:rPr>
        <w:t xml:space="preserve"> a regulačních armatur a ovládacích termostatů etážového topení; za drobné opravy se považují i opravy radiátorů a rozvodů ústředního vytápění.</w:t>
      </w:r>
    </w:p>
    <w:p w14:paraId="4A083824"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4) Za drobné opravy se považují rovněž výměny drobných součástí předmětů uvedených v předchozích odstavcích.</w:t>
      </w:r>
    </w:p>
    <w:p w14:paraId="385E8FF4"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 3 a 4, jestliže náklad na jednu opravu nepřesáhne částku 1000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1EC54A13"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6) Součet nákladů za drobné opravy uvedené v odstavcích 2 až 5 nesmí přesáhnout částku 100 Kč/m</w:t>
      </w:r>
      <w:r>
        <w:rPr>
          <w:rFonts w:ascii="Calibri" w:eastAsia="Calibri" w:hAnsi="Calibri" w:cs="Times New Roman"/>
          <w:color w:val="000000"/>
          <w:sz w:val="20"/>
          <w:szCs w:val="20"/>
          <w:vertAlign w:val="superscript"/>
        </w:rPr>
        <w:t>2</w:t>
      </w:r>
      <w:r>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11B78ADB"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49569FC4" w14:textId="77777777" w:rsidR="001D0187" w:rsidRDefault="001D0187" w:rsidP="001D0187">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Pr>
          <w:rFonts w:ascii="Calibri" w:eastAsia="Times New Roman" w:hAnsi="Calibri" w:cs="Times New Roman"/>
          <w:b/>
          <w:bCs/>
          <w:caps/>
          <w:color w:val="005A9F"/>
          <w:sz w:val="40"/>
          <w:szCs w:val="28"/>
          <w:lang w:eastAsia="cs-CZ"/>
        </w:rPr>
        <w:lastRenderedPageBreak/>
        <w:t>Náklady spojené s běžnou údržbou bytU</w:t>
      </w:r>
    </w:p>
    <w:p w14:paraId="1B3C027D" w14:textId="77777777" w:rsidR="001D0187" w:rsidRDefault="001D0187" w:rsidP="001D0187">
      <w:pPr>
        <w:rPr>
          <w:rFonts w:ascii="Calibri" w:eastAsia="Calibri" w:hAnsi="Calibri" w:cs="Times New Roman"/>
          <w:color w:val="000000"/>
          <w:sz w:val="20"/>
          <w:szCs w:val="20"/>
        </w:rPr>
      </w:pPr>
      <w:r>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 kontroly a čištění předmětů uvedených shora (plynových spotřebičů apod.), malování včetně opravy omítek, tapetování a čištění podlah včetně podlahových krytin, obkladů stěn, čištění zanesených odpadu až ke svislým rozvodům a vnitřní nátěry.</w:t>
      </w:r>
    </w:p>
    <w:p w14:paraId="6838388B" w14:textId="77777777" w:rsidR="001D0187" w:rsidRDefault="001D0187" w:rsidP="001D0187"/>
    <w:p w14:paraId="4FDE231B" w14:textId="77777777" w:rsidR="001D0187" w:rsidRDefault="001D0187" w:rsidP="001D0187"/>
    <w:p w14:paraId="17F5B141" w14:textId="77777777" w:rsidR="001D0187" w:rsidRDefault="001D0187" w:rsidP="001D0187"/>
    <w:p w14:paraId="479DDA69" w14:textId="77777777" w:rsidR="001D0187" w:rsidRDefault="001D0187" w:rsidP="001D0187"/>
    <w:p w14:paraId="0DD0D925" w14:textId="77777777" w:rsidR="001D0187" w:rsidRDefault="001D0187" w:rsidP="001D0187"/>
    <w:p w14:paraId="2027229B" w14:textId="77777777" w:rsidR="001D0187" w:rsidRDefault="001D0187" w:rsidP="001D0187"/>
    <w:p w14:paraId="186756B3" w14:textId="77777777" w:rsidR="001D0187" w:rsidRDefault="001D0187" w:rsidP="001D0187"/>
    <w:p w14:paraId="4F75C1F4" w14:textId="77777777" w:rsidR="001D0187" w:rsidRDefault="001D0187" w:rsidP="001D0187"/>
    <w:p w14:paraId="739E9EEE" w14:textId="77777777" w:rsidR="001D0187" w:rsidRDefault="001D0187" w:rsidP="001D0187">
      <w:pPr>
        <w:spacing w:line="360" w:lineRule="auto"/>
      </w:pPr>
    </w:p>
    <w:bookmarkEnd w:id="0"/>
    <w:p w14:paraId="274402E1" w14:textId="77777777" w:rsidR="001D0187" w:rsidRDefault="001D0187" w:rsidP="001D0187">
      <w:pPr>
        <w:spacing w:line="360" w:lineRule="auto"/>
      </w:pPr>
    </w:p>
    <w:p w14:paraId="78BC0CAA" w14:textId="77777777" w:rsidR="005C1578" w:rsidRDefault="005C1578"/>
    <w:sectPr w:rsidR="005C1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lvl>
    <w:lvl w:ilvl="1">
      <w:start w:val="1"/>
      <w:numFmt w:val="decimal"/>
      <w:pStyle w:val="Odstavec"/>
      <w:lvlText w:val="%1.%2."/>
      <w:lvlJc w:val="left"/>
      <w:pPr>
        <w:tabs>
          <w:tab w:val="num" w:pos="482"/>
        </w:tabs>
        <w:ind w:left="482" w:hanging="482"/>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1180700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13447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8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77"/>
    <w:rsid w:val="001D0187"/>
    <w:rsid w:val="001D4E66"/>
    <w:rsid w:val="003D3F77"/>
    <w:rsid w:val="005C1578"/>
    <w:rsid w:val="00975A0E"/>
    <w:rsid w:val="00C7340C"/>
    <w:rsid w:val="00FA3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834C"/>
  <w15:chartTrackingRefBased/>
  <w15:docId w15:val="{14B77819-46AC-4408-A642-1E7D6743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0187"/>
    <w:pPr>
      <w:spacing w:after="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stavecChar">
    <w:name w:val="Odstavec Char"/>
    <w:link w:val="Odstavec"/>
    <w:locked/>
    <w:rsid w:val="001D0187"/>
    <w:rPr>
      <w:rFonts w:ascii="Calibri" w:eastAsia="Calibri" w:hAnsi="Calibri" w:cs="Calibri"/>
      <w:color w:val="000000"/>
      <w:sz w:val="20"/>
      <w:szCs w:val="20"/>
    </w:rPr>
  </w:style>
  <w:style w:type="paragraph" w:customStyle="1" w:styleId="Odstavec">
    <w:name w:val="Odstavec"/>
    <w:basedOn w:val="Normln"/>
    <w:link w:val="OdstavecChar"/>
    <w:qFormat/>
    <w:rsid w:val="001D0187"/>
    <w:pPr>
      <w:numPr>
        <w:ilvl w:val="1"/>
        <w:numId w:val="1"/>
      </w:numPr>
      <w:spacing w:before="240" w:after="120"/>
    </w:pPr>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53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3360</Words>
  <Characters>19829</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Horní Dubenky</dc:creator>
  <cp:keywords/>
  <dc:description/>
  <cp:lastModifiedBy>Obec Horní Dubenky</cp:lastModifiedBy>
  <cp:revision>2</cp:revision>
  <dcterms:created xsi:type="dcterms:W3CDTF">2023-06-20T06:31:00Z</dcterms:created>
  <dcterms:modified xsi:type="dcterms:W3CDTF">2023-06-20T06:31:00Z</dcterms:modified>
</cp:coreProperties>
</file>