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5570855</wp:posOffset>
                </wp:positionH>
                <wp:positionV relativeFrom="paragraph">
                  <wp:posOffset>12700</wp:posOffset>
                </wp:positionV>
                <wp:extent cx="1835150" cy="70104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35150" cy="701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Magistrál města Ji h lávy smlouva zaevidována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pod č.: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8.64999999999998pt;margin-top:1.pt;width:144.5pt;height:55.20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Magistrál města Ji h lávy smlouva zaevidována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pod č.: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209550</wp:posOffset>
            </wp:positionH>
            <wp:positionV relativeFrom="paragraph">
              <wp:posOffset>316865</wp:posOffset>
            </wp:positionV>
            <wp:extent cx="762000" cy="75565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62000" cy="7556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SMLOUVA</w:t>
        <w:br/>
        <w:t>o společném zadávání veřejných zadavatelů</w:t>
      </w:r>
      <w:bookmarkEnd w:id="0"/>
      <w:bookmarkEnd w:id="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uzavřená v souladu s usnesením Rady města Jihlavy č. 811/23-RM ze dne 25. 5. 2023</w:t>
        <w:br/>
        <w:t xml:space="preserve">(dále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„smlouva“)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Krajská správa a údržba silnic Vysočiny, příspěvková organizace</w:t>
      </w:r>
    </w:p>
    <w:tbl>
      <w:tblPr>
        <w:tblOverlap w:val="never"/>
        <w:jc w:val="left"/>
        <w:tblLayout w:type="fixed"/>
      </w:tblPr>
      <w:tblGrid>
        <w:gridCol w:w="1858"/>
        <w:gridCol w:w="4637"/>
      </w:tblGrid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Datová schránka:</w:t>
        <w:tab/>
        <w:t>3qdnp8g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„zadavatel č. 1“)</w:t>
      </w:r>
    </w:p>
    <w:p>
      <w:pPr>
        <w:widowControl w:val="0"/>
        <w:spacing w:after="19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Jihlava</w:t>
      </w:r>
    </w:p>
    <w:tbl>
      <w:tblPr>
        <w:tblOverlap w:val="never"/>
        <w:jc w:val="center"/>
        <w:tblLayout w:type="fixed"/>
      </w:tblPr>
      <w:tblGrid>
        <w:gridCol w:w="2050"/>
        <w:gridCol w:w="8107"/>
      </w:tblGrid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Masarykovo náměstí 97/1, 586 01 Jihlava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zastoupené: 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Mgr. Petrem Ryškou, primátorem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002 86 010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„zadavatel č. 2“)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(společně také 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„zadavatelé“)</w:t>
      </w:r>
    </w:p>
    <w:p>
      <w:pPr>
        <w:widowControl w:val="0"/>
        <w:spacing w:after="19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uzavírají v souladu s § 7 zákona č. 134/2016 Sb., o zadávání veřejných zakázek, v platném znění (dále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„ZZVZ“)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tuto smlouvu: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smlouvy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5" w:val="left"/>
        </w:tabs>
        <w:bidi w:val="0"/>
        <w:spacing w:before="0" w:after="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Předmětem této smlouvy je úprava vzájemných práv a povinností zadavatelů k třetím osobám a k sobě navzájem v souvislosti se společným zadáváním veřejné zakázky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„III/03824 Jihlava, ul. R. Havelky, Pražská“,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pod dílčím názvem zadavatele č. 2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„Propojení cyklostezek, zastávky MHD a přechody pro chodce na ulici Romana Havelky“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jejímž předmětem je oprava stávající komunikace a mostu ev. č. 03824-4. Současně je předmětem této zakázky také úprava a vybudování dělících ostrůvků, rekonstrukce zastávek MHD, stavba cyklostezky a veřejného osvětlení (dále též jako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„veřejná zakázka“).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5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této smlouvy je dále úprava vzájemných práv a povinností zadavatelů v souvislosti se zajištěním technického dozoru stavebníka a koordinátora bezpečnosti a ochrany zdraví při práci na staveništi při realizaci veřejné zakázky.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Podmínky plnění předmětu smlouvy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5" w:val="left"/>
        </w:tabs>
        <w:bidi w:val="0"/>
        <w:spacing w:before="0" w:after="10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na financování veřejné zakázky se budou podílet v rozsahu prací vymezených projektovou dokumentací pro provedení stavby, včetně soupisu prací vypracovaného pro tyto účely pro jednotlivé objekty a zároveň pro jednotlivé investory, kterými budou zadavatel č. 1 a zadavatel č. 2 dle samostatné smlouvy o dílo uzavřené s účastníkem vybraným na základě zadávacího řízení pro příslušnou část veřejné zakázky.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5" w:val="left"/>
        </w:tabs>
        <w:bidi w:val="0"/>
        <w:spacing w:before="0" w:after="34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Veřejná zakázka je veřejnou zakázkou na stavební práce a bude zadávána jako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podlimitní veřejná zakázka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stavební práce dle § 14 odst. 3 ZZVZ. Předmět veřejné zakázky je rozdělen na jednotlivé stavební objekty dle projektové dokumentace ve stupni projektové dokumentace pro provedení stavby (dále též jako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„PDPS“): „III/03824 Jihlava, ul. R. Havelky, Pražská“,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 Projekční kancelář PRIS spol. s r. o., se sídlem Osová 717/20, 625 00 Brno, IČO: 469 74 806, a to v členění: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 Etapa: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10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a) Zadavatel č. 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jako investor stavebních objektů:</w:t>
      </w:r>
    </w:p>
    <w:tbl>
      <w:tblPr>
        <w:tblOverlap w:val="never"/>
        <w:jc w:val="center"/>
        <w:tblLayout w:type="fixed"/>
      </w:tblPr>
      <w:tblGrid>
        <w:gridCol w:w="1718"/>
        <w:gridCol w:w="5606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Všeobecné konstrukce a práce - v poměru 98 %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102.1.1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Silnice km 0,245-0,756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102.1.3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Silnice km 0,245 - 0,756 (obnova povrchu Pražského mostu)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182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Dopravně inženýrské opatření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190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Trvalé dopravní značení</w:t>
            </w:r>
          </w:p>
        </w:tc>
      </w:tr>
    </w:tbl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 Zadavatel č. 2 jako investor stavebních objektů:</w:t>
      </w:r>
    </w:p>
    <w:tbl>
      <w:tblPr>
        <w:tblOverlap w:val="never"/>
        <w:jc w:val="center"/>
        <w:tblLayout w:type="fixed"/>
      </w:tblPr>
      <w:tblGrid>
        <w:gridCol w:w="1718"/>
        <w:gridCol w:w="5602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Všeobecné konstrukce a práce - v poměru 2%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102.1.2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Silnice km 0,245 - 0,756 (rozšíření komunikace)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102.2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Dělící ostrůvek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102.3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Autobusová zastávka Romana Havelky</w:t>
            </w:r>
          </w:p>
        </w:tc>
      </w:tr>
    </w:tbl>
    <w:p>
      <w:pPr>
        <w:widowControl w:val="0"/>
        <w:spacing w:after="43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 Etapa: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15" w:val="left"/>
        </w:tabs>
        <w:bidi w:val="0"/>
        <w:spacing w:before="0" w:line="240" w:lineRule="auto"/>
        <w:ind w:left="0" w:right="0" w:firstLine="10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1 jako investor stavebních objektů: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816" w:val="left"/>
        </w:tabs>
        <w:bidi w:val="0"/>
        <w:spacing w:before="0" w:line="240" w:lineRule="auto"/>
        <w:ind w:left="1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02</w:t>
        <w:tab/>
        <w:t>Všeobecné konstrukce a práce - poměr bude upřesněn dodatkem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816" w:val="left"/>
        </w:tabs>
        <w:bidi w:val="0"/>
        <w:spacing w:before="0" w:line="240" w:lineRule="auto"/>
        <w:ind w:left="1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103.1</w:t>
        <w:tab/>
        <w:t>Silnice km 0,880-1,178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816" w:val="left"/>
        </w:tabs>
        <w:bidi w:val="0"/>
        <w:spacing w:before="0" w:line="240" w:lineRule="auto"/>
        <w:ind w:left="1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182</w:t>
        <w:tab/>
        <w:t>Dopravně inženýrské opatření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816" w:val="left"/>
        </w:tabs>
        <w:bidi w:val="0"/>
        <w:spacing w:before="0" w:line="240" w:lineRule="auto"/>
        <w:ind w:left="1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190</w:t>
        <w:tab/>
        <w:t>Trvalé dopravní značení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816" w:val="left"/>
        </w:tabs>
        <w:bidi w:val="0"/>
        <w:spacing w:before="0" w:after="220" w:line="240" w:lineRule="auto"/>
        <w:ind w:left="1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201.2</w:t>
        <w:tab/>
        <w:t>Most ev. č. 03824-4 (pravá část mostu)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15" w:val="left"/>
        </w:tabs>
        <w:bidi w:val="0"/>
        <w:spacing w:before="0" w:line="240" w:lineRule="auto"/>
        <w:ind w:left="0" w:right="0" w:firstLine="10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 č. 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jako investor stavebních objektů: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816" w:val="left"/>
        </w:tabs>
        <w:bidi w:val="0"/>
        <w:spacing w:before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02</w:t>
        <w:tab/>
        <w:t>Všeobecné konstrukce a práce - poměr bude upřesněn dodatkem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816" w:val="left"/>
        </w:tabs>
        <w:bidi w:val="0"/>
        <w:spacing w:before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103.2</w:t>
        <w:tab/>
        <w:t>Dělící ostrůvky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816" w:val="left"/>
        </w:tabs>
        <w:bidi w:val="0"/>
        <w:spacing w:before="0" w:line="240" w:lineRule="auto"/>
        <w:ind w:left="1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104</w:t>
        <w:tab/>
        <w:t>Stezka pro chodce a cyklisty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816" w:val="left"/>
        </w:tabs>
        <w:bidi w:val="0"/>
        <w:spacing w:before="0" w:line="240" w:lineRule="auto"/>
        <w:ind w:left="1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401</w:t>
        <w:tab/>
        <w:t>Veřejné osvětlení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816" w:val="left"/>
          <w:tab w:pos="6206" w:val="right"/>
        </w:tabs>
        <w:bidi w:val="0"/>
        <w:spacing w:before="0" w:after="220" w:line="240" w:lineRule="auto"/>
        <w:ind w:left="1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201.1</w:t>
        <w:tab/>
        <w:t>Most ev. č. 03824-4 (levá</w:t>
        <w:tab/>
        <w:t>část mostu)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8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Koordinátora BOZP, TDS a AD zajistí zadavatel č. 1 v rozsahu všech stavebních objektů v rámci realizace veřejné zakázky (bez ohledu na to, kdo je investorem stavebních objektů).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8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Veřejná zakázka bude zadávaná jako jedna veřejná zakázka nerozdělená na části v jednom zadávacím řízení ve smyslu § 35 ZZVZ. Vybraný dodavatel v zadávacím řízení následně uzavře dvě smlouvy o dílo - tj. vybraný dodavatel uzavře s každým zadavatelem samostatnou smlouvu o dílo dle rozdělení veřejné zakázky uvedeného v odst. 3.2. této smlouvy. Tam, kde je dále ve smlouvě uvedeno dělení plnění veřejné zakázky na části, se rozumí pouze dělení na dílčí plnění podle zadavatelů.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8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ve výzvě, případně oznámení o zahájení zadávacího řízení a v základních úPdPajích Zadávací dokumentace bude stanovena povinnost podat nabídku na celý předmět veřejné zakázky, který bude mimo jiné obsahovat dva samostatné návrhy smluv o dílo se zadavatelem č. 1 a zadavatelem č. 2, a to v členění dle čl. 3. odst. 3.2. část I. a II.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8" w:val="left"/>
        </w:tabs>
        <w:bidi w:val="0"/>
        <w:spacing w:before="0" w:line="240" w:lineRule="auto"/>
        <w:ind w:left="580" w:right="0" w:hanging="580"/>
        <w:jc w:val="both"/>
        <w:sectPr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pageBottom"/>
            <w:numFmt w:val="decimal"/>
            <w:numRestart w:val="continuous"/>
          </w:footnotePr>
          <w:pgSz w:w="11900" w:h="16840"/>
          <w:pgMar w:top="1091" w:left="604" w:right="1106" w:bottom="1493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zadavatelskou činnost a administraci veřejné zakázky (vyjma uzavírání smluv a jejich uveřejnění v registru smluv a úkonů, které jsou v ZZVZ vyhrazeny každému zadavateli samostatně) v tomto zadávacím řízení bude vykonávat zadavatel č. 1. Místem pro podání nabídek bude elektronický nástroj zadavatele č. 1 - E-ZAK. Místem konání jednání hodnotící komise bude sídlo zadavatele č. 1. Zadavatel č. 1 bude při své zadavatelské činnosti postupovat dle ZZVZ, dle platných Pravidel Rady Kraje Vysočina pro zadávání veřejných zakázek, dle Pravidel pro zadávání veřejných zakázek statutárního města Jihlavy a této smlouvy. V případě, že dokumenty uvedené v předchozí větě upravují určitou otázku odlišně, zadavatelé se zavazují vstoupit do jednání za účelem vyřešení sporné otázky.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4" w:val="left"/>
        </w:tabs>
        <w:bidi w:val="0"/>
        <w:spacing w:before="0" w:after="10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rozhodnutí o výběru nejvhodnější nabídky učiní v souladu se ZZVZ každý zadavatel samostatně. Oznámení o výběru nejvhodnější nabídky, jakož i veškeré další písemnosti spojené se zadávacím řízením vydá a doručí uchazečům zadavatel č. 1.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4" w:val="left"/>
        </w:tabs>
        <w:bidi w:val="0"/>
        <w:spacing w:before="0" w:after="10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1 uzavře s vybraným dodavatelem samostatnou smlouvu o dílo dle projektové dokumentace ve stupni PDPS „III/03824 Jihlava, ul. R. Havelky, Pražská“, jejímž předmětem bude zhotovení stavebních objektů: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07" w:val="left"/>
        </w:tabs>
        <w:bidi w:val="0"/>
        <w:spacing w:before="0" w:after="100" w:line="240" w:lineRule="auto"/>
        <w:ind w:left="0" w:right="0" w:firstLine="580"/>
        <w:jc w:val="both"/>
      </w:pPr>
      <w: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1036955</wp:posOffset>
                </wp:positionH>
                <wp:positionV relativeFrom="margin">
                  <wp:posOffset>1249680</wp:posOffset>
                </wp:positionV>
                <wp:extent cx="1118870" cy="173990"/>
                <wp:wrapSquare wrapText="righ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887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3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I. Etapa:</w:t>
                              <w:tab/>
                              <w:t>SO 02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81.650000000000006pt;margin-top:98.400000000000006pt;width:88.099999999999994pt;height:13.699999999999999pt;z-index:-125829372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3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I. Etapa:</w:t>
                        <w:tab/>
                        <w:t>SO 02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rozpočtu PDPS „III/03824 Jihlava, ul. R. Havelky, Pražská“</w:t>
      </w:r>
    </w:p>
    <w:tbl>
      <w:tblPr>
        <w:tblOverlap w:val="never"/>
        <w:jc w:val="left"/>
        <w:tblLayout w:type="fixed"/>
      </w:tblPr>
      <w:tblGrid>
        <w:gridCol w:w="1229"/>
        <w:gridCol w:w="5645"/>
      </w:tblGrid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6874" w:h="1306" w:vSpace="379" w:wrap="notBeside" w:vAnchor="text" w:hAnchor="text" w:x="2142" w:y="38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102.1.1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6874" w:h="1306" w:vSpace="379" w:wrap="notBeside" w:vAnchor="text" w:hAnchor="text" w:x="2142" w:y="38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Silnice km 0,245-0,756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6874" w:h="1306" w:vSpace="379" w:wrap="notBeside" w:vAnchor="text" w:hAnchor="text" w:x="2142" w:y="38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102.1.3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6874" w:h="1306" w:vSpace="379" w:wrap="notBeside" w:vAnchor="text" w:hAnchor="text" w:x="2142" w:y="38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Silnice km 0,245 - 0,756 (obnova povrchu Pražského mostu)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6874" w:h="1306" w:vSpace="379" w:wrap="notBeside" w:vAnchor="text" w:hAnchor="text" w:x="2142" w:y="38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182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6874" w:h="1306" w:vSpace="379" w:wrap="notBeside" w:vAnchor="text" w:hAnchor="text" w:x="2142" w:y="38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Dopravně inženýrské opatření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6874" w:h="1306" w:vSpace="379" w:wrap="notBeside" w:vAnchor="text" w:hAnchor="text" w:x="2142" w:y="38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190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6874" w:h="1306" w:vSpace="379" w:wrap="notBeside" w:vAnchor="text" w:hAnchor="text" w:x="2142" w:y="38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Trvalé dopravní značení</w:t>
            </w:r>
          </w:p>
        </w:tc>
      </w:tr>
    </w:tbl>
    <w:p>
      <w:pPr>
        <w:pStyle w:val="Style13"/>
        <w:keepNext w:val="0"/>
        <w:keepLines w:val="0"/>
        <w:framePr w:w="4373" w:h="274" w:hSpace="1123" w:wrap="notBeside" w:vAnchor="text" w:hAnchor="text" w:x="355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Všeobecné konstrukce a práce - v poměru 98 %</w:t>
      </w:r>
    </w:p>
    <w:p>
      <w:pPr>
        <w:widowControl w:val="0"/>
        <w:spacing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  <w:sectPr>
          <w:headerReference w:type="default" r:id="rId11"/>
          <w:footerReference w:type="default" r:id="rId12"/>
          <w:footnotePr>
            <w:pos w:val="pageBottom"/>
            <w:numFmt w:val="decimal"/>
            <w:numRestart w:val="continuous"/>
          </w:footnotePr>
          <w:pgSz w:w="11900" w:h="16840"/>
          <w:pgMar w:top="1091" w:left="604" w:right="1106" w:bottom="1493" w:header="663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1036955</wp:posOffset>
                </wp:positionH>
                <wp:positionV relativeFrom="paragraph">
                  <wp:posOffset>12700</wp:posOffset>
                </wp:positionV>
                <wp:extent cx="1115695" cy="176530"/>
                <wp:wrapSquare wrapText="right"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5695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II. Etapa: SO 02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81.650000000000006pt;margin-top:1.pt;width:87.849999999999994pt;height:13.9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II. Etapa: SO 02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891030" simplePos="0" relativeHeight="125829385" behindDoc="0" locked="0" layoutInCell="1" allowOverlap="1">
                <wp:simplePos x="0" y="0"/>
                <wp:positionH relativeFrom="page">
                  <wp:posOffset>1756410</wp:posOffset>
                </wp:positionH>
                <wp:positionV relativeFrom="margin">
                  <wp:posOffset>2807335</wp:posOffset>
                </wp:positionV>
                <wp:extent cx="548640" cy="170815"/>
                <wp:wrapTopAndBottom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864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 103.1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138.30000000000001pt;margin-top:221.05000000000001pt;width:43.200000000000003pt;height:13.449999999999999pt;z-index:-125829368;mso-wrap-distance-left:9.pt;mso-wrap-distance-right:148.9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103.1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016635" distR="113665" simplePos="0" relativeHeight="125829387" behindDoc="0" locked="0" layoutInCell="1" allowOverlap="1">
                <wp:simplePos x="0" y="0"/>
                <wp:positionH relativeFrom="page">
                  <wp:posOffset>2658745</wp:posOffset>
                </wp:positionH>
                <wp:positionV relativeFrom="margin">
                  <wp:posOffset>2807335</wp:posOffset>
                </wp:positionV>
                <wp:extent cx="1423670" cy="170815"/>
                <wp:wrapTopAndBottom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367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Silnice km 0,880 - 1,178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209.34999999999999pt;margin-top:221.05000000000001pt;width:112.09999999999999pt;height:13.449999999999999pt;z-index:-125829366;mso-wrap-distance-left:80.049999999999997pt;mso-wrap-distance-right:8.949999999999999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Silnice km 0,880 - 1,178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Všeobecné konstrukce a práce - poměr bude upřesněn dodatkem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25" w:val="left"/>
        </w:tabs>
        <w:bidi w:val="0"/>
        <w:spacing w:before="0" w:after="100" w:line="240" w:lineRule="auto"/>
        <w:ind w:left="2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182</w:t>
        <w:tab/>
        <w:t>Dopravně inženýrské opatření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25" w:val="left"/>
        </w:tabs>
        <w:bidi w:val="0"/>
        <w:spacing w:before="0" w:after="100" w:line="240" w:lineRule="auto"/>
        <w:ind w:left="2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190</w:t>
        <w:tab/>
        <w:t>Trvalé dopravní značení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2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201.2 Most ev. č. 03824-4 (pravá část mostu)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4" w:val="left"/>
        </w:tabs>
        <w:bidi w:val="0"/>
        <w:spacing w:before="0" w:after="100" w:line="240" w:lineRule="auto"/>
        <w:ind w:left="580" w:right="0" w:hanging="5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 č. 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uzavře s vybraným dodavatelem samostatnou smlouvu o dílo dle projektové dokumentace ve stupni PDPS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„II1/03824 Jihlava, ul. R. Havelky, Pražská“,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jejímž předmětem bude zhotovení stavebního objektu: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dle rozpočtu PDPS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„III/03824 Jihlava, ul. R. Havelky, Pražská“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180"/>
        <w:jc w:val="left"/>
      </w:pPr>
      <w:r>
        <mc:AlternateContent>
          <mc:Choice Requires="wps">
            <w:drawing>
              <wp:anchor distT="0" distB="0" distL="114300" distR="114300" simplePos="0" relativeHeight="125829389" behindDoc="0" locked="0" layoutInCell="1" allowOverlap="1">
                <wp:simplePos x="0" y="0"/>
                <wp:positionH relativeFrom="page">
                  <wp:posOffset>1036955</wp:posOffset>
                </wp:positionH>
                <wp:positionV relativeFrom="paragraph">
                  <wp:posOffset>12700</wp:posOffset>
                </wp:positionV>
                <wp:extent cx="1390015" cy="615950"/>
                <wp:wrapSquare wrapText="right"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0015" cy="615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I. Etapa: SO 02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114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 102.1.2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114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 102.2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81.650000000000006pt;margin-top:1.pt;width:109.45pt;height:48.5pt;z-index:-12582936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I. Etapa: SO 02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11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102.1.2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11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102.2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Všeobecné konstrukce a práce - v poměru 2%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Silnice km 0,245 - 0,756 (rozšíření komunikace)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Dělící ostrůvek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2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102.3 Autobusová zastávka Romana Havelky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580"/>
        <w:jc w:val="left"/>
      </w:pPr>
      <w:r>
        <mc:AlternateContent>
          <mc:Choice Requires="wps">
            <w:drawing>
              <wp:anchor distT="0" distB="0" distL="114300" distR="114300" simplePos="0" relativeHeight="125829391" behindDoc="0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12700</wp:posOffset>
                </wp:positionV>
                <wp:extent cx="1060450" cy="173990"/>
                <wp:wrapSquare wrapText="right"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045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II. Etapa: SO 02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85.5pt;margin-top:1.pt;width:83.5pt;height:13.699999999999999pt;z-index:-12582936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II. Etapa: SO 02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Všeobecné konstrukce a práce - poměr bude upřesněn dodatkem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1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103.2 Dělící ostrůvky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25" w:val="left"/>
        </w:tabs>
        <w:bidi w:val="0"/>
        <w:spacing w:before="0" w:after="100" w:line="240" w:lineRule="auto"/>
        <w:ind w:left="21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104</w:t>
        <w:tab/>
        <w:t>Stezka pro chodce a cyklisty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25" w:val="left"/>
        </w:tabs>
        <w:bidi w:val="0"/>
        <w:spacing w:before="0" w:after="100" w:line="240" w:lineRule="auto"/>
        <w:ind w:left="21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401</w:t>
        <w:tab/>
        <w:t>Veřejné osvětlení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2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201.1 Most ev. č. 03824-4 (levá část mostu)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22" w:val="left"/>
        </w:tabs>
        <w:bidi w:val="0"/>
        <w:spacing w:before="0" w:after="10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nastanou důvody ke zrušení zadávacího řízení, třebaže by se dotýkaly pouze jedné nebo více částí veřejné zakázky v členění dle této smlouvy, vydá na základě rozhodnutí obou zadavatelů oznámení o zrušení veřejné zakázky zadavatel č. 1.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22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otevírání nabídek provede zadavatel č. 1.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22" w:val="left"/>
        </w:tabs>
        <w:bidi w:val="0"/>
        <w:spacing w:before="0" w:after="10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Zadavatelé se dohodli, že k provádění úkonů souvisejících s hodnocením nabídek, posouzením mimořádně nízké nabídkové ceny a posouzením splnění podmínek účasti v zadávacím řízení veřejné zakázky bude jmenována hodnotící komise (dále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„komise“),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jejíž úkony v zadávacím řízení se považují za úkony zadavatele (resp. zadavatelů). Práva a povinnosti členů komise budou součástí jmenování této komise. Zadavatelé se dohodli na následujícím složení hodnotící komise: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800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1:</w:t>
        <w:tab/>
        <w:t>3 členové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800" w:val="left"/>
        </w:tabs>
        <w:bidi w:val="0"/>
        <w:spacing w:before="0" w:after="10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2:</w:t>
        <w:tab/>
        <w:t>2 členové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22" w:val="left"/>
        </w:tabs>
        <w:bidi w:val="0"/>
        <w:spacing w:before="0" w:after="10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1 jmenuje na základě nominace jednotlivými zadavateli ve výše uvedeném poměru členy hodnotící komise a jejich náhradníky.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82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2 je povinen: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12" w:val="left"/>
        </w:tabs>
        <w:bidi w:val="0"/>
        <w:spacing w:before="0" w:line="240" w:lineRule="auto"/>
        <w:ind w:left="100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spolupracovat se zadavatelem č. 1 při sestavení všech součástí zadávací dokumentace (zejména obchodní podmínky, kvalifikace a způsob hodnocení) v souladu s relevantními právními předpisy s odpovědným pracovníkem zadavatele č. 1 a v dostatečném předstihu před zahájením zadávacího řízení předat tyto podklady zadavateli č. 1;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12" w:val="left"/>
        </w:tabs>
        <w:bidi w:val="0"/>
        <w:spacing w:before="0" w:line="240" w:lineRule="auto"/>
        <w:ind w:left="100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spolupracovat se zadavatelem č. 1 při zpracovávání vysvětlení zadávací dokumentace k veřejné zakázce a při vypořádávání námitek či návrhů podaných v rámci zadávacího řízení veřejné zakázky;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12" w:val="left"/>
        </w:tabs>
        <w:bidi w:val="0"/>
        <w:spacing w:before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nominovat své zástupce (členy a jejich náhradníky) do hodnotící komise;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12" w:val="left"/>
        </w:tabs>
        <w:bidi w:val="0"/>
        <w:spacing w:before="0" w:line="240" w:lineRule="auto"/>
        <w:ind w:left="1000" w:right="0" w:hanging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k termínu zahájení zadávacího řízení informovat zadavatele č. 1 o všech podstatných skutečnostech majících vliv na průběh zadávacího řízení a jeho zákonnost;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12" w:val="left"/>
        </w:tabs>
        <w:bidi w:val="0"/>
        <w:spacing w:before="0" w:line="240" w:lineRule="auto"/>
        <w:ind w:left="1000" w:right="0" w:hanging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neprovede-li zadavatel č. 2 nominaci členů a náhradníků členů komise do termínu zahájení zadávacího řízení, provede zadavatel č. 1 jmenování hodnotící komise, v plném rozsahu, dle vlastní nominace;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12" w:val="left"/>
        </w:tabs>
        <w:bidi w:val="0"/>
        <w:spacing w:before="0" w:line="240" w:lineRule="auto"/>
        <w:ind w:left="100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neprodleně sdělit zadavateli č. 1 přijetí rozhodnutí příslušnými orgány zadavatele č. 2 ve vztahu k veřejné zakázce, zejména přijetí rozhodnutí o výběru nejvhodnější nabídky, rozhodnutí o vyloučení účastníka zadávacího řízení a rozhodnutí o zrušení zadávacího řízení, a poté bez zbytečného odkladu zaslat výpis usnesení o tomto rozhodnutí;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87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jsou povinni: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12" w:val="left"/>
        </w:tabs>
        <w:bidi w:val="0"/>
        <w:spacing w:before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projednat harmonogram zadávání veřejné zakázky;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12" w:val="left"/>
        </w:tabs>
        <w:bidi w:val="0"/>
        <w:spacing w:before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projednat zadávací podmínky veřejné zakázky;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12" w:val="left"/>
        </w:tabs>
        <w:bidi w:val="0"/>
        <w:spacing w:before="0" w:line="240" w:lineRule="auto"/>
        <w:ind w:left="100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poskytovat si navzájem veškerou nezbytnou a požadovanou součinnost, zejména pokud jde o výměnu relevantních dokumentů, podávání vysvětlení a písemných stanovisek a vlastní uzavření smlouvy o dílo;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12" w:val="left"/>
        </w:tabs>
        <w:bidi w:val="0"/>
        <w:spacing w:before="0" w:line="240" w:lineRule="auto"/>
        <w:ind w:left="100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neuzavírat s vybraným dodavatelem smlouvu na plnění veřejné zakázky v blokačních lhůtách stanovených v ZZVZ.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87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účely této smlouvy se odpovědným pracovníkem zadavatele č. 1 rozumí: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0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Ve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věcech technických: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9083" w:val="left"/>
        </w:tabs>
        <w:bidi w:val="0"/>
        <w:spacing w:before="0" w:after="340" w:line="240" w:lineRule="auto"/>
        <w:ind w:left="1000" w:right="0" w:firstLine="1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■eferent přípravy a realizace staveb, Krajská správa a údržba silnic Vysočiny, příspěvková organizace, Kosovská 1122/16, 586 01 Jihlava; tel.:</w:t>
        <w:tab/>
        <w:t>; email: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00" w:right="0" w:firstLine="2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oddělení přípravy a realizace staveb, Krajská správa a údržba silnic Vysočiny, příspěvková organizace, Kosovská 1122/16, 586 01 Jihlava; tel.: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; email: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0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Ve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věcech zadávání veřejné zakázky: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oddělení veřejných zakázek; Krajská správa a údržba silnic Vysočiny,</w:t>
      </w:r>
    </w:p>
    <w:tbl>
      <w:tblPr>
        <w:tblOverlap w:val="never"/>
        <w:jc w:val="center"/>
        <w:tblLayout w:type="fixed"/>
      </w:tblPr>
      <w:tblGrid>
        <w:gridCol w:w="4046"/>
        <w:gridCol w:w="3360"/>
        <w:gridCol w:w="2093"/>
      </w:tblGrid>
      <w:tr>
        <w:trPr>
          <w:trHeight w:val="413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příspěvková organizace, Kosovská 1122/16, 586 01 Jihlava; tel.: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; email: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 odpovědným pracovníkem zadavatele č. 2: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Ve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věcech technických: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4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OJihlava-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citv.cz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9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©jihlava-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city.cz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Ve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věcech zadávání veřejné zakázky: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i, tel.: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', 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Zásady jednání zadavatelů a osob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4.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 ně jednajících, odpovědnost zadavatelů</w:t>
            </w:r>
          </w:p>
        </w:tc>
      </w:tr>
      <w:tr>
        <w:trPr>
          <w:trHeight w:val="538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Zadavatelé čestně prohlašují, že zachovají mlčenlivost o všech skutečnostech, &lt; v souvislosti s touto veřejnou zakázkou. Zadavatelé jsou povinni zajistit nepodjatost,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 kterých se dozvěděli , závazek mlčenlivosti a</w:t>
            </w:r>
          </w:p>
        </w:tc>
      </w:tr>
    </w:tbl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vyloučení střetu zájmů u všech osob, které pověří činnostmi souvisejícími s realizací této veřejné zakázky.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68" w:val="left"/>
        </w:tabs>
        <w:bidi w:val="0"/>
        <w:spacing w:before="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každý ze zadavatelů zúčastněných na společném zadávání odpovídá samostatně a v plném rozsahu za ty úkony, které činí vlastním jménem a výlučně na svůj účet.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68" w:val="left"/>
        </w:tabs>
        <w:bidi w:val="0"/>
        <w:spacing w:before="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za společné části zadávací dokumentace a společné zákonné postupy v průběhu zadávacího řízení odpovídají zúčastnění zadavatelé společně. V případě porušení zákona a smluvních povinností nese veškeré důsledky tohoto prodlení nebo porušení ten ze zadavatelů, který svým jednáním toto prodlení nebo porušení způsobil.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68" w:val="left"/>
        </w:tabs>
        <w:bidi w:val="0"/>
        <w:spacing w:before="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Sankce, jakož i jiné náhrady škody způsobené porušením zákona nebo této smlouvy, hradí ten ze zadavatelů, který svým jednáním postih způsobil. V případech společného zavinění hradí všichni zadavatelé postih v poměru daném dílčími předpokládanými hodnotami veřejné zakázky.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68" w:val="left"/>
        </w:tabs>
        <w:bidi w:val="0"/>
        <w:spacing w:before="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Každý zadavatel nese náklady svého zastoupení v souvislosti se svou odpovědností za zákonný průběh zadávacího řízení v řízení před orgánem dohledu nebo soudem, pokud se zadavatelé nedohodnou jinak.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68" w:val="left"/>
        </w:tabs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závazku ze smlouvy budou realizovány samostatně dotčeným zadavatelem v souladu se ZZVZ.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Doba trvání smlouvy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68" w:val="left"/>
        </w:tabs>
        <w:bidi w:val="0"/>
        <w:spacing w:before="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se uzavírá na dobu určitou, a to ode dne nabytí účinnosti této smlouvy až do doby splnění účelu této smlouvy (tj. do zadávání veřejné zakázky) a dále do vypořádání všech závazků z této smlouvy plynoucích. V případě, že nebude zadávací řízení veřejné zakázky zahájeno do 31. 12. 2030, tato smlouva zaniká.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68" w:val="left"/>
        </w:tabs>
        <w:bidi w:val="0"/>
        <w:spacing w:before="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Realizace I. Etapy se předpokládá v roce 2023. Realizace II. Etapy proběhne po vzájemné předchozí dohodě obou smluvních stran.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68" w:val="left"/>
        </w:tabs>
        <w:bidi w:val="0"/>
        <w:spacing w:before="0" w:after="46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Jednotlivé dílčí termíny procesu zadávání této veřejné zakázky dohodnou zadavatelé v harmonogramu zadávání veřejné zakázky a v jednotlivých nepředvídatelných případech prostřednictvím svých oprávněných pracovníků s přihlédnutím k zákonem stanoveným lhůtám a vnitřním poměrům jednotlivých zadavatelů. Pokud nebude dosaženo dohody, určí jednotlivé dílčí termíny zadavatel č. 1 prostřednictvím svého odpovědného pracovníka uvedeného v této smlouvě. V odůvodněných případech (například vyřízení žádosti o dodatečné informace) je oprávněný pracovník zadavatele č. 1 oprávněn určit termíny v řádech hodin.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a placení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68" w:val="left"/>
        </w:tabs>
        <w:bidi w:val="0"/>
        <w:spacing w:before="0" w:after="46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případné náklady spojené s účastí členů hodnotící komise na příslušných jednáních ponese každý ze zadavatelů v rozsahu nákladů požadovaných jednotlivými členy, které do hodnotící komise jmenoval. Případné náklady spojené s účastí odborníků, přizvaných na základě požadavků hodnotící komise, hradí všichni zadavatelé rovným dílem.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8" w:val="left"/>
        </w:tabs>
        <w:bidi w:val="0"/>
        <w:spacing w:before="0" w:line="23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Mezi zadavateli se sjednává, že pro společné zadávání veřejné zakázky na stavební práce platí v plném rozsahu všechna ustanovení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8" w:val="left"/>
        </w:tabs>
        <w:bidi w:val="0"/>
        <w:spacing w:before="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Obdrží-li zadavatel č. 2 jakýkoliv doklad nebo dokument vztahující se k zadávání této veřejné zakázky, je povinen bezodkladně poskytnout dokument v originále zadavateli č. 1.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8" w:val="left"/>
        </w:tabs>
        <w:bidi w:val="0"/>
        <w:spacing w:before="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Archivaci zadávací dokumentace dle požadavků právních předpisů zajišťuje zadavatel č. 1. Zadavatel č. 1 průběžně poskytne dokumentaci zadávacího řízení zadavateli č. 2.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8" w:val="left"/>
        </w:tabs>
        <w:bidi w:val="0"/>
        <w:spacing w:before="0" w:line="23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ostatní skutečnosti neupravené touto smlouvou se řídí obecnými právními předpisy, zejména občanským zákoníkem.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8" w:val="left"/>
        </w:tabs>
        <w:bidi w:val="0"/>
        <w:spacing w:before="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bude uveřejněna dle zákona č. 340/2015 Sb., o registru smluv, v platném znění (dále též jako „zákon o registru smluv“). Zadavatelé souhlasí s uveřejněním této smlouvy a všech jejich budoucích dodatků v registru smluv. Uveřejnění této smlouvy v souladu s tímto ustanovením pak zajistí zadavatel č. 1.</w:t>
      </w:r>
      <w:r>
        <w:br w:type="page"/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8" w:val="left"/>
        </w:tabs>
        <w:bidi w:val="0"/>
        <w:spacing w:before="0" w:line="230" w:lineRule="auto"/>
        <w:ind w:left="580" w:right="0" w:hanging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Smlouvu lze měnit a doplňovat pouze písemnými vzestupně číslovanými dodatky se souhlasem obou zadavatelů.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8" w:val="left"/>
        </w:tabs>
        <w:bidi w:val="0"/>
        <w:spacing w:before="0" w:line="240" w:lineRule="auto"/>
        <w:ind w:left="580" w:right="0" w:hanging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čtyřech stejnopisech splatností originálu, z nichž po jejím podpisu zadavatel č. 1 obdrží dva a zadavatel č. 2 obdrží rovněž dva stejnopisy.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8" w:val="left"/>
        </w:tabs>
        <w:bidi w:val="0"/>
        <w:spacing w:before="0" w:after="320" w:line="240" w:lineRule="auto"/>
        <w:ind w:left="580" w:right="0" w:hanging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Smlouva nabývá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platnosti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dnem jejího podepsání oběma zadavateli a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účinnosti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dnem uveřejnění v registru smluv, není-li v této smlouvě stanoveno datum účinnosti pozdější.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Příloha: 1x Plná moc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30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93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12700</wp:posOffset>
                </wp:positionV>
                <wp:extent cx="1124585" cy="624840"/>
                <wp:wrapSquare wrapText="bothSides"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24585" cy="624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zadavatele č. 1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32.649999999999999pt;margin-top:1.pt;width:88.549999999999997pt;height:49.200000000000003pt;z-index:-12582936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zadavatele č. 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zadavatele č. 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0" w:line="240" w:lineRule="auto"/>
        <w:ind w:left="3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40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49" w:left="653" w:right="1061" w:bottom="1335" w:header="621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95" behindDoc="0" locked="0" layoutInCell="1" allowOverlap="1">
                <wp:simplePos x="0" y="0"/>
                <wp:positionH relativeFrom="page">
                  <wp:posOffset>4078605</wp:posOffset>
                </wp:positionH>
                <wp:positionV relativeFrom="paragraph">
                  <wp:posOffset>12700</wp:posOffset>
                </wp:positionV>
                <wp:extent cx="941705" cy="320040"/>
                <wp:wrapSquare wrapText="left"/>
                <wp:docPr id="30" name="Shape 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1705" cy="320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Mgr. Petr Ryška</w:t>
                              <w:br/>
                              <w:t>primátor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321.14999999999998pt;margin-top:1.pt;width:74.150000000000006pt;height:25.199999999999999pt;z-index:-12582935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Mgr. Petr Ryška</w:t>
                        <w:br/>
                        <w:t>primátor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</w:t>
        <w:br/>
        <w:t>ředitel příspěvkové organizace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PLNÁ MOC</w:t>
      </w:r>
    </w:p>
    <w:sectPr>
      <w:headerReference w:type="default" r:id="rId13"/>
      <w:footerReference w:type="default" r:id="rId14"/>
      <w:footnotePr>
        <w:pos w:val="pageBottom"/>
        <w:numFmt w:val="decimal"/>
        <w:numRestart w:val="continuous"/>
      </w:footnotePr>
      <w:pgSz w:w="11900" w:h="16840"/>
      <w:pgMar w:top="1076" w:left="718" w:right="996" w:bottom="1076" w:header="648" w:footer="648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3284855</wp:posOffset>
              </wp:positionH>
              <wp:positionV relativeFrom="page">
                <wp:posOffset>10077450</wp:posOffset>
              </wp:positionV>
              <wp:extent cx="648970" cy="850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897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 ze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58.64999999999998pt;margin-top:793.5pt;width:51.100000000000001pt;height:6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ze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3318510</wp:posOffset>
              </wp:positionH>
              <wp:positionV relativeFrom="page">
                <wp:posOffset>10001250</wp:posOffset>
              </wp:positionV>
              <wp:extent cx="591185" cy="82550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91185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 z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261.30000000000001pt;margin-top:787.5pt;width:46.549999999999997pt;height:6.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380365</wp:posOffset>
              </wp:positionH>
              <wp:positionV relativeFrom="page">
                <wp:posOffset>9963785</wp:posOffset>
              </wp:positionV>
              <wp:extent cx="6461760" cy="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461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9.949999999999999pt;margin-top:784.54999999999995pt;width:508.8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3289935</wp:posOffset>
              </wp:positionH>
              <wp:positionV relativeFrom="page">
                <wp:posOffset>10019665</wp:posOffset>
              </wp:positionV>
              <wp:extent cx="648970" cy="7937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897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 ze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59.05000000000001pt;margin-top:788.95000000000005pt;width:51.100000000000001pt;height:6.2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ze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400050</wp:posOffset>
              </wp:positionH>
              <wp:positionV relativeFrom="page">
                <wp:posOffset>9986010</wp:posOffset>
              </wp:positionV>
              <wp:extent cx="6419215" cy="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4192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1.5pt;margin-top:786.29999999999995pt;width:505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1276350</wp:posOffset>
              </wp:positionH>
              <wp:positionV relativeFrom="page">
                <wp:posOffset>250825</wp:posOffset>
              </wp:positionV>
              <wp:extent cx="5452745" cy="24384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52745" cy="2438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Číslo smlouvy Krajská správa a údržba silnic Vysočiny, příspěvková organizace: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864" w:val="right"/>
                              <w:tab w:pos="7306" w:val="right"/>
                              <w:tab w:pos="7541" w:val="right"/>
                              <w:tab w:pos="7872" w:val="right"/>
                              <w:tab w:pos="858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Číslo smlouvy Statutární město Jihlava:</w:t>
                            <w:tab/>
                            <w:t>_</w:t>
                            <w:tab/>
                            <w:tab/>
                            <w:tab/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00.5pt;margin-top:19.75pt;width:429.35000000000002pt;height:19.199999999999999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Číslo smlouvy Krajská správa a údržba silnic Vysočiny, příspěvková organizace: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864" w:val="right"/>
                        <w:tab w:pos="7306" w:val="right"/>
                        <w:tab w:pos="7541" w:val="right"/>
                        <w:tab w:pos="7872" w:val="right"/>
                        <w:tab w:pos="858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Číslo smlouvy Statutární město Jihlava:</w:t>
                      <w:tab/>
                      <w:t>_</w:t>
                      <w:tab/>
                      <w:tab/>
                      <w:tab/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593725</wp:posOffset>
              </wp:positionH>
              <wp:positionV relativeFrom="page">
                <wp:posOffset>564515</wp:posOffset>
              </wp:positionV>
              <wp:extent cx="6272530" cy="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27253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6.75pt;margin-top:44.450000000000003pt;width:493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3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2"/>
      <w:numFmt w:val="decimal"/>
      <w:lvlText w:val="4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5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decimal"/>
      <w:lvlText w:val="6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decimal"/>
      <w:lvlText w:val="7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Nadpis #1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0">
    <w:name w:val="Záhlaví nebo zápatí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Jiné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Základní text (3)_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after="280" w:line="22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FFFFFF"/>
      <w:spacing w:after="100" w:line="233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9">
    <w:name w:val="Záhlaví nebo zápatí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Jiné"/>
    <w:basedOn w:val="Normal"/>
    <w:link w:val="CharStyle17"/>
    <w:pPr>
      <w:widowControl w:val="0"/>
      <w:shd w:val="clear" w:color="auto" w:fill="FFFFFF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Základní text (3)"/>
    <w:basedOn w:val="Normal"/>
    <w:link w:val="CharStyle23"/>
    <w:pPr>
      <w:widowControl w:val="0"/>
      <w:shd w:val="clear" w:color="auto" w:fill="FFFFFF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/Relationships>
</file>