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4F9441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732385">
        <w:rPr>
          <w:rFonts w:asciiTheme="minorHAnsi" w:hAnsiTheme="minorHAnsi"/>
          <w:b/>
          <w:sz w:val="28"/>
          <w:szCs w:val="28"/>
        </w:rPr>
        <w:t>268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6B0DA58" w14:textId="77777777" w:rsidR="00656638" w:rsidRPr="00634164" w:rsidRDefault="00656638" w:rsidP="0065663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9B5148C" w14:textId="77777777" w:rsidR="00656638" w:rsidRPr="009034A3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LTC Pardubice z.s.,</w:t>
      </w:r>
    </w:p>
    <w:p w14:paraId="52E209A3" w14:textId="77777777" w:rsidR="00656638" w:rsidRPr="009034A3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sídlo: Labská 15, Bílé Předměstí, 530 02 Pardubice,</w:t>
      </w:r>
    </w:p>
    <w:p w14:paraId="449896B2" w14:textId="77777777" w:rsidR="00656638" w:rsidRPr="009034A3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IČO: 15051056,</w:t>
      </w:r>
      <w:r w:rsidRPr="009034A3">
        <w:rPr>
          <w:rFonts w:ascii="Calibri" w:hAnsi="Calibri"/>
          <w:color w:val="000000" w:themeColor="text1"/>
          <w:sz w:val="22"/>
          <w:szCs w:val="22"/>
        </w:rPr>
        <w:tab/>
      </w:r>
    </w:p>
    <w:p w14:paraId="2CD9F465" w14:textId="77777777" w:rsidR="00656638" w:rsidRPr="009034A3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číslo bankovního účtu: 1201117349/0800,</w:t>
      </w:r>
    </w:p>
    <w:p w14:paraId="40819657" w14:textId="77777777" w:rsidR="00656638" w:rsidRPr="00320AC5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zastoupený: Ing. Petrem Benešem, předsedou výboru, a Petrem Koblížkem, členem výboru</w:t>
      </w:r>
    </w:p>
    <w:p w14:paraId="467164AB" w14:textId="77777777" w:rsidR="00656638" w:rsidRPr="000F7E7A" w:rsidRDefault="00656638" w:rsidP="0065663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392CFC69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656638">
        <w:rPr>
          <w:rFonts w:asciiTheme="minorHAnsi" w:hAnsiTheme="minorHAnsi"/>
          <w:b/>
          <w:sz w:val="22"/>
          <w:szCs w:val="22"/>
        </w:rPr>
        <w:t>685.700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656638">
        <w:rPr>
          <w:rFonts w:asciiTheme="minorHAnsi" w:hAnsiTheme="minorHAnsi"/>
          <w:sz w:val="22"/>
          <w:szCs w:val="22"/>
        </w:rPr>
        <w:t>šest set osmdesát pět tisíc sedm set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3BE31243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656638">
        <w:rPr>
          <w:rFonts w:asciiTheme="minorHAnsi" w:hAnsiTheme="minorHAnsi"/>
          <w:b/>
          <w:sz w:val="22"/>
          <w:szCs w:val="22"/>
        </w:rPr>
        <w:t>91.500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656638">
        <w:rPr>
          <w:rFonts w:asciiTheme="minorHAnsi" w:hAnsiTheme="minorHAnsi"/>
          <w:sz w:val="22"/>
          <w:szCs w:val="22"/>
        </w:rPr>
        <w:t>devadesát jeden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5248F7EA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56638">
        <w:rPr>
          <w:rFonts w:asciiTheme="minorHAnsi" w:hAnsiTheme="minorHAnsi"/>
          <w:b/>
          <w:sz w:val="22"/>
          <w:szCs w:val="22"/>
        </w:rPr>
        <w:t>140.800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56638">
        <w:rPr>
          <w:rFonts w:asciiTheme="minorHAnsi" w:hAnsiTheme="minorHAnsi"/>
          <w:sz w:val="22"/>
          <w:szCs w:val="22"/>
        </w:rPr>
        <w:t>jedno sto čtyřicet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7D2B8DCA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56638">
        <w:rPr>
          <w:rFonts w:asciiTheme="minorHAnsi" w:hAnsiTheme="minorHAnsi"/>
          <w:b/>
          <w:sz w:val="22"/>
          <w:szCs w:val="22"/>
        </w:rPr>
        <w:t>453.400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56638">
        <w:rPr>
          <w:rFonts w:asciiTheme="minorHAnsi" w:hAnsiTheme="minorHAnsi"/>
          <w:sz w:val="22"/>
          <w:szCs w:val="22"/>
        </w:rPr>
        <w:t>čtyři sta padesát tři tisíce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21E262C4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656638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656638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656638">
        <w:rPr>
          <w:rFonts w:asciiTheme="minorHAnsi" w:hAnsiTheme="minorHAnsi"/>
          <w:sz w:val="22"/>
          <w:szCs w:val="22"/>
        </w:rPr>
        <w:t>08.02.2023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656638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656638">
        <w:rPr>
          <w:rFonts w:asciiTheme="minorHAnsi" w:hAnsiTheme="minorHAnsi"/>
          <w:sz w:val="22"/>
          <w:szCs w:val="22"/>
        </w:rPr>
        <w:t>20212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F32745" w:rsidRPr="00235531">
        <w:rPr>
          <w:rFonts w:asciiTheme="minorHAnsi" w:hAnsiTheme="minorHAnsi"/>
          <w:sz w:val="22"/>
          <w:szCs w:val="22"/>
        </w:rPr>
        <w:t>,</w:t>
      </w:r>
      <w:r w:rsidR="00656638">
        <w:rPr>
          <w:rFonts w:asciiTheme="minorHAnsi" w:hAnsiTheme="minorHAnsi"/>
          <w:sz w:val="22"/>
          <w:szCs w:val="22"/>
        </w:rPr>
        <w:t xml:space="preserve"> MmP 20192/2023 a MmP 20225/2023</w:t>
      </w:r>
      <w:r w:rsidRPr="00235531">
        <w:rPr>
          <w:rFonts w:asciiTheme="minorHAnsi" w:hAnsiTheme="minorHAnsi"/>
          <w:sz w:val="22"/>
          <w:szCs w:val="22"/>
        </w:rPr>
        <w:t xml:space="preserve">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B0EE8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F751F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37E4214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11D9B">
        <w:rPr>
          <w:rFonts w:asciiTheme="minorHAnsi" w:hAnsiTheme="minorHAnsi"/>
          <w:sz w:val="22"/>
          <w:szCs w:val="22"/>
        </w:rPr>
        <w:t>15.06.2023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3032FDB" w14:textId="77777777" w:rsidR="00656638" w:rsidRDefault="00656638" w:rsidP="0065663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C4FB974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398A6943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0CE0F637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2D52439E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47F8E19C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31F3F603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……………………………………………………………………..</w:t>
      </w:r>
    </w:p>
    <w:p w14:paraId="7731B0D8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 Beneš</w:t>
      </w:r>
    </w:p>
    <w:p w14:paraId="485A53EA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4C52252E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0A4F7D0C" w14:textId="77777777" w:rsidR="00656638" w:rsidRDefault="00656638" w:rsidP="00656638">
      <w:pPr>
        <w:rPr>
          <w:rFonts w:asciiTheme="minorHAnsi" w:hAnsiTheme="minorHAnsi"/>
          <w:sz w:val="22"/>
          <w:szCs w:val="22"/>
        </w:rPr>
      </w:pPr>
    </w:p>
    <w:p w14:paraId="267CF127" w14:textId="77777777" w:rsidR="00656638" w:rsidRPr="00515D12" w:rsidRDefault="00656638" w:rsidP="00656638">
      <w:pPr>
        <w:rPr>
          <w:rFonts w:asciiTheme="minorHAnsi" w:hAnsiTheme="minorHAnsi"/>
          <w:sz w:val="22"/>
          <w:szCs w:val="22"/>
        </w:rPr>
      </w:pPr>
    </w:p>
    <w:p w14:paraId="223C3D10" w14:textId="77777777" w:rsidR="00656638" w:rsidRPr="00515D12" w:rsidRDefault="00656638" w:rsidP="0065663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BFF44C2" w14:textId="77777777" w:rsidR="00656638" w:rsidRDefault="00656638" w:rsidP="00656638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  <w:t>Petr Koblížek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1F35F051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732385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6B8A0C74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385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311D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311D9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8274" w14:textId="324896CC" w:rsidR="00120AA5" w:rsidRDefault="00120AA5">
    <w:pPr>
      <w:pStyle w:val="Zpat"/>
      <w:jc w:val="center"/>
    </w:pPr>
  </w:p>
  <w:p w14:paraId="7EE97C7F" w14:textId="77777777" w:rsidR="00120AA5" w:rsidRDefault="00120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0AA5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D9B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56638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32385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BF1A86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751F1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f94004b3-5c85-4b6f-b2cb-b6e165aced0d"/>
    <ds:schemaRef ds:uri="http://schemas.openxmlformats.org/package/2006/metadata/core-properties"/>
    <ds:schemaRef ds:uri="http://purl.org/dc/dcmitype/"/>
    <ds:schemaRef ds:uri="df30a891-99dc-44a0-9782-3a4c8c525d8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2444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2023-05-16T12:45:00Z</cp:lastPrinted>
  <dcterms:created xsi:type="dcterms:W3CDTF">2023-04-11T19:51:00Z</dcterms:created>
  <dcterms:modified xsi:type="dcterms:W3CDTF">2023-06-15T09:04:00Z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