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2DEC" w14:textId="77777777" w:rsidR="0028672E" w:rsidRDefault="0028672E" w:rsidP="00310EB1">
      <w:pPr>
        <w:pStyle w:val="nadpis-smlouva"/>
      </w:pPr>
    </w:p>
    <w:p w14:paraId="0454DDF8" w14:textId="1A54ADAA" w:rsidR="00225C73" w:rsidRPr="005027D6" w:rsidRDefault="00310EB1" w:rsidP="00310EB1">
      <w:pPr>
        <w:pStyle w:val="nadpis-smlouva"/>
        <w:rPr>
          <w:rFonts w:ascii="Times New Roman" w:hAnsi="Times New Roman"/>
          <w:sz w:val="24"/>
          <w:szCs w:val="24"/>
        </w:rPr>
      </w:pPr>
      <w:r w:rsidRPr="005027D6">
        <w:rPr>
          <w:rFonts w:ascii="Times New Roman" w:hAnsi="Times New Roman"/>
          <w:sz w:val="24"/>
          <w:szCs w:val="24"/>
        </w:rPr>
        <w:t>Smlouva o DÍLO</w:t>
      </w:r>
      <w:r w:rsidR="00686993">
        <w:rPr>
          <w:rFonts w:ascii="Times New Roman" w:hAnsi="Times New Roman"/>
          <w:sz w:val="24"/>
          <w:szCs w:val="24"/>
        </w:rPr>
        <w:t xml:space="preserve"> </w:t>
      </w:r>
      <w:r w:rsidR="00686993" w:rsidRPr="00686993">
        <w:rPr>
          <w:rFonts w:ascii="Times New Roman" w:hAnsi="Times New Roman"/>
          <w:caps w:val="0"/>
          <w:sz w:val="22"/>
          <w:szCs w:val="24"/>
        </w:rPr>
        <w:t>č</w:t>
      </w:r>
      <w:r w:rsidR="00686993">
        <w:rPr>
          <w:rFonts w:ascii="Times New Roman" w:hAnsi="Times New Roman"/>
          <w:sz w:val="24"/>
          <w:szCs w:val="24"/>
        </w:rPr>
        <w:t xml:space="preserve">. </w:t>
      </w:r>
      <w:r w:rsidR="00686993" w:rsidRPr="00104AC8">
        <w:rPr>
          <w:rFonts w:ascii="Times New Roman" w:hAnsi="Times New Roman"/>
          <w:sz w:val="24"/>
          <w:szCs w:val="24"/>
        </w:rPr>
        <w:t>VZ-</w:t>
      </w:r>
      <w:r w:rsidR="00F00A4A">
        <w:rPr>
          <w:rFonts w:ascii="Times New Roman" w:hAnsi="Times New Roman"/>
          <w:sz w:val="24"/>
          <w:szCs w:val="24"/>
        </w:rPr>
        <w:t>20899</w:t>
      </w:r>
      <w:r w:rsidR="00686993" w:rsidRPr="00104AC8">
        <w:rPr>
          <w:rFonts w:ascii="Times New Roman" w:hAnsi="Times New Roman"/>
          <w:sz w:val="24"/>
          <w:szCs w:val="24"/>
        </w:rPr>
        <w:t>/202</w:t>
      </w:r>
      <w:r w:rsidR="0040045B">
        <w:rPr>
          <w:rFonts w:ascii="Times New Roman" w:hAnsi="Times New Roman"/>
          <w:sz w:val="24"/>
          <w:szCs w:val="24"/>
        </w:rPr>
        <w:t>3</w:t>
      </w:r>
    </w:p>
    <w:p w14:paraId="46D423DF" w14:textId="77777777" w:rsidR="00310EB1" w:rsidRPr="005027D6" w:rsidRDefault="00310EB1" w:rsidP="00310EB1">
      <w:pPr>
        <w:jc w:val="center"/>
      </w:pPr>
      <w:r w:rsidRPr="005027D6">
        <w:t>uzavřená dle ustanovení § 2586 a násl. zák. č. 89/2012 Sb., občanský zákoník, ve znění pozdějších předpisů (dále jen „občanský zákoník“)</w:t>
      </w:r>
    </w:p>
    <w:p w14:paraId="580B257C" w14:textId="77777777" w:rsidR="005027D6" w:rsidRDefault="005027D6" w:rsidP="00895E4E">
      <w:pPr>
        <w:pStyle w:val="nadpis-bod"/>
        <w:spacing w:before="0" w:after="0"/>
        <w:rPr>
          <w:rFonts w:ascii="Times New Roman" w:hAnsi="Times New Roman"/>
          <w:szCs w:val="24"/>
        </w:rPr>
      </w:pPr>
    </w:p>
    <w:p w14:paraId="24D2C60A" w14:textId="0E9DD543" w:rsidR="00895E4E" w:rsidRPr="005027D6" w:rsidRDefault="00895E4E" w:rsidP="00B02909">
      <w:pPr>
        <w:pStyle w:val="nadpis-bod"/>
        <w:spacing w:before="0" w:after="0"/>
        <w:ind w:left="142"/>
        <w:rPr>
          <w:rFonts w:ascii="Times New Roman" w:hAnsi="Times New Roman"/>
          <w:szCs w:val="24"/>
        </w:rPr>
      </w:pPr>
      <w:r w:rsidRPr="005027D6">
        <w:rPr>
          <w:rFonts w:ascii="Times New Roman" w:hAnsi="Times New Roman"/>
          <w:szCs w:val="24"/>
        </w:rPr>
        <w:t>Smluvní strany:</w:t>
      </w:r>
    </w:p>
    <w:p w14:paraId="45043E55" w14:textId="77777777" w:rsidR="00895E4E" w:rsidRPr="005027D6" w:rsidRDefault="00895E4E" w:rsidP="00895E4E">
      <w:pPr>
        <w:pStyle w:val="nadpis-bod"/>
        <w:spacing w:before="0" w:after="0"/>
        <w:rPr>
          <w:rFonts w:ascii="Times New Roman" w:hAnsi="Times New Roman"/>
          <w:szCs w:val="24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895E4E" w:rsidRPr="005027D6" w14:paraId="33511971" w14:textId="77777777" w:rsidTr="00DD5967">
        <w:trPr>
          <w:gridAfter w:val="1"/>
          <w:wAfter w:w="142" w:type="dxa"/>
        </w:trPr>
        <w:tc>
          <w:tcPr>
            <w:tcW w:w="3227" w:type="dxa"/>
          </w:tcPr>
          <w:p w14:paraId="4ED80E68" w14:textId="77777777" w:rsidR="00895E4E" w:rsidRPr="005027D6" w:rsidRDefault="00895E4E" w:rsidP="00DD5967">
            <w:pPr>
              <w:rPr>
                <w:b/>
              </w:rPr>
            </w:pPr>
            <w:r w:rsidRPr="005027D6">
              <w:rPr>
                <w:b/>
              </w:rPr>
              <w:t>Objednatel:</w:t>
            </w:r>
          </w:p>
          <w:p w14:paraId="51AD8937" w14:textId="77777777" w:rsidR="00895E4E" w:rsidRPr="005027D6" w:rsidRDefault="00895E4E" w:rsidP="00DD5967">
            <w:pPr>
              <w:rPr>
                <w:b/>
              </w:rPr>
            </w:pPr>
          </w:p>
          <w:p w14:paraId="0975F03B" w14:textId="77777777" w:rsidR="00895E4E" w:rsidRPr="005027D6" w:rsidRDefault="00895E4E" w:rsidP="00DD5967">
            <w:pPr>
              <w:rPr>
                <w:b/>
              </w:rPr>
            </w:pPr>
          </w:p>
        </w:tc>
        <w:tc>
          <w:tcPr>
            <w:tcW w:w="5985" w:type="dxa"/>
            <w:gridSpan w:val="2"/>
          </w:tcPr>
          <w:p w14:paraId="0C8DB478" w14:textId="77777777" w:rsidR="00895E4E" w:rsidRPr="005027D6" w:rsidRDefault="00895E4E" w:rsidP="00B02909">
            <w:pPr>
              <w:ind w:left="72"/>
              <w:rPr>
                <w:b/>
              </w:rPr>
            </w:pPr>
            <w:r w:rsidRPr="005027D6">
              <w:rPr>
                <w:b/>
              </w:rPr>
              <w:t>Oblastní muzeum v Chomutově, příspěvková organizace</w:t>
            </w:r>
          </w:p>
        </w:tc>
      </w:tr>
      <w:tr w:rsidR="00895E4E" w:rsidRPr="005027D6" w14:paraId="55D54C30" w14:textId="77777777" w:rsidTr="00DD5967">
        <w:tc>
          <w:tcPr>
            <w:tcW w:w="3369" w:type="dxa"/>
            <w:gridSpan w:val="2"/>
          </w:tcPr>
          <w:p w14:paraId="4949C038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 xml:space="preserve">Sídlo: </w:t>
            </w:r>
          </w:p>
        </w:tc>
        <w:tc>
          <w:tcPr>
            <w:tcW w:w="5985" w:type="dxa"/>
            <w:gridSpan w:val="2"/>
          </w:tcPr>
          <w:p w14:paraId="2D5FF8B7" w14:textId="77777777" w:rsidR="00895E4E" w:rsidRPr="005027D6" w:rsidRDefault="00895E4E" w:rsidP="00DD5967">
            <w:r w:rsidRPr="005027D6">
              <w:t>Palackého 86, 430 01 Chomutov</w:t>
            </w:r>
          </w:p>
        </w:tc>
      </w:tr>
      <w:tr w:rsidR="00895E4E" w:rsidRPr="005027D6" w14:paraId="2C7A5235" w14:textId="77777777" w:rsidTr="00DD5967">
        <w:tc>
          <w:tcPr>
            <w:tcW w:w="3369" w:type="dxa"/>
            <w:gridSpan w:val="2"/>
          </w:tcPr>
          <w:p w14:paraId="72D8A0C1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>Zastoupena:</w:t>
            </w:r>
          </w:p>
        </w:tc>
        <w:tc>
          <w:tcPr>
            <w:tcW w:w="5985" w:type="dxa"/>
            <w:gridSpan w:val="2"/>
          </w:tcPr>
          <w:p w14:paraId="7B9C0BB6" w14:textId="77777777" w:rsidR="00895E4E" w:rsidRPr="005027D6" w:rsidRDefault="00895E4E" w:rsidP="00DD5967">
            <w:r w:rsidRPr="005027D6">
              <w:t xml:space="preserve">Mgr. Markétou </w:t>
            </w:r>
            <w:proofErr w:type="spellStart"/>
            <w:r w:rsidRPr="005027D6">
              <w:t>Prontekerovou</w:t>
            </w:r>
            <w:proofErr w:type="spellEnd"/>
            <w:r w:rsidRPr="005027D6">
              <w:t>, ředitelkou</w:t>
            </w:r>
          </w:p>
        </w:tc>
      </w:tr>
      <w:tr w:rsidR="00895E4E" w:rsidRPr="005027D6" w14:paraId="5ADAF31E" w14:textId="77777777" w:rsidTr="00DD5967">
        <w:tc>
          <w:tcPr>
            <w:tcW w:w="3369" w:type="dxa"/>
            <w:gridSpan w:val="2"/>
          </w:tcPr>
          <w:p w14:paraId="6BB0964A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>IČ:</w:t>
            </w:r>
          </w:p>
        </w:tc>
        <w:tc>
          <w:tcPr>
            <w:tcW w:w="5985" w:type="dxa"/>
            <w:gridSpan w:val="2"/>
          </w:tcPr>
          <w:p w14:paraId="70828952" w14:textId="77777777" w:rsidR="00895E4E" w:rsidRPr="005027D6" w:rsidRDefault="00895E4E" w:rsidP="00DD5967">
            <w:r w:rsidRPr="005027D6">
              <w:t>00360571</w:t>
            </w:r>
          </w:p>
        </w:tc>
      </w:tr>
      <w:tr w:rsidR="00895E4E" w:rsidRPr="005027D6" w14:paraId="26E6D506" w14:textId="77777777" w:rsidTr="00DD5967">
        <w:tc>
          <w:tcPr>
            <w:tcW w:w="3369" w:type="dxa"/>
            <w:gridSpan w:val="2"/>
          </w:tcPr>
          <w:p w14:paraId="1CADA822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 xml:space="preserve">Bankovní spojení: </w:t>
            </w:r>
          </w:p>
        </w:tc>
        <w:tc>
          <w:tcPr>
            <w:tcW w:w="5985" w:type="dxa"/>
            <w:gridSpan w:val="2"/>
          </w:tcPr>
          <w:p w14:paraId="4D17D8D9" w14:textId="77777777" w:rsidR="00895E4E" w:rsidRPr="005027D6" w:rsidRDefault="00895E4E" w:rsidP="00DD5967">
            <w:r w:rsidRPr="005027D6">
              <w:t>Komerční banka, pobočka Chomutov</w:t>
            </w:r>
          </w:p>
        </w:tc>
      </w:tr>
      <w:tr w:rsidR="00895E4E" w:rsidRPr="005027D6" w14:paraId="7CD64E76" w14:textId="77777777" w:rsidTr="00DD5967">
        <w:tc>
          <w:tcPr>
            <w:tcW w:w="3369" w:type="dxa"/>
            <w:gridSpan w:val="2"/>
          </w:tcPr>
          <w:p w14:paraId="00871901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>Číslo účtu:</w:t>
            </w:r>
          </w:p>
        </w:tc>
        <w:tc>
          <w:tcPr>
            <w:tcW w:w="5985" w:type="dxa"/>
            <w:gridSpan w:val="2"/>
          </w:tcPr>
          <w:p w14:paraId="59D6FC53" w14:textId="77777777" w:rsidR="00895E4E" w:rsidRPr="005027D6" w:rsidRDefault="00895E4E" w:rsidP="00DD5967">
            <w:r w:rsidRPr="009752AD">
              <w:rPr>
                <w:highlight w:val="black"/>
              </w:rPr>
              <w:t>19837441/0100</w:t>
            </w:r>
          </w:p>
          <w:p w14:paraId="279AE880" w14:textId="77777777" w:rsidR="00895E4E" w:rsidRPr="005027D6" w:rsidRDefault="00895E4E" w:rsidP="00DD5967"/>
        </w:tc>
      </w:tr>
      <w:tr w:rsidR="00895E4E" w:rsidRPr="005027D6" w14:paraId="2E64D01A" w14:textId="77777777" w:rsidTr="00DD5967">
        <w:tc>
          <w:tcPr>
            <w:tcW w:w="3369" w:type="dxa"/>
            <w:gridSpan w:val="2"/>
          </w:tcPr>
          <w:p w14:paraId="448D0E83" w14:textId="5169D308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>Zástupce pro věcná jednání</w:t>
            </w:r>
            <w:r w:rsidR="00A77AB5" w:rsidRPr="005027D6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727284FD" w14:textId="20F7443C" w:rsidR="00895E4E" w:rsidRPr="005027D6" w:rsidRDefault="003049E2" w:rsidP="00DD5967">
            <w:r w:rsidRPr="009752AD">
              <w:rPr>
                <w:highlight w:val="black"/>
              </w:rPr>
              <w:t>Markéta Löblová Spěváčková</w:t>
            </w:r>
            <w:r w:rsidR="00895E4E" w:rsidRPr="005027D6">
              <w:t xml:space="preserve">, gestor podkladů </w:t>
            </w:r>
            <w:r>
              <w:br/>
            </w:r>
            <w:r w:rsidR="00895E4E" w:rsidRPr="005027D6">
              <w:t>pro plnění díla</w:t>
            </w:r>
          </w:p>
        </w:tc>
      </w:tr>
      <w:tr w:rsidR="00895E4E" w:rsidRPr="005027D6" w14:paraId="10D4A467" w14:textId="77777777" w:rsidTr="00DD5967">
        <w:tc>
          <w:tcPr>
            <w:tcW w:w="3369" w:type="dxa"/>
            <w:gridSpan w:val="2"/>
          </w:tcPr>
          <w:p w14:paraId="6C904863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sz w:val="24"/>
                <w:szCs w:val="24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76360116" w14:textId="02A221CC" w:rsidR="00895E4E" w:rsidRPr="005027D6" w:rsidRDefault="003049E2" w:rsidP="00DD5967">
            <w:r w:rsidRPr="009752AD">
              <w:rPr>
                <w:highlight w:val="black"/>
              </w:rPr>
              <w:t>loblova</w:t>
            </w:r>
            <w:r w:rsidR="00895E4E" w:rsidRPr="005027D6">
              <w:t>@muzeumchomutov.cz</w:t>
            </w:r>
          </w:p>
        </w:tc>
      </w:tr>
      <w:tr w:rsidR="00895E4E" w:rsidRPr="005027D6" w14:paraId="385C071B" w14:textId="77777777" w:rsidTr="00DD5967">
        <w:tc>
          <w:tcPr>
            <w:tcW w:w="3369" w:type="dxa"/>
            <w:gridSpan w:val="2"/>
          </w:tcPr>
          <w:p w14:paraId="48B3BD30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027D6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„objednatel“)</w:t>
            </w:r>
          </w:p>
          <w:p w14:paraId="326DB600" w14:textId="77777777" w:rsidR="00895E4E" w:rsidRPr="005027D6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35EBF67E" w14:textId="77777777" w:rsidR="00895E4E" w:rsidRPr="005027D6" w:rsidRDefault="00895E4E" w:rsidP="00DD5967"/>
        </w:tc>
      </w:tr>
    </w:tbl>
    <w:p w14:paraId="3D896DA7" w14:textId="77777777" w:rsidR="00895E4E" w:rsidRPr="005027D6" w:rsidRDefault="00895E4E" w:rsidP="00895E4E">
      <w:r w:rsidRPr="005027D6">
        <w:t xml:space="preserve">    a</w:t>
      </w:r>
    </w:p>
    <w:p w14:paraId="5C406726" w14:textId="77777777" w:rsidR="00895E4E" w:rsidRPr="005027D6" w:rsidRDefault="00895E4E" w:rsidP="00895E4E">
      <w:pPr>
        <w:ind w:firstLine="708"/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3119"/>
        <w:gridCol w:w="94"/>
        <w:gridCol w:w="5857"/>
      </w:tblGrid>
      <w:tr w:rsidR="00895E4E" w:rsidRPr="006A7513" w14:paraId="2B2CB26E" w14:textId="77777777" w:rsidTr="00DD5967">
        <w:tc>
          <w:tcPr>
            <w:tcW w:w="3213" w:type="dxa"/>
            <w:gridSpan w:val="2"/>
          </w:tcPr>
          <w:p w14:paraId="2DC20196" w14:textId="77777777" w:rsidR="00895E4E" w:rsidRPr="00EF6AD3" w:rsidRDefault="00895E4E" w:rsidP="00DD5967">
            <w:pPr>
              <w:rPr>
                <w:b/>
              </w:rPr>
            </w:pPr>
            <w:r w:rsidRPr="00EF6AD3">
              <w:rPr>
                <w:b/>
              </w:rPr>
              <w:t>Zhotovitel:</w:t>
            </w:r>
          </w:p>
          <w:p w14:paraId="06C396BC" w14:textId="77777777" w:rsidR="00895E4E" w:rsidRPr="00EF6AD3" w:rsidRDefault="00895E4E" w:rsidP="00DD5967">
            <w:pPr>
              <w:rPr>
                <w:b/>
              </w:rPr>
            </w:pPr>
          </w:p>
        </w:tc>
        <w:tc>
          <w:tcPr>
            <w:tcW w:w="5856" w:type="dxa"/>
          </w:tcPr>
          <w:p w14:paraId="187A6977" w14:textId="6BC81AEB" w:rsidR="00895E4E" w:rsidRPr="00EF6AD3" w:rsidRDefault="00895E4E" w:rsidP="00DD5967">
            <w:pPr>
              <w:ind w:left="220" w:hanging="220"/>
              <w:rPr>
                <w:b/>
                <w:bCs/>
              </w:rPr>
            </w:pPr>
            <w:r w:rsidRPr="00EF6AD3">
              <w:t xml:space="preserve">   </w:t>
            </w:r>
            <w:r w:rsidR="00252015" w:rsidRPr="00EF6AD3">
              <w:rPr>
                <w:b/>
                <w:bCs/>
              </w:rPr>
              <w:t xml:space="preserve">Ponte </w:t>
            </w:r>
            <w:proofErr w:type="spellStart"/>
            <w:r w:rsidR="00252015" w:rsidRPr="00EF6AD3">
              <w:rPr>
                <w:b/>
                <w:bCs/>
              </w:rPr>
              <w:t>records</w:t>
            </w:r>
            <w:proofErr w:type="spellEnd"/>
            <w:r w:rsidR="00252015" w:rsidRPr="00EF6AD3">
              <w:rPr>
                <w:b/>
                <w:bCs/>
              </w:rPr>
              <w:t xml:space="preserve">, s. r. o. </w:t>
            </w:r>
          </w:p>
        </w:tc>
      </w:tr>
      <w:tr w:rsidR="00895E4E" w:rsidRPr="006A7513" w14:paraId="0DB8C4EA" w14:textId="77777777" w:rsidTr="00DD5967">
        <w:tc>
          <w:tcPr>
            <w:tcW w:w="3213" w:type="dxa"/>
            <w:gridSpan w:val="2"/>
          </w:tcPr>
          <w:p w14:paraId="6CC5E247" w14:textId="696B054A" w:rsidR="00895E4E" w:rsidRPr="00EF6AD3" w:rsidRDefault="006159B6" w:rsidP="00DD5967">
            <w:pPr>
              <w:pStyle w:val="adres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Sídlo</w:t>
            </w:r>
            <w:r w:rsidR="00895E4E" w:rsidRPr="00EF6AD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5856" w:type="dxa"/>
          </w:tcPr>
          <w:p w14:paraId="7E86A018" w14:textId="71546FD2" w:rsidR="006159B6" w:rsidRPr="00EF6AD3" w:rsidRDefault="006159B6" w:rsidP="00DD5967">
            <w:r w:rsidRPr="00EF6AD3">
              <w:t xml:space="preserve">   M</w:t>
            </w:r>
            <w:r w:rsidR="00252015" w:rsidRPr="00EF6AD3">
              <w:t>oskevská 12</w:t>
            </w:r>
            <w:r w:rsidRPr="00EF6AD3">
              <w:t xml:space="preserve">, </w:t>
            </w:r>
            <w:r w:rsidR="00FE616E" w:rsidRPr="00EF6AD3">
              <w:t>43</w:t>
            </w:r>
            <w:r w:rsidR="00252015" w:rsidRPr="00EF6AD3">
              <w:t>4 01</w:t>
            </w:r>
            <w:r w:rsidR="00FE616E" w:rsidRPr="00EF6AD3">
              <w:t xml:space="preserve">, </w:t>
            </w:r>
            <w:r w:rsidR="00252015" w:rsidRPr="00EF6AD3">
              <w:t>Most</w:t>
            </w:r>
          </w:p>
        </w:tc>
      </w:tr>
      <w:tr w:rsidR="00895E4E" w:rsidRPr="006A7513" w14:paraId="63BDC28A" w14:textId="77777777" w:rsidTr="00DD5967">
        <w:tc>
          <w:tcPr>
            <w:tcW w:w="3213" w:type="dxa"/>
            <w:gridSpan w:val="2"/>
          </w:tcPr>
          <w:p w14:paraId="0466F2CB" w14:textId="2CC66E01" w:rsidR="00895E4E" w:rsidRPr="00EF6AD3" w:rsidRDefault="006159B6" w:rsidP="00DD5967">
            <w:pPr>
              <w:pStyle w:val="pole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F6AD3">
              <w:rPr>
                <w:rFonts w:ascii="Times New Roman" w:hAnsi="Times New Roman"/>
                <w:sz w:val="24"/>
                <w:szCs w:val="24"/>
                <w:lang w:val="cs-CZ"/>
              </w:rPr>
              <w:t>Zastoupena</w:t>
            </w:r>
            <w:r w:rsidR="00895E4E" w:rsidRPr="00EF6AD3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856" w:type="dxa"/>
          </w:tcPr>
          <w:p w14:paraId="7C7D088B" w14:textId="52D1F77D" w:rsidR="00895E4E" w:rsidRPr="00EF6AD3" w:rsidRDefault="00895E4E" w:rsidP="00DD5967">
            <w:r w:rsidRPr="00EF6AD3">
              <w:t xml:space="preserve">   </w:t>
            </w:r>
            <w:r w:rsidR="00252015" w:rsidRPr="00EF6AD3">
              <w:t>jednatelem Miroslavem Kuželkou</w:t>
            </w:r>
          </w:p>
        </w:tc>
      </w:tr>
      <w:tr w:rsidR="00895E4E" w:rsidRPr="006A7513" w14:paraId="5F5D9CCE" w14:textId="77777777" w:rsidTr="00DD5967">
        <w:tc>
          <w:tcPr>
            <w:tcW w:w="3213" w:type="dxa"/>
            <w:gridSpan w:val="2"/>
          </w:tcPr>
          <w:p w14:paraId="45D6F8D5" w14:textId="77777777" w:rsidR="00895E4E" w:rsidRPr="00EF6AD3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IČ:</w:t>
            </w:r>
          </w:p>
          <w:p w14:paraId="01DD26B1" w14:textId="351D78A0" w:rsidR="00252015" w:rsidRPr="00EF6AD3" w:rsidRDefault="00252015" w:rsidP="00DD5967">
            <w:pPr>
              <w:pStyle w:val="adresa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DIČ:</w:t>
            </w:r>
          </w:p>
        </w:tc>
        <w:tc>
          <w:tcPr>
            <w:tcW w:w="5856" w:type="dxa"/>
          </w:tcPr>
          <w:p w14:paraId="1C21FFC3" w14:textId="09DD126C" w:rsidR="00895E4E" w:rsidRPr="00EF6AD3" w:rsidRDefault="00895E4E" w:rsidP="00DD5967">
            <w:r w:rsidRPr="00EF6AD3">
              <w:t xml:space="preserve">   </w:t>
            </w:r>
            <w:r w:rsidR="00252015" w:rsidRPr="00EF6AD3">
              <w:t>287070</w:t>
            </w:r>
            <w:r w:rsidR="009752AD">
              <w:t>28</w:t>
            </w:r>
            <w:r w:rsidR="00252015" w:rsidRPr="00EF6AD3">
              <w:br/>
              <w:t xml:space="preserve">   CZ28707028 </w:t>
            </w:r>
          </w:p>
        </w:tc>
      </w:tr>
      <w:tr w:rsidR="00895E4E" w:rsidRPr="006A7513" w14:paraId="3110706F" w14:textId="77777777" w:rsidTr="00DD5967">
        <w:tc>
          <w:tcPr>
            <w:tcW w:w="3119" w:type="dxa"/>
          </w:tcPr>
          <w:p w14:paraId="255567D3" w14:textId="77777777" w:rsidR="00895E4E" w:rsidRPr="00EF6AD3" w:rsidRDefault="00895E4E" w:rsidP="00DD5967">
            <w:pPr>
              <w:pStyle w:val="adres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Bankovní spojení:</w:t>
            </w:r>
            <w:r w:rsidRPr="00EF6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9B1A36" w14:textId="77777777" w:rsidR="00A77AB5" w:rsidRPr="00EF6AD3" w:rsidRDefault="00895E4E" w:rsidP="00DD5967">
            <w:pPr>
              <w:pStyle w:val="adresa"/>
              <w:ind w:right="-39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Číslo účtu:</w:t>
            </w:r>
          </w:p>
          <w:p w14:paraId="77234090" w14:textId="77777777" w:rsidR="00A77AB5" w:rsidRPr="00EF6AD3" w:rsidRDefault="00A77AB5" w:rsidP="00DD5967">
            <w:pPr>
              <w:pStyle w:val="adresa"/>
              <w:ind w:right="-39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7426901" w14:textId="77777777" w:rsidR="00A77AB5" w:rsidRPr="00EF6AD3" w:rsidRDefault="00A77AB5" w:rsidP="00DD5967">
            <w:pPr>
              <w:pStyle w:val="adresa"/>
              <w:ind w:right="-39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Zástupce pro věcná jednání:</w:t>
            </w:r>
          </w:p>
          <w:p w14:paraId="587CCD16" w14:textId="5C5E671E" w:rsidR="00895E4E" w:rsidRPr="00EF6AD3" w:rsidRDefault="00A77AB5" w:rsidP="00DD5967">
            <w:pPr>
              <w:pStyle w:val="adresa"/>
              <w:ind w:right="-39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>Email/</w:t>
            </w:r>
            <w:proofErr w:type="gramStart"/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 xml:space="preserve">telefon:   </w:t>
            </w:r>
            <w:proofErr w:type="gramEnd"/>
            <w:r w:rsidRPr="00EF6AD3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</w:t>
            </w:r>
            <w:r w:rsidR="00895E4E" w:rsidRPr="00EF6AD3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</w:t>
            </w:r>
          </w:p>
        </w:tc>
        <w:tc>
          <w:tcPr>
            <w:tcW w:w="5951" w:type="dxa"/>
            <w:gridSpan w:val="2"/>
          </w:tcPr>
          <w:p w14:paraId="6F1B2BD0" w14:textId="77777777" w:rsidR="00EF6AD3" w:rsidRPr="00EF6AD3" w:rsidRDefault="00895E4E" w:rsidP="00EF6AD3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F6AD3">
              <w:t xml:space="preserve">     </w:t>
            </w:r>
            <w:proofErr w:type="spellStart"/>
            <w:r w:rsidR="00EF6AD3" w:rsidRPr="00EF6AD3">
              <w:rPr>
                <w:rFonts w:ascii="Times New Roman" w:hAnsi="Times New Roman" w:cs="Times New Roman"/>
                <w:sz w:val="24"/>
                <w:szCs w:val="24"/>
              </w:rPr>
              <w:t>Raiffeisen</w:t>
            </w:r>
            <w:proofErr w:type="spellEnd"/>
            <w:r w:rsidR="00EF6AD3" w:rsidRPr="00EF6AD3">
              <w:rPr>
                <w:rFonts w:ascii="Times New Roman" w:hAnsi="Times New Roman" w:cs="Times New Roman"/>
                <w:sz w:val="24"/>
                <w:szCs w:val="24"/>
              </w:rPr>
              <w:t xml:space="preserve"> Bank</w:t>
            </w:r>
          </w:p>
          <w:p w14:paraId="508114EA" w14:textId="58153A7A" w:rsidR="00A77AB5" w:rsidRPr="00EF6AD3" w:rsidRDefault="00895E4E" w:rsidP="00DD5967">
            <w:r w:rsidRPr="00EF6AD3">
              <w:t xml:space="preserve">     </w:t>
            </w:r>
            <w:r w:rsidR="00A06026" w:rsidRPr="009752AD">
              <w:rPr>
                <w:highlight w:val="black"/>
              </w:rPr>
              <w:t>4609538001</w:t>
            </w:r>
          </w:p>
          <w:p w14:paraId="076AD59E" w14:textId="77777777" w:rsidR="00A77AB5" w:rsidRPr="00EF6AD3" w:rsidRDefault="00A77AB5" w:rsidP="00DD5967"/>
          <w:p w14:paraId="65A98EF5" w14:textId="01EFEE93" w:rsidR="00A77AB5" w:rsidRPr="00EF6AD3" w:rsidRDefault="00A77AB5" w:rsidP="00DD5967">
            <w:r w:rsidRPr="00EF6AD3">
              <w:t xml:space="preserve">    </w:t>
            </w:r>
            <w:r w:rsidR="00895E4E" w:rsidRPr="00EF6AD3">
              <w:t xml:space="preserve"> </w:t>
            </w:r>
            <w:r w:rsidR="00252015" w:rsidRPr="00EF6AD3">
              <w:t>Miroslav Kuželka</w:t>
            </w:r>
          </w:p>
          <w:p w14:paraId="689B837E" w14:textId="4399B06F" w:rsidR="00895E4E" w:rsidRPr="00EF6AD3" w:rsidRDefault="00A77AB5" w:rsidP="00DD5967">
            <w:r w:rsidRPr="00EF6AD3">
              <w:t xml:space="preserve">     </w:t>
            </w:r>
            <w:hyperlink r:id="rId8" w:history="1">
              <w:r w:rsidR="00252015" w:rsidRPr="00EF6AD3">
                <w:rPr>
                  <w:rStyle w:val="Hypertextovodkaz"/>
                </w:rPr>
                <w:t>ponte@ponterecords.cz</w:t>
              </w:r>
            </w:hyperlink>
            <w:r w:rsidR="00252015" w:rsidRPr="00EF6AD3">
              <w:t xml:space="preserve">, </w:t>
            </w:r>
            <w:r w:rsidR="00252015" w:rsidRPr="009752AD">
              <w:rPr>
                <w:highlight w:val="black"/>
              </w:rPr>
              <w:t>776 670 712</w:t>
            </w:r>
            <w:bookmarkStart w:id="0" w:name="_GoBack"/>
            <w:bookmarkEnd w:id="0"/>
            <w:r w:rsidR="00895E4E" w:rsidRPr="00EF6AD3">
              <w:t xml:space="preserve">                             </w:t>
            </w:r>
          </w:p>
        </w:tc>
      </w:tr>
      <w:tr w:rsidR="00895E4E" w:rsidRPr="005027D6" w14:paraId="2015315F" w14:textId="77777777" w:rsidTr="00DD5967">
        <w:tc>
          <w:tcPr>
            <w:tcW w:w="3213" w:type="dxa"/>
            <w:gridSpan w:val="2"/>
          </w:tcPr>
          <w:p w14:paraId="5EB62F3C" w14:textId="77777777" w:rsidR="00895E4E" w:rsidRPr="00EF6AD3" w:rsidRDefault="00895E4E" w:rsidP="00DD5967">
            <w:pPr>
              <w:pStyle w:val="adresa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EF6AD3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„zhotovitel“)</w:t>
            </w:r>
          </w:p>
        </w:tc>
        <w:tc>
          <w:tcPr>
            <w:tcW w:w="5856" w:type="dxa"/>
          </w:tcPr>
          <w:p w14:paraId="0E3EF3A1" w14:textId="77777777" w:rsidR="00895E4E" w:rsidRPr="00EF6AD3" w:rsidRDefault="00895E4E" w:rsidP="00DD5967">
            <w:r w:rsidRPr="00EF6AD3">
              <w:t xml:space="preserve">   </w:t>
            </w:r>
            <w:r w:rsidRPr="00EF6AD3">
              <w:rPr>
                <w:b/>
              </w:rPr>
              <w:t xml:space="preserve">                               </w:t>
            </w:r>
          </w:p>
        </w:tc>
      </w:tr>
    </w:tbl>
    <w:p w14:paraId="03D49156" w14:textId="2DC33268" w:rsidR="00C820C2" w:rsidRPr="005027D6" w:rsidRDefault="00C820C2" w:rsidP="007D5073">
      <w:pPr>
        <w:widowControl w:val="0"/>
        <w:autoSpaceDE w:val="0"/>
        <w:autoSpaceDN w:val="0"/>
        <w:adjustRightInd w:val="0"/>
        <w:spacing w:before="100" w:after="100"/>
      </w:pPr>
    </w:p>
    <w:p w14:paraId="34718AB6" w14:textId="77777777" w:rsidR="00A77AB5" w:rsidRPr="005027D6" w:rsidRDefault="00A77AB5" w:rsidP="007D5073">
      <w:pPr>
        <w:widowControl w:val="0"/>
        <w:autoSpaceDE w:val="0"/>
        <w:autoSpaceDN w:val="0"/>
        <w:adjustRightInd w:val="0"/>
        <w:spacing w:before="100" w:after="100"/>
      </w:pPr>
    </w:p>
    <w:p w14:paraId="16DA362B" w14:textId="77777777" w:rsidR="00310EB1" w:rsidRPr="005027D6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5027D6">
        <w:t>uzavírají níže uvedeného dne, měsíce a roku tuto</w:t>
      </w:r>
    </w:p>
    <w:p w14:paraId="4C5CC3C5" w14:textId="77777777" w:rsidR="00310EB1" w:rsidRPr="005027D6" w:rsidRDefault="00310EB1" w:rsidP="00310EB1">
      <w:pPr>
        <w:pStyle w:val="nadpis-smlouva"/>
        <w:rPr>
          <w:rFonts w:ascii="Times New Roman" w:hAnsi="Times New Roman"/>
          <w:sz w:val="24"/>
          <w:szCs w:val="24"/>
        </w:rPr>
      </w:pPr>
      <w:r w:rsidRPr="005027D6">
        <w:rPr>
          <w:rFonts w:ascii="Times New Roman" w:hAnsi="Times New Roman"/>
          <w:sz w:val="24"/>
          <w:szCs w:val="24"/>
        </w:rPr>
        <w:t>SmlouvU o dílo:</w:t>
      </w:r>
    </w:p>
    <w:p w14:paraId="14B5E8B6" w14:textId="77777777" w:rsidR="00691778" w:rsidRPr="005027D6" w:rsidRDefault="00691778" w:rsidP="00310EB1">
      <w:pPr>
        <w:ind w:left="4248"/>
        <w:rPr>
          <w:b/>
        </w:rPr>
      </w:pPr>
    </w:p>
    <w:p w14:paraId="0E21DCC0" w14:textId="77777777" w:rsidR="00691778" w:rsidRPr="005027D6" w:rsidRDefault="00691778" w:rsidP="00310EB1">
      <w:pPr>
        <w:ind w:left="4248"/>
        <w:rPr>
          <w:b/>
        </w:rPr>
      </w:pPr>
    </w:p>
    <w:p w14:paraId="33D3E985" w14:textId="21AD3DA0" w:rsidR="00310EB1" w:rsidRPr="005027D6" w:rsidRDefault="00310EB1" w:rsidP="00310EB1">
      <w:pPr>
        <w:ind w:left="4248"/>
        <w:rPr>
          <w:b/>
        </w:rPr>
      </w:pPr>
      <w:r w:rsidRPr="005027D6">
        <w:rPr>
          <w:b/>
        </w:rPr>
        <w:t xml:space="preserve">    I.</w:t>
      </w:r>
    </w:p>
    <w:p w14:paraId="63B264E9" w14:textId="77777777" w:rsidR="00310EB1" w:rsidRPr="005027D6" w:rsidRDefault="00310EB1" w:rsidP="00310EB1">
      <w:pPr>
        <w:tabs>
          <w:tab w:val="center" w:pos="4536"/>
          <w:tab w:val="left" w:pos="5978"/>
        </w:tabs>
        <w:rPr>
          <w:b/>
        </w:rPr>
      </w:pPr>
      <w:r w:rsidRPr="005027D6">
        <w:rPr>
          <w:b/>
        </w:rPr>
        <w:tab/>
      </w:r>
      <w:r w:rsidR="00EC5B42" w:rsidRPr="005027D6">
        <w:rPr>
          <w:b/>
        </w:rPr>
        <w:t xml:space="preserve">Předmět smlouvy, specifikace díla </w:t>
      </w:r>
    </w:p>
    <w:p w14:paraId="4DD6376E" w14:textId="77777777" w:rsidR="00EC5B42" w:rsidRPr="005027D6" w:rsidRDefault="00EC5B42" w:rsidP="00310EB1">
      <w:pPr>
        <w:tabs>
          <w:tab w:val="center" w:pos="4536"/>
          <w:tab w:val="left" w:pos="5978"/>
        </w:tabs>
        <w:rPr>
          <w:b/>
        </w:rPr>
      </w:pPr>
    </w:p>
    <w:p w14:paraId="2E19494F" w14:textId="6A6608F6" w:rsidR="00310EB1" w:rsidRPr="005027D6" w:rsidRDefault="00310EB1" w:rsidP="00310EB1">
      <w:pPr>
        <w:numPr>
          <w:ilvl w:val="0"/>
          <w:numId w:val="6"/>
        </w:numPr>
        <w:jc w:val="both"/>
        <w:rPr>
          <w:b/>
        </w:rPr>
      </w:pPr>
      <w:r w:rsidRPr="005027D6">
        <w:t>Předmětem této smlouvy je úprava práv a povinností smluvních stran při provedení díla</w:t>
      </w:r>
      <w:r w:rsidR="009A1D3A" w:rsidRPr="005027D6">
        <w:t>:</w:t>
      </w:r>
      <w:r w:rsidR="00746868" w:rsidRPr="005027D6">
        <w:t xml:space="preserve"> </w:t>
      </w:r>
      <w:r w:rsidR="005027D6" w:rsidRPr="00EF6AD3">
        <w:t>„</w:t>
      </w:r>
      <w:r w:rsidR="00DB590B" w:rsidRPr="00EF6AD3">
        <w:rPr>
          <w:b/>
          <w:bCs/>
          <w:iCs/>
        </w:rPr>
        <w:t>V</w:t>
      </w:r>
      <w:r w:rsidR="00683528" w:rsidRPr="00EF6AD3">
        <w:rPr>
          <w:b/>
          <w:bCs/>
          <w:iCs/>
        </w:rPr>
        <w:t>ýro</w:t>
      </w:r>
      <w:r w:rsidR="00571A74" w:rsidRPr="00EF6AD3">
        <w:rPr>
          <w:b/>
          <w:bCs/>
          <w:iCs/>
        </w:rPr>
        <w:t>b</w:t>
      </w:r>
      <w:r w:rsidR="00683528" w:rsidRPr="00EF6AD3">
        <w:rPr>
          <w:b/>
          <w:bCs/>
          <w:iCs/>
        </w:rPr>
        <w:t xml:space="preserve">a </w:t>
      </w:r>
      <w:r w:rsidR="0040045B">
        <w:rPr>
          <w:b/>
          <w:bCs/>
          <w:iCs/>
        </w:rPr>
        <w:t>2</w:t>
      </w:r>
      <w:r w:rsidR="008F5A4E">
        <w:rPr>
          <w:b/>
          <w:bCs/>
          <w:iCs/>
        </w:rPr>
        <w:t xml:space="preserve">. části </w:t>
      </w:r>
      <w:r w:rsidR="00683528" w:rsidRPr="00EF6AD3">
        <w:rPr>
          <w:b/>
          <w:bCs/>
          <w:iCs/>
        </w:rPr>
        <w:t xml:space="preserve">vzdělávacího animovaného videa </w:t>
      </w:r>
      <w:r w:rsidR="00571A74" w:rsidRPr="00EF6AD3">
        <w:rPr>
          <w:b/>
          <w:bCs/>
          <w:iCs/>
        </w:rPr>
        <w:t xml:space="preserve">pro </w:t>
      </w:r>
      <w:r w:rsidR="00746868" w:rsidRPr="00EF6AD3">
        <w:rPr>
          <w:b/>
          <w:bCs/>
          <w:iCs/>
        </w:rPr>
        <w:t>Oblastní muze</w:t>
      </w:r>
      <w:r w:rsidR="00571A74" w:rsidRPr="00EF6AD3">
        <w:rPr>
          <w:b/>
          <w:bCs/>
          <w:iCs/>
        </w:rPr>
        <w:t xml:space="preserve">um </w:t>
      </w:r>
      <w:r w:rsidR="00746868" w:rsidRPr="00EF6AD3">
        <w:rPr>
          <w:b/>
          <w:bCs/>
          <w:iCs/>
        </w:rPr>
        <w:t>v</w:t>
      </w:r>
      <w:r w:rsidR="005027D6" w:rsidRPr="00EF6AD3">
        <w:rPr>
          <w:b/>
          <w:bCs/>
          <w:iCs/>
        </w:rPr>
        <w:t> </w:t>
      </w:r>
      <w:r w:rsidR="00746868" w:rsidRPr="00EF6AD3">
        <w:rPr>
          <w:b/>
          <w:bCs/>
          <w:iCs/>
        </w:rPr>
        <w:t>Chomutově</w:t>
      </w:r>
      <w:r w:rsidR="005027D6" w:rsidRPr="00EF6AD3">
        <w:rPr>
          <w:b/>
          <w:bCs/>
          <w:iCs/>
        </w:rPr>
        <w:t>“</w:t>
      </w:r>
      <w:r w:rsidR="00746868" w:rsidRPr="00EF6AD3">
        <w:rPr>
          <w:iCs/>
        </w:rPr>
        <w:t>,</w:t>
      </w:r>
      <w:r w:rsidR="00746868" w:rsidRPr="005027D6">
        <w:t xml:space="preserve"> </w:t>
      </w:r>
      <w:r w:rsidR="00775380" w:rsidRPr="005027D6">
        <w:t xml:space="preserve">uvedené a </w:t>
      </w:r>
      <w:r w:rsidR="00D13EC0" w:rsidRPr="005027D6">
        <w:t>specifikované</w:t>
      </w:r>
      <w:r w:rsidR="00775380" w:rsidRPr="005027D6">
        <w:t xml:space="preserve"> v příloze č. 1 této smlouvy</w:t>
      </w:r>
      <w:r w:rsidR="00BE1135" w:rsidRPr="005027D6">
        <w:t xml:space="preserve">, </w:t>
      </w:r>
      <w:r w:rsidRPr="005027D6">
        <w:t>za podmínek dále sjednaných v této smlouvě a dalších dokumentech, na které se tato smlouva odkazuje.</w:t>
      </w:r>
    </w:p>
    <w:p w14:paraId="6EF3A353" w14:textId="61553D78" w:rsidR="00AF7FFA" w:rsidRPr="005027D6" w:rsidRDefault="00AF7FFA" w:rsidP="005027D6">
      <w:pPr>
        <w:pStyle w:val="Odstavecseseznamem"/>
        <w:numPr>
          <w:ilvl w:val="0"/>
          <w:numId w:val="6"/>
        </w:numPr>
        <w:jc w:val="both"/>
        <w:rPr>
          <w:i/>
          <w:color w:val="0000FF"/>
        </w:rPr>
      </w:pPr>
      <w:r w:rsidRPr="005027D6">
        <w:lastRenderedPageBreak/>
        <w:t>Zhotovitel prohlašuje, že je mu předmět díla zcela zřejmý a znám</w:t>
      </w:r>
      <w:r w:rsidR="00EC5B42" w:rsidRPr="005027D6">
        <w:t>ý</w:t>
      </w:r>
      <w:r w:rsidRPr="005027D6">
        <w:t xml:space="preserve">. Zhotovitel dále potvrzuje, že </w:t>
      </w:r>
      <w:r w:rsidR="00EC5B42" w:rsidRPr="005027D6">
        <w:t>je pln</w:t>
      </w:r>
      <w:r w:rsidR="00F52276" w:rsidRPr="005027D6">
        <w:t>ě</w:t>
      </w:r>
      <w:r w:rsidR="00EC5B42" w:rsidRPr="005027D6"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77777777" w:rsidR="00EC5B42" w:rsidRPr="005027D6" w:rsidRDefault="00EC5B42" w:rsidP="005027D6">
      <w:pPr>
        <w:numPr>
          <w:ilvl w:val="0"/>
          <w:numId w:val="6"/>
        </w:numPr>
        <w:jc w:val="both"/>
        <w:rPr>
          <w:i/>
          <w:color w:val="0000FF"/>
        </w:rPr>
      </w:pPr>
      <w:r w:rsidRPr="005027D6">
        <w:t>Zhotovitel se zavazuje provést dílo pro objednatele na svůj náklad a na své nebezpečí a objednatel se zavazuje dílo převzít a zaplatit cenu díla.</w:t>
      </w:r>
    </w:p>
    <w:p w14:paraId="376DACC8" w14:textId="5DB36816" w:rsidR="0068337C" w:rsidRPr="00EF6AD3" w:rsidRDefault="0068337C" w:rsidP="005027D6">
      <w:pPr>
        <w:numPr>
          <w:ilvl w:val="0"/>
          <w:numId w:val="6"/>
        </w:numPr>
        <w:jc w:val="both"/>
      </w:pPr>
      <w:r w:rsidRPr="00EF6AD3">
        <w:rPr>
          <w:iCs/>
        </w:rPr>
        <w:t>Dílo</w:t>
      </w:r>
      <w:r w:rsidRPr="00EF6AD3">
        <w:t xml:space="preserve"> je určeno pro účely: </w:t>
      </w:r>
      <w:r w:rsidR="00AF17D6" w:rsidRPr="00EF6AD3">
        <w:t xml:space="preserve">vzdělávací </w:t>
      </w:r>
      <w:r w:rsidR="001E2D4C" w:rsidRPr="00EF6AD3">
        <w:t>a výstavní</w:t>
      </w:r>
      <w:r w:rsidR="00B419EE" w:rsidRPr="00EF6AD3">
        <w:t>.</w:t>
      </w:r>
    </w:p>
    <w:p w14:paraId="42E6F62C" w14:textId="77777777" w:rsidR="009872D4" w:rsidRPr="005027D6" w:rsidRDefault="009872D4" w:rsidP="005027D6">
      <w:pPr>
        <w:pStyle w:val="Odstavecseseznamem"/>
        <w:numPr>
          <w:ilvl w:val="0"/>
          <w:numId w:val="6"/>
        </w:numPr>
        <w:jc w:val="both"/>
      </w:pPr>
      <w:r w:rsidRPr="005027D6"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395814FA" w:rsidR="00E35298" w:rsidRPr="005027D6" w:rsidRDefault="00E35298" w:rsidP="005027D6">
      <w:pPr>
        <w:pStyle w:val="Odstavecseseznamem"/>
        <w:numPr>
          <w:ilvl w:val="0"/>
          <w:numId w:val="6"/>
        </w:numPr>
        <w:jc w:val="both"/>
      </w:pPr>
      <w:r w:rsidRPr="005027D6">
        <w:t>Zhotovitel provede dílo s potřebnou péčí v ujednaném čase a obstará vše, co je k provedení díla potřeba.</w:t>
      </w:r>
    </w:p>
    <w:p w14:paraId="316B19C6" w14:textId="77777777" w:rsidR="00310EB1" w:rsidRPr="005027D6" w:rsidRDefault="00310EB1" w:rsidP="00310EB1">
      <w:pPr>
        <w:ind w:left="284" w:hanging="284"/>
        <w:rPr>
          <w:color w:val="FF0000"/>
        </w:rPr>
      </w:pPr>
    </w:p>
    <w:p w14:paraId="74C886FC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II.</w:t>
      </w:r>
    </w:p>
    <w:p w14:paraId="4BEF6B61" w14:textId="22EF8D21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 xml:space="preserve">Doba a místo </w:t>
      </w:r>
      <w:r w:rsidRPr="005027D6">
        <w:rPr>
          <w:b/>
          <w:iCs/>
        </w:rPr>
        <w:t>dodání díla</w:t>
      </w:r>
    </w:p>
    <w:p w14:paraId="3AF74F91" w14:textId="77777777" w:rsidR="00310EB1" w:rsidRPr="005027D6" w:rsidRDefault="00310EB1" w:rsidP="00310EB1"/>
    <w:p w14:paraId="3CB433A9" w14:textId="19EE8C85" w:rsidR="00310EB1" w:rsidRPr="00EF6AD3" w:rsidRDefault="00310EB1" w:rsidP="00B11E4E">
      <w:pPr>
        <w:numPr>
          <w:ilvl w:val="0"/>
          <w:numId w:val="9"/>
        </w:numPr>
      </w:pPr>
      <w:r w:rsidRPr="00EF6AD3">
        <w:t>Zhotovitel se zava</w:t>
      </w:r>
      <w:r w:rsidR="0040045B">
        <w:t>zuje</w:t>
      </w:r>
      <w:r w:rsidRPr="00EF6AD3">
        <w:t xml:space="preserve"> provést dílo v</w:t>
      </w:r>
      <w:r w:rsidR="00AF17D6" w:rsidRPr="00EF6AD3">
        <w:t>e dvou fázích</w:t>
      </w:r>
      <w:r w:rsidR="00EF6AD3" w:rsidRPr="00EF6AD3">
        <w:t xml:space="preserve">, přičemž tato smlouva upravuje </w:t>
      </w:r>
      <w:r w:rsidR="0040045B">
        <w:t>druhou</w:t>
      </w:r>
      <w:r w:rsidR="00EF6AD3" w:rsidRPr="00EF6AD3">
        <w:t xml:space="preserve"> část, a to dle specifikace v příloze této smlouvy.</w:t>
      </w:r>
      <w:r w:rsidR="0009086F" w:rsidRPr="00EF6AD3">
        <w:t xml:space="preserve"> </w:t>
      </w:r>
      <w:r w:rsidR="0040045B">
        <w:t>2</w:t>
      </w:r>
      <w:r w:rsidR="00AF17D6" w:rsidRPr="00EF6AD3">
        <w:t xml:space="preserve">. </w:t>
      </w:r>
      <w:r w:rsidR="00EF6AD3">
        <w:t>část</w:t>
      </w:r>
      <w:r w:rsidR="0009086F" w:rsidRPr="00EF6AD3">
        <w:t xml:space="preserve"> </w:t>
      </w:r>
      <w:r w:rsidR="00B11E4E" w:rsidRPr="00EF6AD3">
        <w:t xml:space="preserve">výroby </w:t>
      </w:r>
      <w:r w:rsidR="00EF6AD3" w:rsidRPr="00EF6AD3">
        <w:t xml:space="preserve">bude dodána </w:t>
      </w:r>
      <w:r w:rsidR="00AF17D6" w:rsidRPr="00EF6AD3">
        <w:t>do 3</w:t>
      </w:r>
      <w:r w:rsidR="0040045B">
        <w:t>0</w:t>
      </w:r>
      <w:r w:rsidR="00AF17D6" w:rsidRPr="00EF6AD3">
        <w:t xml:space="preserve">. </w:t>
      </w:r>
      <w:r w:rsidR="0040045B">
        <w:t>6</w:t>
      </w:r>
      <w:r w:rsidR="00AF17D6" w:rsidRPr="00EF6AD3">
        <w:t>.</w:t>
      </w:r>
      <w:r w:rsidR="00EF6AD3" w:rsidRPr="00EF6AD3">
        <w:t xml:space="preserve"> </w:t>
      </w:r>
      <w:r w:rsidR="00AF17D6" w:rsidRPr="00EF6AD3">
        <w:t>202</w:t>
      </w:r>
      <w:r w:rsidR="0040045B">
        <w:t>3. První fáze už byla zrealizována v roce 2022.</w:t>
      </w:r>
    </w:p>
    <w:p w14:paraId="60C58A7D" w14:textId="555B05E3" w:rsidR="00310EB1" w:rsidRPr="005027D6" w:rsidRDefault="00310EB1" w:rsidP="00310EB1">
      <w:pPr>
        <w:numPr>
          <w:ilvl w:val="0"/>
          <w:numId w:val="9"/>
        </w:numPr>
        <w:jc w:val="both"/>
        <w:rPr>
          <w:color w:val="0000FF"/>
        </w:rPr>
      </w:pPr>
      <w:r w:rsidRPr="005027D6">
        <w:t xml:space="preserve">Místem </w:t>
      </w:r>
      <w:r w:rsidR="00BE1135" w:rsidRPr="005027D6">
        <w:t xml:space="preserve">dodání </w:t>
      </w:r>
      <w:r w:rsidRPr="005027D6">
        <w:t>díla j</w:t>
      </w:r>
      <w:r w:rsidR="00C23F0F" w:rsidRPr="005027D6">
        <w:t>sou výstavní prostory Oblastního muzea v Chomutově – radnice (náměstí 1. máje 1)</w:t>
      </w:r>
      <w:r w:rsidR="00746CDF" w:rsidRPr="005027D6">
        <w:t>.</w:t>
      </w:r>
    </w:p>
    <w:p w14:paraId="155EBB73" w14:textId="77777777" w:rsidR="00310EB1" w:rsidRPr="005027D6" w:rsidRDefault="00310EB1" w:rsidP="00310EB1">
      <w:pPr>
        <w:ind w:left="283"/>
        <w:rPr>
          <w:color w:val="FF0000"/>
        </w:rPr>
      </w:pPr>
    </w:p>
    <w:p w14:paraId="22A3D801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III.</w:t>
      </w:r>
    </w:p>
    <w:p w14:paraId="02A25B49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Cena díla a platební podmínky</w:t>
      </w:r>
    </w:p>
    <w:p w14:paraId="2994A67C" w14:textId="77777777" w:rsidR="00310EB1" w:rsidRPr="005027D6" w:rsidRDefault="00310EB1" w:rsidP="00310EB1"/>
    <w:p w14:paraId="46C3A7E9" w14:textId="4ED5FDAA" w:rsidR="00310EB1" w:rsidRPr="008F5A4E" w:rsidRDefault="00310EB1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b/>
          <w:bCs/>
        </w:rPr>
      </w:pPr>
      <w:r w:rsidRPr="008F5A4E">
        <w:t>Cena díla</w:t>
      </w:r>
      <w:r w:rsidR="00855821" w:rsidRPr="008F5A4E">
        <w:t xml:space="preserve"> </w:t>
      </w:r>
      <w:r w:rsidRPr="008F5A4E">
        <w:t xml:space="preserve">se ujednává ve </w:t>
      </w:r>
      <w:r w:rsidR="005027D6" w:rsidRPr="008F5A4E">
        <w:t>výši</w:t>
      </w:r>
      <w:r w:rsidR="006B1F67" w:rsidRPr="008F5A4E">
        <w:t xml:space="preserve"> </w:t>
      </w:r>
      <w:r w:rsidR="0040045B">
        <w:rPr>
          <w:b/>
          <w:color w:val="000000" w:themeColor="text1"/>
        </w:rPr>
        <w:t>130</w:t>
      </w:r>
      <w:r w:rsidR="00AD0F73" w:rsidRPr="008F5A4E">
        <w:rPr>
          <w:b/>
          <w:color w:val="000000" w:themeColor="text1"/>
        </w:rPr>
        <w:t>.</w:t>
      </w:r>
      <w:r w:rsidR="00855821" w:rsidRPr="008F5A4E">
        <w:rPr>
          <w:b/>
          <w:color w:val="000000" w:themeColor="text1"/>
        </w:rPr>
        <w:t>000</w:t>
      </w:r>
      <w:r w:rsidR="005027D6" w:rsidRPr="008F5A4E">
        <w:rPr>
          <w:b/>
          <w:color w:val="000000" w:themeColor="text1"/>
        </w:rPr>
        <w:t>,</w:t>
      </w:r>
      <w:r w:rsidRPr="008F5A4E">
        <w:rPr>
          <w:b/>
          <w:bCs/>
          <w:color w:val="000000" w:themeColor="text1"/>
        </w:rPr>
        <w:t xml:space="preserve">- Kč </w:t>
      </w:r>
      <w:r w:rsidRPr="008F5A4E">
        <w:rPr>
          <w:bCs/>
        </w:rPr>
        <w:t>(slovy:</w:t>
      </w:r>
      <w:r w:rsidR="0040045B">
        <w:rPr>
          <w:bCs/>
        </w:rPr>
        <w:t xml:space="preserve"> jedno</w:t>
      </w:r>
      <w:r w:rsidR="00532FB2" w:rsidRPr="008F5A4E">
        <w:rPr>
          <w:bCs/>
        </w:rPr>
        <w:t xml:space="preserve"> </w:t>
      </w:r>
      <w:r w:rsidR="0040045B">
        <w:rPr>
          <w:bCs/>
        </w:rPr>
        <w:t>sto třicet</w:t>
      </w:r>
      <w:r w:rsidR="00855821" w:rsidRPr="008F5A4E">
        <w:rPr>
          <w:bCs/>
        </w:rPr>
        <w:t xml:space="preserve"> </w:t>
      </w:r>
      <w:r w:rsidR="00532FB2" w:rsidRPr="008F5A4E">
        <w:rPr>
          <w:bCs/>
        </w:rPr>
        <w:t xml:space="preserve">tisíc </w:t>
      </w:r>
      <w:r w:rsidRPr="008F5A4E">
        <w:rPr>
          <w:bCs/>
        </w:rPr>
        <w:t>korun českých)</w:t>
      </w:r>
      <w:r w:rsidRPr="008F5A4E">
        <w:rPr>
          <w:b/>
          <w:bCs/>
        </w:rPr>
        <w:t xml:space="preserve"> bez DPH</w:t>
      </w:r>
      <w:r w:rsidR="008F5A4E">
        <w:rPr>
          <w:b/>
          <w:bCs/>
        </w:rPr>
        <w:t xml:space="preserve">, </w:t>
      </w:r>
      <w:r w:rsidR="00855821" w:rsidRPr="008F5A4E">
        <w:rPr>
          <w:b/>
          <w:bCs/>
          <w:color w:val="000000" w:themeColor="text1"/>
        </w:rPr>
        <w:t>1</w:t>
      </w:r>
      <w:r w:rsidR="0040045B">
        <w:rPr>
          <w:b/>
          <w:bCs/>
          <w:color w:val="000000" w:themeColor="text1"/>
        </w:rPr>
        <w:t>57</w:t>
      </w:r>
      <w:r w:rsidR="00855821" w:rsidRPr="008F5A4E">
        <w:rPr>
          <w:b/>
          <w:bCs/>
          <w:color w:val="000000" w:themeColor="text1"/>
        </w:rPr>
        <w:t>.</w:t>
      </w:r>
      <w:r w:rsidR="0040045B">
        <w:rPr>
          <w:b/>
          <w:bCs/>
          <w:color w:val="000000" w:themeColor="text1"/>
        </w:rPr>
        <w:t>3</w:t>
      </w:r>
      <w:r w:rsidR="00855821" w:rsidRPr="008F5A4E">
        <w:rPr>
          <w:b/>
          <w:bCs/>
          <w:color w:val="000000" w:themeColor="text1"/>
        </w:rPr>
        <w:t xml:space="preserve">00,- </w:t>
      </w:r>
      <w:r w:rsidR="00855821" w:rsidRPr="008F5A4E">
        <w:t xml:space="preserve">(slovy: </w:t>
      </w:r>
      <w:r w:rsidR="008F5A4E" w:rsidRPr="008F5A4E">
        <w:t xml:space="preserve">jedno </w:t>
      </w:r>
      <w:r w:rsidR="00855821" w:rsidRPr="008F5A4E">
        <w:t xml:space="preserve">sto </w:t>
      </w:r>
      <w:r w:rsidR="0040045B">
        <w:t>padesát sedm</w:t>
      </w:r>
      <w:r w:rsidR="00855821" w:rsidRPr="008F5A4E">
        <w:t xml:space="preserve"> tisíc </w:t>
      </w:r>
      <w:r w:rsidR="0040045B">
        <w:t>tři</w:t>
      </w:r>
      <w:r w:rsidR="00855821" w:rsidRPr="008F5A4E">
        <w:t xml:space="preserve"> s</w:t>
      </w:r>
      <w:r w:rsidR="0040045B">
        <w:t>ta</w:t>
      </w:r>
      <w:r w:rsidR="00855821" w:rsidRPr="008F5A4E">
        <w:t xml:space="preserve"> korun českých)</w:t>
      </w:r>
      <w:r w:rsidR="008F5A4E">
        <w:t xml:space="preserve"> </w:t>
      </w:r>
      <w:r w:rsidR="008F5A4E" w:rsidRPr="008F5A4E">
        <w:rPr>
          <w:b/>
        </w:rPr>
        <w:t>s DPH</w:t>
      </w:r>
      <w:r w:rsidR="00EA1544" w:rsidRPr="008F5A4E">
        <w:rPr>
          <w:b/>
          <w:bCs/>
        </w:rPr>
        <w:t>.</w:t>
      </w:r>
      <w:r w:rsidR="00D9406D" w:rsidRPr="008F5A4E">
        <w:rPr>
          <w:bCs/>
        </w:rPr>
        <w:t xml:space="preserve"> </w:t>
      </w:r>
    </w:p>
    <w:p w14:paraId="2AC31904" w14:textId="2D399A58" w:rsidR="00310EB1" w:rsidRPr="005027D6" w:rsidRDefault="00310EB1" w:rsidP="00310EB1">
      <w:pPr>
        <w:numPr>
          <w:ilvl w:val="0"/>
          <w:numId w:val="3"/>
        </w:numPr>
        <w:jc w:val="both"/>
      </w:pPr>
      <w:r w:rsidRPr="005027D6">
        <w:t>Cena díla je ujednána dohodou smluvních stran</w:t>
      </w:r>
      <w:r w:rsidR="002D72DB" w:rsidRPr="005027D6">
        <w:t xml:space="preserve"> a vnikla na základě cenové rozvahy</w:t>
      </w:r>
      <w:r w:rsidRPr="005027D6">
        <w:t xml:space="preserve">. Cena díla bez DPH je stanovena jako nejvýše přípustná a nepřekročitelná a obsahuje veškeré náklady spojené s realizací díla. Sazba DPH se řídí příslušným právním předpisem. Zhotovitel není oprávněn žádat </w:t>
      </w:r>
      <w:r w:rsidR="00021444" w:rsidRPr="005027D6">
        <w:t xml:space="preserve">zvýšení </w:t>
      </w:r>
      <w:r w:rsidRPr="005027D6">
        <w:t xml:space="preserve">ceny díla </w:t>
      </w:r>
      <w:r w:rsidR="000505B9" w:rsidRPr="005027D6">
        <w:t>(např.</w:t>
      </w:r>
      <w:r w:rsidRPr="005027D6">
        <w:t xml:space="preserve"> že provádění díla si vyžádalo jiné úsilí nebo jiné náklady, než bylo předpokládáno). Zhotovitel přebírá ve smyslu </w:t>
      </w:r>
      <w:proofErr w:type="spellStart"/>
      <w:r w:rsidRPr="005027D6">
        <w:t>ust</w:t>
      </w:r>
      <w:proofErr w:type="spellEnd"/>
      <w:r w:rsidRPr="005027D6">
        <w:t xml:space="preserve">. § 2620 odst. </w:t>
      </w:r>
      <w:r w:rsidR="002D72DB" w:rsidRPr="005027D6">
        <w:t>2 občanského</w:t>
      </w:r>
      <w:r w:rsidRPr="005027D6">
        <w:t xml:space="preserve"> zákoníku nebezpečí změny okolností.</w:t>
      </w:r>
    </w:p>
    <w:p w14:paraId="319977F4" w14:textId="7552CBF5" w:rsidR="008E010A" w:rsidRPr="005027D6" w:rsidRDefault="00310EB1" w:rsidP="00310EB1">
      <w:pPr>
        <w:numPr>
          <w:ilvl w:val="0"/>
          <w:numId w:val="3"/>
        </w:numPr>
        <w:jc w:val="both"/>
      </w:pPr>
      <w:r w:rsidRPr="005027D6">
        <w:t>Cena díla bude zaplacena objednatelem na základě vystaveného daňového dokladu – faktury (dále i jako „faktura“), kterou je zhotovitel oprávněn vystavit až po předání a převzetí díla.</w:t>
      </w:r>
      <w:r w:rsidRPr="005027D6">
        <w:rPr>
          <w:snapToGrid w:val="0"/>
        </w:rPr>
        <w:t xml:space="preserve"> </w:t>
      </w:r>
      <w:r w:rsidR="00021444" w:rsidRPr="005027D6">
        <w:rPr>
          <w:snapToGrid w:val="0"/>
        </w:rPr>
        <w:t>Lhůta splatnosti činí</w:t>
      </w:r>
      <w:r w:rsidR="00520C0B" w:rsidRPr="005027D6">
        <w:rPr>
          <w:snapToGrid w:val="0"/>
        </w:rPr>
        <w:t xml:space="preserve"> </w:t>
      </w:r>
      <w:r w:rsidR="00E9262A" w:rsidRPr="005027D6">
        <w:rPr>
          <w:snapToGrid w:val="0"/>
        </w:rPr>
        <w:t>21</w:t>
      </w:r>
      <w:r w:rsidR="00021444" w:rsidRPr="005027D6">
        <w:rPr>
          <w:snapToGrid w:val="0"/>
        </w:rPr>
        <w:t xml:space="preserve"> dnů od doručení faktury objednateli. </w:t>
      </w:r>
    </w:p>
    <w:p w14:paraId="679B9FA2" w14:textId="77777777" w:rsidR="00310EB1" w:rsidRPr="005027D6" w:rsidRDefault="00310EB1" w:rsidP="00310EB1">
      <w:pPr>
        <w:numPr>
          <w:ilvl w:val="0"/>
          <w:numId w:val="3"/>
        </w:numPr>
        <w:jc w:val="both"/>
      </w:pPr>
      <w:r w:rsidRPr="005027D6">
        <w:t xml:space="preserve">Podkladem pro vystavení faktury je Protokol o předání a převzetí díla (dále i jako „Protokol“) stvrzený oběma smluvními stranami. </w:t>
      </w:r>
    </w:p>
    <w:p w14:paraId="5847FB71" w14:textId="40989032" w:rsidR="00310EB1" w:rsidRPr="005027D6" w:rsidRDefault="00BE1135" w:rsidP="00310EB1">
      <w:pPr>
        <w:numPr>
          <w:ilvl w:val="0"/>
          <w:numId w:val="3"/>
        </w:numPr>
        <w:jc w:val="both"/>
      </w:pPr>
      <w:r w:rsidRPr="005027D6">
        <w:t xml:space="preserve">Faktura </w:t>
      </w:r>
      <w:r w:rsidR="00310EB1" w:rsidRPr="005027D6">
        <w:t>vystavená zhotovitelem musí obsa</w:t>
      </w:r>
      <w:r w:rsidR="00021444" w:rsidRPr="005027D6">
        <w:t>hovat lh</w:t>
      </w:r>
      <w:r w:rsidR="00310EB1" w:rsidRPr="005027D6">
        <w:t>ůt</w:t>
      </w:r>
      <w:r w:rsidR="00021444" w:rsidRPr="005027D6">
        <w:t xml:space="preserve">u splatnosti podle čl. III. odst. </w:t>
      </w:r>
      <w:r w:rsidR="003B0FE8" w:rsidRPr="005027D6">
        <w:t>3</w:t>
      </w:r>
      <w:r w:rsidR="00021444" w:rsidRPr="005027D6">
        <w:t>, tj.</w:t>
      </w:r>
      <w:r w:rsidR="00262B5C" w:rsidRPr="005027D6">
        <w:t xml:space="preserve"> </w:t>
      </w:r>
      <w:r w:rsidR="0081210F" w:rsidRPr="005027D6">
        <w:t>21</w:t>
      </w:r>
      <w:r w:rsidR="00021444" w:rsidRPr="005027D6">
        <w:t xml:space="preserve"> </w:t>
      </w:r>
      <w:r w:rsidR="00310EB1" w:rsidRPr="005027D6">
        <w:t>dnů od doručení faktury objednateli, náležitosti daňového dokladu stanovené příslušnými právními předpisy, zejména zákonem č. 235/2004 Sb. o dani z přidané hodnoty, ve znění pozdějších předpisů, a údaje dle § 435 občanského zákoníku</w:t>
      </w:r>
      <w:r w:rsidR="00021444" w:rsidRPr="005027D6">
        <w:t xml:space="preserve">. Faktura </w:t>
      </w:r>
      <w:r w:rsidR="00310EB1" w:rsidRPr="005027D6">
        <w:t>bude objednateli doručen</w:t>
      </w:r>
      <w:r w:rsidR="00021444" w:rsidRPr="005027D6">
        <w:t>a</w:t>
      </w:r>
      <w:r w:rsidR="00310EB1" w:rsidRPr="005027D6">
        <w:t xml:space="preserve"> v listinné podobě, popř. výjimečně v elektronické podobě do datové schránky.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C8605FA" w14:textId="77777777" w:rsidR="00310EB1" w:rsidRPr="005027D6" w:rsidRDefault="00310EB1" w:rsidP="00310EB1">
      <w:pPr>
        <w:numPr>
          <w:ilvl w:val="0"/>
          <w:numId w:val="3"/>
        </w:numPr>
        <w:jc w:val="both"/>
        <w:rPr>
          <w:i/>
        </w:rPr>
      </w:pPr>
      <w:r w:rsidRPr="005027D6">
        <w:t xml:space="preserve">Úhrada ceny díla bude provedena bezhotovostní formou převodem na bankovní účet zhotovitele. Pokud je zhotovitel plátce DPH, bude úhrada ceny provedena pouze na účet </w:t>
      </w:r>
      <w:r w:rsidRPr="005027D6">
        <w:lastRenderedPageBreak/>
        <w:t>zveřejněný v registru plátců vedeném správcem daně zhotovitele. Obě smluvní strany se dohodly na tom, že peněžitý závazek je splněn dnem, kdy je částka odepsána z účtu objednatele</w:t>
      </w:r>
      <w:r w:rsidRPr="005027D6">
        <w:rPr>
          <w:i/>
        </w:rPr>
        <w:t xml:space="preserve">. </w:t>
      </w:r>
    </w:p>
    <w:p w14:paraId="767ABD7E" w14:textId="77777777" w:rsidR="00453328" w:rsidRPr="005027D6" w:rsidRDefault="00453328" w:rsidP="00453328">
      <w:pPr>
        <w:numPr>
          <w:ilvl w:val="0"/>
          <w:numId w:val="3"/>
        </w:numPr>
        <w:jc w:val="both"/>
      </w:pPr>
      <w:r w:rsidRPr="005027D6">
        <w:t>Pro platby dle článku VI. této smlouvy platí přiměřeně platební podmínky jako pro vystavení a placení faktury.</w:t>
      </w:r>
    </w:p>
    <w:p w14:paraId="1CA01F30" w14:textId="77777777" w:rsidR="00310EB1" w:rsidRPr="005027D6" w:rsidRDefault="00310EB1" w:rsidP="00310EB1">
      <w:pPr>
        <w:numPr>
          <w:ilvl w:val="0"/>
          <w:numId w:val="3"/>
        </w:numPr>
        <w:jc w:val="both"/>
      </w:pPr>
      <w:r w:rsidRPr="005027D6"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5B49A8D2" w14:textId="33DE6D3C" w:rsidR="00691778" w:rsidRPr="005027D6" w:rsidRDefault="00691778" w:rsidP="00310EB1">
      <w:pPr>
        <w:jc w:val="center"/>
      </w:pPr>
    </w:p>
    <w:p w14:paraId="55F3ACC0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IV.</w:t>
      </w:r>
    </w:p>
    <w:p w14:paraId="00373226" w14:textId="77777777" w:rsidR="00310EB1" w:rsidRPr="005027D6" w:rsidRDefault="00310EB1" w:rsidP="00310EB1">
      <w:pPr>
        <w:pStyle w:val="Nadpis1"/>
      </w:pPr>
      <w:r w:rsidRPr="005027D6">
        <w:t>Splnění závazku (provedení díla)</w:t>
      </w:r>
    </w:p>
    <w:p w14:paraId="608B7A99" w14:textId="339738E4" w:rsidR="00310EB1" w:rsidRPr="005027D6" w:rsidRDefault="00310EB1" w:rsidP="00310EB1">
      <w:pPr>
        <w:pStyle w:val="Nadpis1"/>
        <w:rPr>
          <w:bCs/>
        </w:rPr>
      </w:pPr>
      <w:r w:rsidRPr="005027D6">
        <w:rPr>
          <w:bCs/>
        </w:rPr>
        <w:t xml:space="preserve">Přechod nebezpečí škody </w:t>
      </w:r>
    </w:p>
    <w:p w14:paraId="61EB3286" w14:textId="77777777" w:rsidR="00310EB1" w:rsidRPr="005027D6" w:rsidRDefault="00310EB1" w:rsidP="00310EB1">
      <w:pPr>
        <w:jc w:val="both"/>
      </w:pPr>
    </w:p>
    <w:p w14:paraId="16FE18F9" w14:textId="4DCF0721" w:rsidR="00310EB1" w:rsidRPr="005027D6" w:rsidRDefault="00310EB1" w:rsidP="00387390">
      <w:pPr>
        <w:numPr>
          <w:ilvl w:val="0"/>
          <w:numId w:val="1"/>
        </w:numPr>
        <w:ind w:left="357" w:hanging="357"/>
        <w:jc w:val="both"/>
        <w:rPr>
          <w:color w:val="00B0F0"/>
        </w:rPr>
      </w:pPr>
      <w:r w:rsidRPr="005027D6">
        <w:t>Ke splnění závazku zhotovitele dojde úplným dokončením a předáním díla objednateli v místě dodání díla a potvrzením (podepsáním) Protokolu oběma smluvními stranami.</w:t>
      </w:r>
      <w:r w:rsidR="00387390" w:rsidRPr="005027D6">
        <w:t xml:space="preserve"> </w:t>
      </w:r>
    </w:p>
    <w:p w14:paraId="2D10B737" w14:textId="139C91C9" w:rsidR="00310EB1" w:rsidRPr="005027D6" w:rsidRDefault="00310EB1" w:rsidP="00310E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5027D6"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5179A4" w14:textId="77777777" w:rsidR="00310EB1" w:rsidRPr="005027D6" w:rsidRDefault="00310EB1" w:rsidP="00310E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5027D6">
        <w:t>Nebezpečí škody na díle přechází ze zhotovitele na objednatele okamžikem splnění závazku zhotovitele způsobem uvedeným v odst. 1. tohoto článku.</w:t>
      </w:r>
    </w:p>
    <w:p w14:paraId="51B47F6A" w14:textId="03CED822" w:rsidR="00310EB1" w:rsidRPr="005027D6" w:rsidRDefault="00310EB1" w:rsidP="00691778">
      <w:pPr>
        <w:numPr>
          <w:ilvl w:val="0"/>
          <w:numId w:val="1"/>
        </w:numPr>
        <w:ind w:left="357" w:hanging="357"/>
        <w:jc w:val="both"/>
        <w:rPr>
          <w:i/>
          <w:color w:val="00B0F0"/>
          <w:u w:val="single"/>
        </w:rPr>
      </w:pPr>
      <w:r w:rsidRPr="005027D6">
        <w:rPr>
          <w:iCs/>
        </w:rPr>
        <w:t>Vlastnické právo k dokončenému a předanému dílu přechází na objednatele okamžikem splnění závazku zhotovitele způsobem uvedeným dle odst. 1. tohoto článku.</w:t>
      </w:r>
    </w:p>
    <w:p w14:paraId="56B1D1F1" w14:textId="77777777" w:rsidR="00310EB1" w:rsidRPr="005027D6" w:rsidRDefault="00310EB1" w:rsidP="00310EB1">
      <w:pPr>
        <w:jc w:val="both"/>
      </w:pPr>
    </w:p>
    <w:p w14:paraId="7ECFE942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V.</w:t>
      </w:r>
    </w:p>
    <w:p w14:paraId="09347999" w14:textId="77777777" w:rsidR="00310EB1" w:rsidRPr="005027D6" w:rsidRDefault="00310EB1" w:rsidP="00310EB1">
      <w:pPr>
        <w:pStyle w:val="Nadpis1"/>
      </w:pPr>
      <w:r w:rsidRPr="005027D6">
        <w:t>Odpovědnost zhotovitele za vady a jakost</w:t>
      </w:r>
    </w:p>
    <w:p w14:paraId="3D29965C" w14:textId="77777777" w:rsidR="00310EB1" w:rsidRPr="005027D6" w:rsidRDefault="00310EB1" w:rsidP="00310EB1">
      <w:pPr>
        <w:jc w:val="both"/>
      </w:pPr>
    </w:p>
    <w:p w14:paraId="7F7A0E9A" w14:textId="1ECFC5A3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 xml:space="preserve">Dílo má vady, </w:t>
      </w:r>
      <w:r w:rsidR="005027D6" w:rsidRPr="005027D6">
        <w:t>neodpovídá-li</w:t>
      </w:r>
      <w:r w:rsidRPr="005027D6">
        <w:t xml:space="preserve"> smlouvě.</w:t>
      </w:r>
    </w:p>
    <w:p w14:paraId="088F1938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>Zhotovitel odpovídá za vady, jež má dílo v době jeho předání.</w:t>
      </w:r>
    </w:p>
    <w:p w14:paraId="74C722C7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168E174B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>Zhotovitel přejímá závazek (záruku za jakost), že dílo bude po dobu záruční doby způsobilé pro použití ke smluvenému účelu.</w:t>
      </w:r>
    </w:p>
    <w:p w14:paraId="64205A68" w14:textId="7AEED125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 xml:space="preserve">Záruční doba činí </w:t>
      </w:r>
      <w:r w:rsidR="00691778" w:rsidRPr="005027D6">
        <w:t>24</w:t>
      </w:r>
      <w:r w:rsidRPr="005027D6">
        <w:t xml:space="preserve"> měsíců ode dne předání bezvadného díla. Smluvní strany se dohodly na tom, že po tutéž dobu odpovídá zhotovitel za vady díla. </w:t>
      </w:r>
    </w:p>
    <w:p w14:paraId="48393088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5507A8B2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21DFA5F5" w14:textId="77777777" w:rsidR="00310EB1" w:rsidRPr="005027D6" w:rsidRDefault="00310EB1" w:rsidP="00310EB1">
      <w:pPr>
        <w:numPr>
          <w:ilvl w:val="0"/>
          <w:numId w:val="7"/>
        </w:numPr>
        <w:ind w:left="720"/>
        <w:jc w:val="both"/>
      </w:pPr>
      <w:r w:rsidRPr="005027D6">
        <w:t>právo na bezplatné odstranění reklamovaných vad provedením nového díla, pokud dílo vykazuje podstatné vady bránící užívání,</w:t>
      </w:r>
    </w:p>
    <w:p w14:paraId="1BEE740F" w14:textId="77777777" w:rsidR="00310EB1" w:rsidRPr="005027D6" w:rsidRDefault="00310EB1" w:rsidP="00310EB1">
      <w:pPr>
        <w:numPr>
          <w:ilvl w:val="0"/>
          <w:numId w:val="7"/>
        </w:numPr>
        <w:ind w:left="720"/>
        <w:jc w:val="both"/>
      </w:pPr>
      <w:r w:rsidRPr="005027D6">
        <w:t>právo na bezplatné odstranění reklamovaných vad opravou předmětu díla,</w:t>
      </w:r>
    </w:p>
    <w:p w14:paraId="25E724F0" w14:textId="00E87C29" w:rsidR="00310EB1" w:rsidRPr="005027D6" w:rsidRDefault="00310EB1" w:rsidP="00310EB1">
      <w:pPr>
        <w:numPr>
          <w:ilvl w:val="0"/>
          <w:numId w:val="7"/>
        </w:numPr>
        <w:ind w:left="720"/>
        <w:jc w:val="both"/>
      </w:pPr>
      <w:r w:rsidRPr="005027D6">
        <w:t>právo na přiměřenou slevu z ceny díla</w:t>
      </w:r>
      <w:r w:rsidR="00FF2647" w:rsidRPr="005027D6">
        <w:t>,</w:t>
      </w:r>
      <w:r w:rsidRPr="005027D6">
        <w:t xml:space="preserve"> nebo</w:t>
      </w:r>
    </w:p>
    <w:p w14:paraId="2F80DB96" w14:textId="77777777" w:rsidR="00310EB1" w:rsidRPr="005027D6" w:rsidRDefault="00310EB1" w:rsidP="00310EB1">
      <w:pPr>
        <w:numPr>
          <w:ilvl w:val="0"/>
          <w:numId w:val="7"/>
        </w:numPr>
        <w:ind w:left="720"/>
        <w:jc w:val="both"/>
      </w:pPr>
      <w:r w:rsidRPr="005027D6">
        <w:t>odstoupit od smlouvy.</w:t>
      </w:r>
    </w:p>
    <w:p w14:paraId="7D74DF82" w14:textId="77777777" w:rsidR="00310EB1" w:rsidRPr="005027D6" w:rsidRDefault="00310EB1" w:rsidP="00310EB1">
      <w:pPr>
        <w:ind w:left="360"/>
        <w:jc w:val="both"/>
        <w:rPr>
          <w:bCs/>
        </w:rPr>
      </w:pPr>
      <w:r w:rsidRPr="005027D6">
        <w:lastRenderedPageBreak/>
        <w:t xml:space="preserve">Objednatel sdělí zhotoviteli, jaké právo si zvolil, při uplatnění vad, nebo bez zbytečného odkladu po uplatnění vad. </w:t>
      </w:r>
      <w:r w:rsidRPr="005027D6">
        <w:rPr>
          <w:bCs/>
        </w:rPr>
        <w:t>Provedenou volbu nemůže objednatel změnit bez souhlasu zhotovitele; to neplatí, žádal-li objednatel opravu vady, která se ukáže jako neopravitelná.</w:t>
      </w:r>
    </w:p>
    <w:p w14:paraId="07AF6C26" w14:textId="246DC020" w:rsidR="00310EB1" w:rsidRPr="005027D6" w:rsidRDefault="00310EB1" w:rsidP="00310EB1">
      <w:pPr>
        <w:ind w:left="360"/>
        <w:jc w:val="both"/>
        <w:rPr>
          <w:color w:val="00B0F0"/>
        </w:rPr>
      </w:pPr>
      <w:r w:rsidRPr="005027D6">
        <w:t>V případě, že se strany nedohodnou na termínu odstranění vad provedením nového díla nebo opravou předmětu díla platí, že zhotovitel je povinen vady odstranit nejpozději do</w:t>
      </w:r>
      <w:r w:rsidR="0065770C" w:rsidRPr="005027D6">
        <w:t xml:space="preserve"> </w:t>
      </w:r>
      <w:r w:rsidR="00691778" w:rsidRPr="005027D6">
        <w:t>10</w:t>
      </w:r>
      <w:r w:rsidRPr="005027D6">
        <w:t xml:space="preserve"> dnů</w:t>
      </w:r>
      <w:r w:rsidR="00691778" w:rsidRPr="005027D6">
        <w:t>.</w:t>
      </w:r>
    </w:p>
    <w:p w14:paraId="6FD4B343" w14:textId="415983F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 xml:space="preserve">Je-li vadné plnění nepodstatným porušením smlouvy nebo pokud objednatel volbu práva dle odst. 7 tohoto článku neprovede včas, má objednatel vůči zhotoviteli tato práva z odpovědnosti za vady a za jakost: </w:t>
      </w:r>
    </w:p>
    <w:p w14:paraId="4DEDF9CA" w14:textId="77777777" w:rsidR="00310EB1" w:rsidRPr="005027D6" w:rsidRDefault="00310EB1" w:rsidP="00310EB1">
      <w:pPr>
        <w:jc w:val="both"/>
      </w:pPr>
      <w:r w:rsidRPr="005027D6">
        <w:t xml:space="preserve">       a) právo na bezplatné odstranění reklamovaných vad anebo</w:t>
      </w:r>
    </w:p>
    <w:p w14:paraId="3D949C51" w14:textId="77777777" w:rsidR="00310EB1" w:rsidRPr="005027D6" w:rsidRDefault="00310EB1" w:rsidP="00310EB1">
      <w:pPr>
        <w:jc w:val="both"/>
      </w:pPr>
      <w:r w:rsidRPr="005027D6">
        <w:t xml:space="preserve">       b) právo na přiměřenou slevu z ceny díla.     </w:t>
      </w:r>
    </w:p>
    <w:p w14:paraId="093D926A" w14:textId="769D0FFC" w:rsidR="00310EB1" w:rsidRPr="005027D6" w:rsidRDefault="00310EB1" w:rsidP="00310EB1">
      <w:pPr>
        <w:ind w:left="360"/>
        <w:jc w:val="both"/>
      </w:pPr>
      <w:r w:rsidRPr="005027D6">
        <w:t>V případě, že se strany nedohodnou na termínu odstranění vad platí, že zhotovitel je       povinen vady odstranit nejpozději do</w:t>
      </w:r>
      <w:r w:rsidR="00682073" w:rsidRPr="005027D6">
        <w:t xml:space="preserve"> </w:t>
      </w:r>
      <w:r w:rsidR="008C6C66" w:rsidRPr="005027D6">
        <w:t>10</w:t>
      </w:r>
      <w:r w:rsidRPr="005027D6">
        <w:t xml:space="preserve"> dnů.</w:t>
      </w:r>
    </w:p>
    <w:p w14:paraId="590D7E9C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75BF1C15" w14:textId="77777777" w:rsidR="00310EB1" w:rsidRPr="005027D6" w:rsidRDefault="00310EB1" w:rsidP="00310EB1">
      <w:pPr>
        <w:pStyle w:val="Normlnweb"/>
        <w:numPr>
          <w:ilvl w:val="0"/>
          <w:numId w:val="2"/>
        </w:numPr>
        <w:spacing w:after="0"/>
        <w:rPr>
          <w:sz w:val="24"/>
          <w:szCs w:val="24"/>
        </w:rPr>
      </w:pPr>
      <w:r w:rsidRPr="005027D6">
        <w:rPr>
          <w:bCs/>
          <w:sz w:val="24"/>
          <w:szCs w:val="24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3FA543AC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>Uplatněním práv dle odst. 7. a 8. tohoto článku nezaniká právo na náhradu škody či jiné sankce.</w:t>
      </w:r>
    </w:p>
    <w:p w14:paraId="4221E2A5" w14:textId="77777777" w:rsidR="00310EB1" w:rsidRPr="005027D6" w:rsidRDefault="00310EB1" w:rsidP="00310EB1">
      <w:pPr>
        <w:numPr>
          <w:ilvl w:val="0"/>
          <w:numId w:val="2"/>
        </w:numPr>
        <w:jc w:val="both"/>
      </w:pPr>
      <w:r w:rsidRPr="005027D6">
        <w:t>Jakékoliv finanční nároky dle odst. 7. a 8. tohoto článku je objednatel oprávněn uhradit ze zadržené ceny díla nebo její části dle odst. 3 tohoto článku.</w:t>
      </w:r>
    </w:p>
    <w:p w14:paraId="2900A085" w14:textId="77777777" w:rsidR="00310EB1" w:rsidRPr="005027D6" w:rsidRDefault="00310EB1" w:rsidP="00310EB1">
      <w:pPr>
        <w:jc w:val="both"/>
      </w:pPr>
    </w:p>
    <w:p w14:paraId="181ADA39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VI.</w:t>
      </w:r>
    </w:p>
    <w:p w14:paraId="59327042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Porušení smluvních povinností</w:t>
      </w:r>
    </w:p>
    <w:p w14:paraId="7F096C9D" w14:textId="77777777" w:rsidR="00310EB1" w:rsidRPr="005027D6" w:rsidRDefault="00310EB1" w:rsidP="00310EB1">
      <w:pPr>
        <w:jc w:val="both"/>
      </w:pPr>
    </w:p>
    <w:p w14:paraId="2798BEAB" w14:textId="77777777" w:rsidR="00310EB1" w:rsidRPr="005027D6" w:rsidRDefault="00310EB1" w:rsidP="00310EB1">
      <w:pPr>
        <w:numPr>
          <w:ilvl w:val="0"/>
          <w:numId w:val="4"/>
        </w:numPr>
        <w:jc w:val="both"/>
      </w:pPr>
      <w:r w:rsidRPr="005027D6"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10EB1" w:rsidRPr="005027D6" w14:paraId="34A55069" w14:textId="77777777" w:rsidTr="008E3683">
        <w:tc>
          <w:tcPr>
            <w:tcW w:w="354" w:type="dxa"/>
          </w:tcPr>
          <w:p w14:paraId="29D774DF" w14:textId="77777777" w:rsidR="00310EB1" w:rsidRPr="005027D6" w:rsidRDefault="00310EB1" w:rsidP="008E3683">
            <w:pPr>
              <w:jc w:val="both"/>
            </w:pPr>
          </w:p>
        </w:tc>
        <w:tc>
          <w:tcPr>
            <w:tcW w:w="8858" w:type="dxa"/>
          </w:tcPr>
          <w:p w14:paraId="49AB652E" w14:textId="2415536F" w:rsidR="00310EB1" w:rsidRPr="005027D6" w:rsidRDefault="00310EB1" w:rsidP="008E3683">
            <w:pPr>
              <w:numPr>
                <w:ilvl w:val="0"/>
                <w:numId w:val="5"/>
              </w:numPr>
              <w:jc w:val="both"/>
            </w:pPr>
            <w:r w:rsidRPr="005027D6">
              <w:t xml:space="preserve">zhotovitel se zavazuje zaplatit objednateli za každý den překročení sjednané doby provedení díla smluvní pokutu ve výši </w:t>
            </w:r>
            <w:r w:rsidR="00986828" w:rsidRPr="005027D6">
              <w:t>1</w:t>
            </w:r>
            <w:r w:rsidR="00262634" w:rsidRPr="005027D6">
              <w:t xml:space="preserve"> </w:t>
            </w:r>
            <w:r w:rsidR="008C6C66" w:rsidRPr="005027D6">
              <w:t>% z</w:t>
            </w:r>
            <w:r w:rsidRPr="005027D6">
              <w:t xml:space="preserve"> celkové ceny díla </w:t>
            </w:r>
            <w:r w:rsidR="003B78CF" w:rsidRPr="005027D6">
              <w:t>(</w:t>
            </w:r>
            <w:r w:rsidRPr="005027D6">
              <w:t>s DPH</w:t>
            </w:r>
            <w:r w:rsidR="003B78CF" w:rsidRPr="005027D6">
              <w:t>)</w:t>
            </w:r>
            <w:r w:rsidRPr="005027D6">
              <w:t>,</w:t>
            </w:r>
          </w:p>
          <w:p w14:paraId="4F556B34" w14:textId="2C4394C5" w:rsidR="00310EB1" w:rsidRPr="005027D6" w:rsidRDefault="00310EB1" w:rsidP="008E3683">
            <w:pPr>
              <w:numPr>
                <w:ilvl w:val="0"/>
                <w:numId w:val="5"/>
              </w:numPr>
              <w:jc w:val="both"/>
            </w:pPr>
            <w:r w:rsidRPr="005027D6">
              <w:t xml:space="preserve">zhotovitel se zavazuje zaplatit objednateli za každý den překročení sjednané doby odstranění vady smluvní pokutu ve výši </w:t>
            </w:r>
            <w:r w:rsidR="008C6C66" w:rsidRPr="005027D6">
              <w:t>1 %</w:t>
            </w:r>
            <w:r w:rsidR="00BB7D92" w:rsidRPr="005027D6">
              <w:t xml:space="preserve"> </w:t>
            </w:r>
            <w:r w:rsidRPr="005027D6">
              <w:t>z</w:t>
            </w:r>
            <w:r w:rsidR="00BB7D92" w:rsidRPr="005027D6">
              <w:t> celkové ceny díla.</w:t>
            </w:r>
          </w:p>
          <w:p w14:paraId="32833DEC" w14:textId="6864A438" w:rsidR="00310EB1" w:rsidRPr="005027D6" w:rsidRDefault="00310EB1" w:rsidP="008E3683">
            <w:pPr>
              <w:numPr>
                <w:ilvl w:val="0"/>
                <w:numId w:val="5"/>
              </w:numPr>
              <w:jc w:val="both"/>
              <w:rPr>
                <w:i/>
                <w:iCs/>
              </w:rPr>
            </w:pPr>
            <w:r w:rsidRPr="005027D6">
              <w:t>smluvní strany se zavazují zaplatit druhé straně za každý den překročení sjednaného termínu splatnosti kteréhokoliv peněžitého závazku úrok z prodlení ve výši</w:t>
            </w:r>
            <w:r w:rsidR="004739BD" w:rsidRPr="005027D6">
              <w:t xml:space="preserve"> </w:t>
            </w:r>
            <w:r w:rsidR="0084757D" w:rsidRPr="005027D6">
              <w:t>1</w:t>
            </w:r>
            <w:r w:rsidR="004739BD" w:rsidRPr="005027D6">
              <w:t xml:space="preserve"> </w:t>
            </w:r>
            <w:r w:rsidRPr="005027D6">
              <w:t>%</w:t>
            </w:r>
            <w:r w:rsidR="0084757D" w:rsidRPr="005027D6">
              <w:t xml:space="preserve"> </w:t>
            </w:r>
            <w:r w:rsidRPr="005027D6">
              <w:t>neuhra</w:t>
            </w:r>
            <w:r w:rsidR="00E35298" w:rsidRPr="005027D6">
              <w:t>zené částky do jejího zaplacení.</w:t>
            </w:r>
          </w:p>
          <w:p w14:paraId="6FEB6597" w14:textId="65537968" w:rsidR="00310EB1" w:rsidRPr="005027D6" w:rsidRDefault="00310EB1" w:rsidP="007151E7">
            <w:pPr>
              <w:jc w:val="both"/>
              <w:rPr>
                <w:i/>
                <w:iCs/>
              </w:rPr>
            </w:pPr>
          </w:p>
        </w:tc>
      </w:tr>
      <w:tr w:rsidR="00310EB1" w:rsidRPr="005027D6" w14:paraId="01981354" w14:textId="77777777" w:rsidTr="008E3683">
        <w:tc>
          <w:tcPr>
            <w:tcW w:w="354" w:type="dxa"/>
          </w:tcPr>
          <w:p w14:paraId="450A9E0B" w14:textId="77777777" w:rsidR="00310EB1" w:rsidRPr="005027D6" w:rsidRDefault="00310EB1" w:rsidP="008E3683">
            <w:pPr>
              <w:jc w:val="both"/>
            </w:pPr>
          </w:p>
        </w:tc>
        <w:tc>
          <w:tcPr>
            <w:tcW w:w="8858" w:type="dxa"/>
          </w:tcPr>
          <w:p w14:paraId="435DD3ED" w14:textId="77777777" w:rsidR="00310EB1" w:rsidRPr="005027D6" w:rsidRDefault="00310EB1" w:rsidP="008E3683">
            <w:pPr>
              <w:jc w:val="both"/>
            </w:pPr>
          </w:p>
        </w:tc>
      </w:tr>
    </w:tbl>
    <w:p w14:paraId="422A2407" w14:textId="77777777" w:rsidR="00310EB1" w:rsidRPr="005027D6" w:rsidRDefault="00310EB1" w:rsidP="00310EB1">
      <w:pPr>
        <w:numPr>
          <w:ilvl w:val="0"/>
          <w:numId w:val="4"/>
        </w:numPr>
        <w:jc w:val="both"/>
      </w:pPr>
      <w:r w:rsidRPr="005027D6">
        <w:t>Objednatel má právo na náhradu škody vzniklou z porušení povinnosti, ke kterému se vztahuje smluvní pokuta. Náhrada škody zahrnuje skutečnou škodu a ušlý zisk.</w:t>
      </w:r>
    </w:p>
    <w:p w14:paraId="65B50851" w14:textId="77777777" w:rsidR="00310EB1" w:rsidRPr="005027D6" w:rsidRDefault="00310EB1" w:rsidP="00310EB1">
      <w:pPr>
        <w:rPr>
          <w:b/>
        </w:rPr>
      </w:pPr>
    </w:p>
    <w:p w14:paraId="708A905C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VII.</w:t>
      </w:r>
    </w:p>
    <w:p w14:paraId="0ED10DF0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Práva a povinnosti smluvních stran</w:t>
      </w:r>
    </w:p>
    <w:p w14:paraId="0510750D" w14:textId="77777777" w:rsidR="00310EB1" w:rsidRPr="005027D6" w:rsidRDefault="00310EB1" w:rsidP="00310EB1">
      <w:pPr>
        <w:jc w:val="center"/>
        <w:rPr>
          <w:b/>
        </w:rPr>
      </w:pPr>
      <w:r w:rsidRPr="005027D6">
        <w:rPr>
          <w:b/>
        </w:rPr>
        <w:t>Ostatní ujednání</w:t>
      </w:r>
    </w:p>
    <w:p w14:paraId="6367246D" w14:textId="77777777" w:rsidR="00310EB1" w:rsidRPr="005027D6" w:rsidRDefault="00310EB1" w:rsidP="00310EB1">
      <w:pPr>
        <w:jc w:val="center"/>
        <w:rPr>
          <w:b/>
        </w:rPr>
      </w:pPr>
    </w:p>
    <w:p w14:paraId="06C2A0AA" w14:textId="77777777" w:rsidR="00B41D43" w:rsidRPr="005027D6" w:rsidRDefault="00B41D43" w:rsidP="00B41D43">
      <w:pPr>
        <w:pStyle w:val="Odstavecseseznamem"/>
        <w:ind w:left="360"/>
        <w:jc w:val="both"/>
      </w:pPr>
    </w:p>
    <w:p w14:paraId="79454287" w14:textId="77777777" w:rsidR="00A75073" w:rsidRPr="005027D6" w:rsidRDefault="00A75073" w:rsidP="00D621E6">
      <w:pPr>
        <w:pStyle w:val="Zkladntextodsazen"/>
        <w:numPr>
          <w:ilvl w:val="0"/>
          <w:numId w:val="13"/>
        </w:numPr>
        <w:jc w:val="both"/>
        <w:rPr>
          <w:i/>
          <w:color w:val="00B0F0"/>
        </w:rPr>
      </w:pPr>
      <w:r w:rsidRPr="005027D6">
        <w:t xml:space="preserve">Objednatel má právo kontrolovat provádění díla; zhotovitel musí umožnit po předchozí domluvě termínu prohlídku objednateli i osobám doprovázejícím objednatele za tímto účelem. </w:t>
      </w:r>
    </w:p>
    <w:p w14:paraId="7BE876C1" w14:textId="2A8D95CC" w:rsidR="00A75073" w:rsidRPr="005027D6" w:rsidRDefault="00A75073" w:rsidP="00D621E6">
      <w:pPr>
        <w:pStyle w:val="Zkladntextodsazen"/>
        <w:numPr>
          <w:ilvl w:val="0"/>
          <w:numId w:val="13"/>
        </w:numPr>
        <w:jc w:val="both"/>
        <w:rPr>
          <w:i/>
          <w:color w:val="00B0F0"/>
        </w:rPr>
      </w:pPr>
      <w:r w:rsidRPr="005027D6">
        <w:lastRenderedPageBreak/>
        <w:t xml:space="preserve">Zjistí-li objednatel, že zhotovitel porušuje </w:t>
      </w:r>
      <w:r w:rsidR="00AC0BEE" w:rsidRPr="005027D6">
        <w:t>své sjednané p</w:t>
      </w:r>
      <w:r w:rsidRPr="005027D6">
        <w:t>ovinnost</w:t>
      </w:r>
      <w:r w:rsidR="00AC0BEE" w:rsidRPr="005027D6">
        <w:t>i</w:t>
      </w:r>
      <w:r w:rsidRPr="005027D6">
        <w:t>, může požadovat, aby zhotovitel zajistil nápravu a prováděl dílo řádným způsobem. Neučiní-li tak zhotovitel ani v přiměřené době, může objednatel odstoupit od smlouvy.</w:t>
      </w:r>
    </w:p>
    <w:p w14:paraId="763843E7" w14:textId="77777777" w:rsidR="00B80C27" w:rsidRPr="005027D6" w:rsidRDefault="00B80C27" w:rsidP="00B80C27">
      <w:pPr>
        <w:pStyle w:val="Odstavecseseznamem"/>
        <w:ind w:left="360"/>
        <w:jc w:val="both"/>
        <w:rPr>
          <w:i/>
          <w:color w:val="00B0F0"/>
        </w:rPr>
      </w:pPr>
    </w:p>
    <w:p w14:paraId="458707AE" w14:textId="77777777" w:rsidR="00310EB1" w:rsidRPr="005027D6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b/>
          <w:bCs/>
        </w:rPr>
      </w:pPr>
      <w:r w:rsidRPr="005027D6">
        <w:rPr>
          <w:b/>
          <w:bCs/>
        </w:rPr>
        <w:t>VIII.</w:t>
      </w:r>
      <w:r w:rsidRPr="005027D6">
        <w:rPr>
          <w:b/>
        </w:rPr>
        <w:t xml:space="preserve"> </w:t>
      </w:r>
      <w:r w:rsidRPr="005027D6">
        <w:rPr>
          <w:b/>
        </w:rPr>
        <w:br/>
      </w:r>
      <w:r w:rsidRPr="005027D6">
        <w:rPr>
          <w:b/>
          <w:bCs/>
        </w:rPr>
        <w:t>Závěrečná ustanovení</w:t>
      </w:r>
    </w:p>
    <w:p w14:paraId="41BB236F" w14:textId="36AFB2B2" w:rsidR="00310EB1" w:rsidRPr="005027D6" w:rsidRDefault="00192B47" w:rsidP="00310EB1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5027D6">
        <w:rPr>
          <w:szCs w:val="24"/>
        </w:rPr>
        <w:t xml:space="preserve">Na právní vztahy vzniklé na základě této smlouvy se použijí ustanovení zákona č. 89/2012 Sb., občanský zákoník, ve znění pozdějších předpisů.  </w:t>
      </w:r>
    </w:p>
    <w:p w14:paraId="434B3CFB" w14:textId="5274ED52" w:rsidR="00310EB1" w:rsidRPr="005027D6" w:rsidRDefault="00310EB1" w:rsidP="00310EB1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26"/>
        <w:rPr>
          <w:szCs w:val="24"/>
        </w:rPr>
      </w:pPr>
      <w:r w:rsidRPr="005027D6">
        <w:rPr>
          <w:szCs w:val="24"/>
        </w:rPr>
        <w:t xml:space="preserve">Tuto smlouvu lze měnit či doplňovat pouze po dohodě smluvních stran formou písemných </w:t>
      </w:r>
      <w:r w:rsidR="005027D6" w:rsidRPr="005027D6">
        <w:rPr>
          <w:szCs w:val="24"/>
        </w:rPr>
        <w:t>a číslovaných</w:t>
      </w:r>
      <w:r w:rsidRPr="005027D6">
        <w:rPr>
          <w:szCs w:val="24"/>
        </w:rPr>
        <w:t xml:space="preserve"> dodatků. </w:t>
      </w:r>
    </w:p>
    <w:p w14:paraId="386F32FD" w14:textId="0682FCC2" w:rsidR="00310EB1" w:rsidRPr="005027D6" w:rsidRDefault="00310EB1" w:rsidP="00310EB1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5027D6">
        <w:rPr>
          <w:szCs w:val="24"/>
        </w:rPr>
        <w:t>Tato smlouva je vyhotovena v</w:t>
      </w:r>
      <w:r w:rsidR="00192B47" w:rsidRPr="005027D6">
        <w:rPr>
          <w:szCs w:val="24"/>
        </w:rPr>
        <w:t>e</w:t>
      </w:r>
      <w:r w:rsidRPr="005027D6">
        <w:rPr>
          <w:szCs w:val="24"/>
        </w:rPr>
        <w:t xml:space="preserve"> </w:t>
      </w:r>
      <w:r w:rsidR="00E45350" w:rsidRPr="005027D6">
        <w:rPr>
          <w:szCs w:val="24"/>
        </w:rPr>
        <w:t xml:space="preserve">2 </w:t>
      </w:r>
      <w:r w:rsidR="007151E7" w:rsidRPr="005027D6">
        <w:rPr>
          <w:szCs w:val="24"/>
        </w:rPr>
        <w:t xml:space="preserve">vyhotoveních </w:t>
      </w:r>
      <w:r w:rsidRPr="005027D6">
        <w:rPr>
          <w:szCs w:val="24"/>
        </w:rPr>
        <w:t xml:space="preserve">s platností originálu, přičemž </w:t>
      </w:r>
      <w:r w:rsidR="00192B47" w:rsidRPr="005027D6">
        <w:rPr>
          <w:szCs w:val="24"/>
        </w:rPr>
        <w:t xml:space="preserve">každá ze smluvních stran </w:t>
      </w:r>
      <w:r w:rsidR="001E4C1E" w:rsidRPr="005027D6">
        <w:rPr>
          <w:szCs w:val="24"/>
        </w:rPr>
        <w:t>obdrží 1</w:t>
      </w:r>
      <w:r w:rsidR="00E45350" w:rsidRPr="005027D6">
        <w:rPr>
          <w:szCs w:val="24"/>
        </w:rPr>
        <w:t xml:space="preserve"> </w:t>
      </w:r>
      <w:r w:rsidRPr="005027D6">
        <w:rPr>
          <w:szCs w:val="24"/>
        </w:rPr>
        <w:t>vyhotovení</w:t>
      </w:r>
      <w:r w:rsidR="00192B47" w:rsidRPr="005027D6">
        <w:rPr>
          <w:szCs w:val="24"/>
        </w:rPr>
        <w:t xml:space="preserve">. </w:t>
      </w:r>
    </w:p>
    <w:p w14:paraId="3A4915FC" w14:textId="1E70ED2D" w:rsidR="00310EB1" w:rsidRPr="005027D6" w:rsidRDefault="00310EB1" w:rsidP="008C6C6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i/>
          <w:color w:val="00B0F0"/>
          <w:szCs w:val="24"/>
        </w:rPr>
      </w:pPr>
      <w:r w:rsidRPr="005027D6">
        <w:rPr>
          <w:szCs w:val="24"/>
        </w:rPr>
        <w:t xml:space="preserve">Tato smlouva </w:t>
      </w:r>
      <w:r w:rsidR="00B2462F" w:rsidRPr="005027D6">
        <w:rPr>
          <w:szCs w:val="24"/>
        </w:rPr>
        <w:t xml:space="preserve">nabývá platnosti dnem jejího uzavření. </w:t>
      </w:r>
      <w:r w:rsidR="00651DE5" w:rsidRPr="005027D6">
        <w:rPr>
          <w:szCs w:val="24"/>
        </w:rPr>
        <w:t xml:space="preserve">Účinnosti nabývá dnem uveřejnění v </w:t>
      </w:r>
      <w:r w:rsidRPr="005027D6">
        <w:rPr>
          <w:szCs w:val="24"/>
        </w:rPr>
        <w:t>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zhotoviteli do datové schránky</w:t>
      </w:r>
      <w:r w:rsidR="00DB13E7" w:rsidRPr="005027D6">
        <w:rPr>
          <w:szCs w:val="24"/>
        </w:rPr>
        <w:t>.</w:t>
      </w:r>
      <w:r w:rsidRPr="005027D6">
        <w:rPr>
          <w:szCs w:val="24"/>
        </w:rPr>
        <w:t xml:space="preserve"> Smlouva nabývá platnosti dnem jejího uzavření a účinnosti dnem uveřejnění v registru smluv.</w:t>
      </w:r>
    </w:p>
    <w:p w14:paraId="75FEE276" w14:textId="4C40C27D" w:rsidR="00310EB1" w:rsidRDefault="00310EB1" w:rsidP="005A24BF">
      <w:pPr>
        <w:pStyle w:val="Odstavecseseznamem"/>
        <w:numPr>
          <w:ilvl w:val="0"/>
          <w:numId w:val="8"/>
        </w:numPr>
        <w:spacing w:after="120"/>
        <w:ind w:left="426" w:hanging="426"/>
        <w:jc w:val="both"/>
      </w:pPr>
      <w:r w:rsidRPr="005027D6">
        <w:t xml:space="preserve">Zhotovitel i objednatel shodně prohlašují, že si tuto smlouvu před jejím podpisem </w:t>
      </w:r>
      <w:r w:rsidR="005A24BF" w:rsidRPr="005027D6">
        <w:t xml:space="preserve">přečetli, </w:t>
      </w:r>
      <w:r w:rsidR="005A24BF">
        <w:t>že</w:t>
      </w:r>
      <w:r w:rsidRPr="005027D6">
        <w:t xml:space="preserve">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B722460" w14:textId="14EA7774" w:rsidR="002F5F3B" w:rsidRDefault="002F5F3B" w:rsidP="002F5F3B">
      <w:pPr>
        <w:pStyle w:val="Odstavecseseznamem"/>
        <w:spacing w:after="120"/>
        <w:ind w:left="426"/>
        <w:jc w:val="both"/>
      </w:pPr>
    </w:p>
    <w:p w14:paraId="01F56B4C" w14:textId="77777777" w:rsidR="002F5F3B" w:rsidRDefault="002F5F3B" w:rsidP="002F5F3B">
      <w:pPr>
        <w:pStyle w:val="Odstavecseseznamem"/>
        <w:spacing w:after="120"/>
        <w:ind w:left="426"/>
        <w:jc w:val="both"/>
      </w:pPr>
    </w:p>
    <w:p w14:paraId="5714F44C" w14:textId="59ECFB5F" w:rsidR="002F5F3B" w:rsidRDefault="002F5F3B" w:rsidP="002F5F3B">
      <w:pPr>
        <w:pStyle w:val="Odstavecseseznamem"/>
        <w:spacing w:after="120"/>
        <w:ind w:left="426"/>
        <w:jc w:val="both"/>
      </w:pPr>
    </w:p>
    <w:p w14:paraId="523B9556" w14:textId="77777777" w:rsidR="002F5F3B" w:rsidRPr="002F5F3B" w:rsidRDefault="002F5F3B" w:rsidP="002F5F3B">
      <w:pPr>
        <w:pStyle w:val="Parodstavec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2F5F3B">
        <w:rPr>
          <w:rFonts w:ascii="Times New Roman" w:hAnsi="Times New Roman"/>
          <w:sz w:val="24"/>
          <w:szCs w:val="24"/>
        </w:rPr>
        <w:t>V</w:t>
      </w:r>
      <w:r w:rsidRPr="002F5F3B">
        <w:rPr>
          <w:rFonts w:ascii="Times New Roman" w:hAnsi="Times New Roman"/>
          <w:sz w:val="24"/>
          <w:szCs w:val="24"/>
          <w:lang w:val="cs-CZ"/>
        </w:rPr>
        <w:t xml:space="preserve"> Chomutově</w:t>
      </w:r>
      <w:r w:rsidRPr="002F5F3B">
        <w:rPr>
          <w:rFonts w:ascii="Times New Roman" w:hAnsi="Times New Roman"/>
          <w:sz w:val="24"/>
          <w:szCs w:val="24"/>
        </w:rPr>
        <w:t xml:space="preserve"> dne</w:t>
      </w:r>
      <w:r w:rsidRPr="002F5F3B">
        <w:rPr>
          <w:rFonts w:ascii="Times New Roman" w:hAnsi="Times New Roman"/>
          <w:sz w:val="24"/>
          <w:szCs w:val="24"/>
          <w:lang w:val="cs-CZ"/>
        </w:rPr>
        <w:t>………………</w:t>
      </w:r>
      <w:r w:rsidRPr="002F5F3B">
        <w:rPr>
          <w:rFonts w:ascii="Times New Roman" w:hAnsi="Times New Roman"/>
          <w:sz w:val="24"/>
          <w:szCs w:val="24"/>
        </w:rPr>
        <w:tab/>
      </w:r>
      <w:r w:rsidRPr="002F5F3B">
        <w:rPr>
          <w:rFonts w:ascii="Times New Roman" w:hAnsi="Times New Roman"/>
          <w:sz w:val="24"/>
          <w:szCs w:val="24"/>
        </w:rPr>
        <w:tab/>
        <w:t>V .........................dne……………</w:t>
      </w:r>
    </w:p>
    <w:p w14:paraId="52DCE114" w14:textId="77777777" w:rsidR="002F5F3B" w:rsidRPr="002F5F3B" w:rsidRDefault="002F5F3B" w:rsidP="002F5F3B">
      <w:pPr>
        <w:pStyle w:val="Parodstavec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</w:rPr>
      </w:pPr>
    </w:p>
    <w:p w14:paraId="7EB39820" w14:textId="77777777" w:rsidR="002F5F3B" w:rsidRPr="002F5F3B" w:rsidRDefault="002F5F3B" w:rsidP="002F5F3B">
      <w:pPr>
        <w:pStyle w:val="Parodstavec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4ADFF7FD" w14:textId="77777777" w:rsidR="002F5F3B" w:rsidRPr="002F5F3B" w:rsidRDefault="002F5F3B" w:rsidP="002F5F3B">
      <w:pPr>
        <w:pStyle w:val="Parodstavec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0D398233" w14:textId="77777777" w:rsidR="002F5F3B" w:rsidRPr="002F5F3B" w:rsidRDefault="002F5F3B" w:rsidP="002F5F3B">
      <w:pPr>
        <w:pStyle w:val="Parodstavec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2F5F3B">
        <w:rPr>
          <w:rFonts w:ascii="Times New Roman" w:hAnsi="Times New Roman"/>
          <w:sz w:val="24"/>
          <w:szCs w:val="24"/>
        </w:rPr>
        <w:t>…………........………………………</w:t>
      </w:r>
      <w:r w:rsidRPr="002F5F3B">
        <w:rPr>
          <w:rFonts w:ascii="Times New Roman" w:hAnsi="Times New Roman"/>
          <w:sz w:val="24"/>
          <w:szCs w:val="24"/>
        </w:rPr>
        <w:tab/>
      </w:r>
      <w:r w:rsidRPr="002F5F3B">
        <w:rPr>
          <w:rFonts w:ascii="Times New Roman" w:hAnsi="Times New Roman"/>
          <w:sz w:val="24"/>
          <w:szCs w:val="24"/>
        </w:rPr>
        <w:tab/>
        <w:t>….…….......………………………</w:t>
      </w:r>
    </w:p>
    <w:p w14:paraId="72449778" w14:textId="12BD98CB" w:rsidR="002F5F3B" w:rsidRPr="002F5F3B" w:rsidRDefault="002F5F3B" w:rsidP="00EA520A">
      <w:pPr>
        <w:pStyle w:val="Parodstavec"/>
        <w:numPr>
          <w:ilvl w:val="0"/>
          <w:numId w:val="0"/>
        </w:numPr>
        <w:spacing w:before="0" w:after="0"/>
        <w:ind w:left="567"/>
        <w:jc w:val="both"/>
        <w:rPr>
          <w:rFonts w:ascii="Times New Roman" w:hAnsi="Times New Roman"/>
          <w:sz w:val="24"/>
          <w:szCs w:val="24"/>
          <w:lang w:val="cs-CZ"/>
        </w:rPr>
      </w:pPr>
      <w:r w:rsidRPr="002F5F3B">
        <w:rPr>
          <w:rFonts w:ascii="Times New Roman" w:hAnsi="Times New Roman"/>
          <w:sz w:val="24"/>
          <w:szCs w:val="24"/>
        </w:rPr>
        <w:t xml:space="preserve">             </w:t>
      </w:r>
      <w:r w:rsidRPr="002F5F3B">
        <w:rPr>
          <w:rFonts w:ascii="Times New Roman" w:hAnsi="Times New Roman"/>
          <w:sz w:val="24"/>
          <w:szCs w:val="24"/>
          <w:lang w:val="cs-CZ"/>
        </w:rPr>
        <w:t xml:space="preserve">za </w:t>
      </w:r>
      <w:r w:rsidRPr="002F5F3B">
        <w:rPr>
          <w:rFonts w:ascii="Times New Roman" w:hAnsi="Times New Roman"/>
          <w:sz w:val="24"/>
          <w:szCs w:val="24"/>
        </w:rPr>
        <w:t>objednatel</w:t>
      </w:r>
      <w:r w:rsidRPr="002F5F3B">
        <w:rPr>
          <w:rFonts w:ascii="Times New Roman" w:hAnsi="Times New Roman"/>
          <w:sz w:val="24"/>
          <w:szCs w:val="24"/>
          <w:lang w:val="cs-CZ"/>
        </w:rPr>
        <w:t xml:space="preserve">e </w:t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cs-CZ"/>
        </w:rPr>
        <w:t xml:space="preserve">          </w:t>
      </w:r>
      <w:r w:rsidRPr="002F5F3B">
        <w:rPr>
          <w:rFonts w:ascii="Times New Roman" w:hAnsi="Times New Roman"/>
          <w:sz w:val="24"/>
          <w:szCs w:val="24"/>
          <w:lang w:val="cs-CZ"/>
        </w:rPr>
        <w:t>za zhotovitele</w:t>
      </w:r>
    </w:p>
    <w:p w14:paraId="4C73D898" w14:textId="18FF7932" w:rsidR="002F5F3B" w:rsidRPr="002F5F3B" w:rsidRDefault="002F5F3B" w:rsidP="00EA520A">
      <w:pPr>
        <w:pStyle w:val="Parodstavec"/>
        <w:numPr>
          <w:ilvl w:val="0"/>
          <w:numId w:val="0"/>
        </w:numPr>
        <w:spacing w:before="0" w:after="0"/>
        <w:ind w:left="567"/>
        <w:rPr>
          <w:rFonts w:ascii="Times New Roman" w:hAnsi="Times New Roman"/>
          <w:sz w:val="24"/>
          <w:szCs w:val="24"/>
          <w:lang w:val="cs-CZ"/>
        </w:rPr>
      </w:pPr>
      <w:r w:rsidRPr="002F5F3B">
        <w:rPr>
          <w:rFonts w:ascii="Times New Roman" w:hAnsi="Times New Roman"/>
          <w:sz w:val="24"/>
          <w:szCs w:val="24"/>
          <w:lang w:val="cs-CZ"/>
        </w:rPr>
        <w:t xml:space="preserve">  Mgr. Markéta Prontekerová</w:t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B43577">
        <w:rPr>
          <w:rFonts w:ascii="Times New Roman" w:hAnsi="Times New Roman"/>
          <w:sz w:val="24"/>
          <w:szCs w:val="24"/>
          <w:lang w:val="cs-CZ"/>
        </w:rPr>
        <w:t xml:space="preserve"> 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43577">
        <w:rPr>
          <w:rFonts w:ascii="Times New Roman" w:hAnsi="Times New Roman"/>
          <w:sz w:val="24"/>
          <w:szCs w:val="24"/>
          <w:lang w:val="cs-CZ"/>
        </w:rPr>
        <w:t>Miroslav Kuželka</w:t>
      </w:r>
    </w:p>
    <w:p w14:paraId="13491EC1" w14:textId="1BD94450" w:rsidR="002F5F3B" w:rsidRPr="002F5F3B" w:rsidRDefault="002F5F3B" w:rsidP="00EA520A">
      <w:pPr>
        <w:pStyle w:val="Parodstavec"/>
        <w:numPr>
          <w:ilvl w:val="0"/>
          <w:numId w:val="0"/>
        </w:numPr>
        <w:spacing w:before="0" w:after="0"/>
        <w:ind w:left="567"/>
        <w:rPr>
          <w:rFonts w:ascii="Times New Roman" w:hAnsi="Times New Roman"/>
          <w:sz w:val="24"/>
          <w:szCs w:val="24"/>
          <w:lang w:val="cs-CZ"/>
        </w:rPr>
      </w:pPr>
      <w:r w:rsidRPr="002F5F3B">
        <w:rPr>
          <w:rFonts w:ascii="Times New Roman" w:hAnsi="Times New Roman"/>
          <w:sz w:val="24"/>
          <w:szCs w:val="24"/>
          <w:lang w:val="cs-CZ"/>
        </w:rPr>
        <w:t xml:space="preserve">                 ředitelka </w:t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</w:r>
      <w:r w:rsidRPr="002F5F3B">
        <w:rPr>
          <w:rFonts w:ascii="Times New Roman" w:hAnsi="Times New Roman"/>
          <w:sz w:val="24"/>
          <w:szCs w:val="24"/>
          <w:lang w:val="cs-CZ"/>
        </w:rPr>
        <w:tab/>
        <w:t xml:space="preserve">       </w:t>
      </w:r>
      <w:r w:rsidR="00B43577">
        <w:rPr>
          <w:rFonts w:ascii="Times New Roman" w:hAnsi="Times New Roman"/>
          <w:sz w:val="24"/>
          <w:szCs w:val="24"/>
          <w:lang w:val="cs-CZ"/>
        </w:rPr>
        <w:t xml:space="preserve">jednatel </w:t>
      </w:r>
    </w:p>
    <w:p w14:paraId="772D9C4A" w14:textId="1BE54710" w:rsidR="002F5F3B" w:rsidRPr="002F5F3B" w:rsidRDefault="002F5F3B" w:rsidP="00EA520A">
      <w:pPr>
        <w:pStyle w:val="Parodstavec"/>
        <w:numPr>
          <w:ilvl w:val="0"/>
          <w:numId w:val="0"/>
        </w:numPr>
        <w:spacing w:before="0" w:after="0"/>
        <w:ind w:left="567"/>
        <w:rPr>
          <w:rFonts w:ascii="Times New Roman" w:hAnsi="Times New Roman"/>
          <w:sz w:val="24"/>
          <w:szCs w:val="24"/>
          <w:lang w:val="cs-CZ"/>
        </w:rPr>
      </w:pPr>
      <w:r w:rsidRPr="002F5F3B">
        <w:rPr>
          <w:rFonts w:ascii="Times New Roman" w:hAnsi="Times New Roman"/>
          <w:sz w:val="24"/>
          <w:szCs w:val="24"/>
          <w:lang w:val="cs-CZ"/>
        </w:rPr>
        <w:t>Oblastní muzeum v Chomutově, p.</w:t>
      </w:r>
      <w:r w:rsidR="00B4357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F5F3B">
        <w:rPr>
          <w:rFonts w:ascii="Times New Roman" w:hAnsi="Times New Roman"/>
          <w:sz w:val="24"/>
          <w:szCs w:val="24"/>
          <w:lang w:val="cs-CZ"/>
        </w:rPr>
        <w:t>o.</w:t>
      </w:r>
      <w:r w:rsidRPr="002F5F3B">
        <w:rPr>
          <w:rFonts w:ascii="Times New Roman" w:hAnsi="Times New Roman"/>
          <w:sz w:val="24"/>
          <w:szCs w:val="24"/>
          <w:lang w:val="cs-CZ"/>
        </w:rPr>
        <w:tab/>
        <w:t xml:space="preserve">        </w:t>
      </w:r>
      <w:r w:rsidR="00B43577">
        <w:rPr>
          <w:rFonts w:ascii="Times New Roman" w:hAnsi="Times New Roman"/>
          <w:sz w:val="24"/>
          <w:szCs w:val="24"/>
          <w:lang w:val="cs-CZ"/>
        </w:rPr>
        <w:t xml:space="preserve">        Ponte </w:t>
      </w:r>
      <w:proofErr w:type="spellStart"/>
      <w:r w:rsidR="00B43577">
        <w:rPr>
          <w:rFonts w:ascii="Times New Roman" w:hAnsi="Times New Roman"/>
          <w:sz w:val="24"/>
          <w:szCs w:val="24"/>
          <w:lang w:val="cs-CZ"/>
        </w:rPr>
        <w:t>records</w:t>
      </w:r>
      <w:proofErr w:type="spellEnd"/>
      <w:r w:rsidR="00B43577">
        <w:rPr>
          <w:rFonts w:ascii="Times New Roman" w:hAnsi="Times New Roman"/>
          <w:sz w:val="24"/>
          <w:szCs w:val="24"/>
          <w:lang w:val="cs-CZ"/>
        </w:rPr>
        <w:t>, s. r. o.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B43577">
        <w:rPr>
          <w:rFonts w:ascii="Times New Roman" w:hAnsi="Times New Roman"/>
          <w:sz w:val="24"/>
          <w:szCs w:val="24"/>
          <w:lang w:val="cs-CZ"/>
        </w:rPr>
        <w:t>Most</w:t>
      </w:r>
    </w:p>
    <w:p w14:paraId="73745DB3" w14:textId="77777777" w:rsidR="002F5F3B" w:rsidRPr="005027D6" w:rsidRDefault="002F5F3B" w:rsidP="002F5F3B">
      <w:pPr>
        <w:pStyle w:val="Odstavecseseznamem"/>
        <w:spacing w:after="120"/>
        <w:ind w:left="426"/>
        <w:jc w:val="both"/>
      </w:pPr>
    </w:p>
    <w:p w14:paraId="5EA27831" w14:textId="77750DB5" w:rsidR="005027D6" w:rsidRDefault="005027D6" w:rsidP="005027D6">
      <w:pPr>
        <w:tabs>
          <w:tab w:val="left" w:leader="dot" w:pos="2835"/>
        </w:tabs>
        <w:ind w:left="68"/>
      </w:pPr>
    </w:p>
    <w:p w14:paraId="631958A5" w14:textId="77777777" w:rsidR="00155E69" w:rsidRDefault="00155E69" w:rsidP="00155E69"/>
    <w:p w14:paraId="4420C6F7" w14:textId="697C5D6F" w:rsidR="00EA520A" w:rsidRDefault="00EA520A" w:rsidP="00155E69">
      <w:pPr>
        <w:sectPr w:rsidR="00EA520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416618" w14:textId="77777777" w:rsidR="00532FB2" w:rsidRDefault="002F5F3B" w:rsidP="005A24BF">
      <w:pPr>
        <w:ind w:left="142"/>
      </w:pPr>
      <w:r>
        <w:t>Přílohy:</w:t>
      </w:r>
    </w:p>
    <w:p w14:paraId="6D980108" w14:textId="689029F6" w:rsidR="002F5F3B" w:rsidRPr="005027D6" w:rsidRDefault="00532FB2" w:rsidP="00FF58AF">
      <w:pPr>
        <w:ind w:left="142"/>
      </w:pPr>
      <w:r>
        <w:t xml:space="preserve">1/ Specifikace </w:t>
      </w:r>
      <w:r w:rsidR="0052271D">
        <w:t>předmětu smlouvy</w:t>
      </w:r>
    </w:p>
    <w:p w14:paraId="440DB824" w14:textId="77777777" w:rsidR="008C6C66" w:rsidRPr="005027D6" w:rsidRDefault="008C6C66" w:rsidP="00310EB1">
      <w:pPr>
        <w:ind w:left="66"/>
      </w:pPr>
    </w:p>
    <w:p w14:paraId="7B6320E8" w14:textId="77777777" w:rsidR="008C6C66" w:rsidRPr="005027D6" w:rsidRDefault="008C6C66" w:rsidP="00310EB1">
      <w:pPr>
        <w:ind w:left="66"/>
      </w:pPr>
    </w:p>
    <w:sectPr w:rsidR="008C6C66" w:rsidRPr="005027D6" w:rsidSect="00155E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3C64C" w14:textId="77777777" w:rsidR="00B21AF8" w:rsidRDefault="00B21AF8" w:rsidP="00310EB1">
      <w:r>
        <w:separator/>
      </w:r>
    </w:p>
  </w:endnote>
  <w:endnote w:type="continuationSeparator" w:id="0">
    <w:p w14:paraId="18E798AE" w14:textId="77777777" w:rsidR="00B21AF8" w:rsidRDefault="00B21AF8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546C2A" w:rsidRDefault="00F44378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546C2A" w:rsidRDefault="00975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170AF12F" w:rsidR="00546C2A" w:rsidRDefault="00F44378" w:rsidP="0043367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1ADF7" w14:textId="77777777" w:rsidR="00B21AF8" w:rsidRDefault="00B21AF8" w:rsidP="00310EB1">
      <w:r>
        <w:separator/>
      </w:r>
    </w:p>
  </w:footnote>
  <w:footnote w:type="continuationSeparator" w:id="0">
    <w:p w14:paraId="1A215EAE" w14:textId="77777777" w:rsidR="00B21AF8" w:rsidRDefault="00B21AF8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02C77C62" w:rsidR="00546C2A" w:rsidRDefault="00F44378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0F65">
      <w:rPr>
        <w:rStyle w:val="slostrnky"/>
        <w:noProof/>
      </w:rPr>
      <w:t>1</w:t>
    </w:r>
    <w:r>
      <w:rPr>
        <w:rStyle w:val="slostrnky"/>
      </w:rPr>
      <w:fldChar w:fldCharType="end"/>
    </w:r>
  </w:p>
  <w:p w14:paraId="4A6B642E" w14:textId="77777777" w:rsidR="00546C2A" w:rsidRDefault="009752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4F52" w14:textId="77777777" w:rsidR="00895E4E" w:rsidRDefault="00895E4E" w:rsidP="00895E4E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Oblastní muzeum v Chomutově, příspěvková organizace</w:t>
    </w:r>
  </w:p>
  <w:p w14:paraId="2B97F32D" w14:textId="77777777" w:rsidR="00895E4E" w:rsidRDefault="00895E4E" w:rsidP="00895E4E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Palackého 86, 430 01 Chomutov</w:t>
    </w:r>
  </w:p>
  <w:p w14:paraId="306E5681" w14:textId="77777777" w:rsidR="00546C2A" w:rsidRPr="00933A64" w:rsidRDefault="009752AD" w:rsidP="00F8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7BA1C42"/>
    <w:lvl w:ilvl="0" w:tplc="59683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6772B"/>
    <w:multiLevelType w:val="multilevel"/>
    <w:tmpl w:val="24F66010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14"/>
  </w:num>
  <w:num w:numId="11">
    <w:abstractNumId w:val="11"/>
  </w:num>
  <w:num w:numId="12">
    <w:abstractNumId w:val="12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55"/>
    <w:rsid w:val="000010D3"/>
    <w:rsid w:val="00021444"/>
    <w:rsid w:val="00022A4F"/>
    <w:rsid w:val="000269E8"/>
    <w:rsid w:val="00035F06"/>
    <w:rsid w:val="00037490"/>
    <w:rsid w:val="000505B9"/>
    <w:rsid w:val="0009086F"/>
    <w:rsid w:val="000B144F"/>
    <w:rsid w:val="000E0F65"/>
    <w:rsid w:val="000E70A3"/>
    <w:rsid w:val="00104AC8"/>
    <w:rsid w:val="001552F5"/>
    <w:rsid w:val="00155E69"/>
    <w:rsid w:val="00166BA7"/>
    <w:rsid w:val="0017280E"/>
    <w:rsid w:val="00172818"/>
    <w:rsid w:val="00192B47"/>
    <w:rsid w:val="001A439D"/>
    <w:rsid w:val="001A4F8B"/>
    <w:rsid w:val="001E2D4C"/>
    <w:rsid w:val="001E4C1E"/>
    <w:rsid w:val="00201B11"/>
    <w:rsid w:val="00225C73"/>
    <w:rsid w:val="0023395B"/>
    <w:rsid w:val="002429FB"/>
    <w:rsid w:val="00252015"/>
    <w:rsid w:val="00262634"/>
    <w:rsid w:val="00262B5C"/>
    <w:rsid w:val="002661CC"/>
    <w:rsid w:val="00266F41"/>
    <w:rsid w:val="0026720E"/>
    <w:rsid w:val="002745AC"/>
    <w:rsid w:val="0028672E"/>
    <w:rsid w:val="00286EE0"/>
    <w:rsid w:val="002B69F6"/>
    <w:rsid w:val="002D4112"/>
    <w:rsid w:val="002D5951"/>
    <w:rsid w:val="002D72DB"/>
    <w:rsid w:val="002F599A"/>
    <w:rsid w:val="002F5DFB"/>
    <w:rsid w:val="002F5F3B"/>
    <w:rsid w:val="003049E2"/>
    <w:rsid w:val="00310EB1"/>
    <w:rsid w:val="00330B95"/>
    <w:rsid w:val="003421A2"/>
    <w:rsid w:val="00344046"/>
    <w:rsid w:val="00365229"/>
    <w:rsid w:val="003750A8"/>
    <w:rsid w:val="00387390"/>
    <w:rsid w:val="003B0FE8"/>
    <w:rsid w:val="003B78CF"/>
    <w:rsid w:val="003C17D1"/>
    <w:rsid w:val="003F16DD"/>
    <w:rsid w:val="003F1C04"/>
    <w:rsid w:val="003F1D2F"/>
    <w:rsid w:val="003F232F"/>
    <w:rsid w:val="0040045B"/>
    <w:rsid w:val="00415DE6"/>
    <w:rsid w:val="004424F7"/>
    <w:rsid w:val="00446E2C"/>
    <w:rsid w:val="00453328"/>
    <w:rsid w:val="004533EA"/>
    <w:rsid w:val="004739BD"/>
    <w:rsid w:val="004A4F5C"/>
    <w:rsid w:val="004C1195"/>
    <w:rsid w:val="004D0E7E"/>
    <w:rsid w:val="004F14EC"/>
    <w:rsid w:val="005027D6"/>
    <w:rsid w:val="005166C8"/>
    <w:rsid w:val="00520C0B"/>
    <w:rsid w:val="0052271D"/>
    <w:rsid w:val="00532FB2"/>
    <w:rsid w:val="00557B64"/>
    <w:rsid w:val="005654DF"/>
    <w:rsid w:val="00571A74"/>
    <w:rsid w:val="00573936"/>
    <w:rsid w:val="0057715C"/>
    <w:rsid w:val="005A24BF"/>
    <w:rsid w:val="005E1C4F"/>
    <w:rsid w:val="005E731F"/>
    <w:rsid w:val="006159B6"/>
    <w:rsid w:val="00651DE5"/>
    <w:rsid w:val="0065770C"/>
    <w:rsid w:val="006814CD"/>
    <w:rsid w:val="00682073"/>
    <w:rsid w:val="0068337C"/>
    <w:rsid w:val="00683528"/>
    <w:rsid w:val="00686993"/>
    <w:rsid w:val="00691778"/>
    <w:rsid w:val="006A7513"/>
    <w:rsid w:val="006B1F67"/>
    <w:rsid w:val="006B6C98"/>
    <w:rsid w:val="006E5A7A"/>
    <w:rsid w:val="006F2597"/>
    <w:rsid w:val="006F2789"/>
    <w:rsid w:val="007151E7"/>
    <w:rsid w:val="00743C2B"/>
    <w:rsid w:val="00746868"/>
    <w:rsid w:val="00746CDF"/>
    <w:rsid w:val="00750D0D"/>
    <w:rsid w:val="007647D6"/>
    <w:rsid w:val="00775380"/>
    <w:rsid w:val="0077708F"/>
    <w:rsid w:val="00783166"/>
    <w:rsid w:val="007C07A4"/>
    <w:rsid w:val="007D5073"/>
    <w:rsid w:val="0081210F"/>
    <w:rsid w:val="008127FA"/>
    <w:rsid w:val="00825ADA"/>
    <w:rsid w:val="0083611A"/>
    <w:rsid w:val="0084757D"/>
    <w:rsid w:val="00855821"/>
    <w:rsid w:val="00880012"/>
    <w:rsid w:val="00895E4E"/>
    <w:rsid w:val="008A2D9B"/>
    <w:rsid w:val="008C672C"/>
    <w:rsid w:val="008C6C66"/>
    <w:rsid w:val="008C70E2"/>
    <w:rsid w:val="008E010A"/>
    <w:rsid w:val="008E1C22"/>
    <w:rsid w:val="008F5A4E"/>
    <w:rsid w:val="009308DA"/>
    <w:rsid w:val="00931FAB"/>
    <w:rsid w:val="00932054"/>
    <w:rsid w:val="00932F17"/>
    <w:rsid w:val="009752AD"/>
    <w:rsid w:val="00986828"/>
    <w:rsid w:val="009872D4"/>
    <w:rsid w:val="009A1D3A"/>
    <w:rsid w:val="009B1F14"/>
    <w:rsid w:val="009B497E"/>
    <w:rsid w:val="009B4F02"/>
    <w:rsid w:val="009C6CC6"/>
    <w:rsid w:val="009C7419"/>
    <w:rsid w:val="00A06026"/>
    <w:rsid w:val="00A15515"/>
    <w:rsid w:val="00A26114"/>
    <w:rsid w:val="00A3556F"/>
    <w:rsid w:val="00A47E56"/>
    <w:rsid w:val="00A75073"/>
    <w:rsid w:val="00A77AB5"/>
    <w:rsid w:val="00A87948"/>
    <w:rsid w:val="00AB787E"/>
    <w:rsid w:val="00AC0BEE"/>
    <w:rsid w:val="00AD0F73"/>
    <w:rsid w:val="00AF17D6"/>
    <w:rsid w:val="00AF7FFA"/>
    <w:rsid w:val="00B02909"/>
    <w:rsid w:val="00B11E4E"/>
    <w:rsid w:val="00B21355"/>
    <w:rsid w:val="00B21AF8"/>
    <w:rsid w:val="00B2462F"/>
    <w:rsid w:val="00B419EE"/>
    <w:rsid w:val="00B41D43"/>
    <w:rsid w:val="00B43577"/>
    <w:rsid w:val="00B56EA9"/>
    <w:rsid w:val="00B7524B"/>
    <w:rsid w:val="00B7781C"/>
    <w:rsid w:val="00B80C27"/>
    <w:rsid w:val="00BA578D"/>
    <w:rsid w:val="00BB61A7"/>
    <w:rsid w:val="00BB7D92"/>
    <w:rsid w:val="00BC2EB8"/>
    <w:rsid w:val="00BC47BE"/>
    <w:rsid w:val="00BD422E"/>
    <w:rsid w:val="00BE1135"/>
    <w:rsid w:val="00BF063D"/>
    <w:rsid w:val="00C217CE"/>
    <w:rsid w:val="00C23F0F"/>
    <w:rsid w:val="00C650AF"/>
    <w:rsid w:val="00C74A7E"/>
    <w:rsid w:val="00C77A50"/>
    <w:rsid w:val="00C820C2"/>
    <w:rsid w:val="00C822BD"/>
    <w:rsid w:val="00C83A28"/>
    <w:rsid w:val="00C90030"/>
    <w:rsid w:val="00C95670"/>
    <w:rsid w:val="00CF34A2"/>
    <w:rsid w:val="00CF63A7"/>
    <w:rsid w:val="00D07E94"/>
    <w:rsid w:val="00D13EC0"/>
    <w:rsid w:val="00D35511"/>
    <w:rsid w:val="00D621E6"/>
    <w:rsid w:val="00D85DDD"/>
    <w:rsid w:val="00D9406D"/>
    <w:rsid w:val="00DA5C49"/>
    <w:rsid w:val="00DB13E7"/>
    <w:rsid w:val="00DB590B"/>
    <w:rsid w:val="00DC6CBB"/>
    <w:rsid w:val="00DD06F6"/>
    <w:rsid w:val="00DE032D"/>
    <w:rsid w:val="00DE59A2"/>
    <w:rsid w:val="00DF09D3"/>
    <w:rsid w:val="00E14AD1"/>
    <w:rsid w:val="00E178D4"/>
    <w:rsid w:val="00E345B4"/>
    <w:rsid w:val="00E35298"/>
    <w:rsid w:val="00E37833"/>
    <w:rsid w:val="00E41FF6"/>
    <w:rsid w:val="00E45350"/>
    <w:rsid w:val="00E63269"/>
    <w:rsid w:val="00E9262A"/>
    <w:rsid w:val="00EA1544"/>
    <w:rsid w:val="00EA3BEA"/>
    <w:rsid w:val="00EA520A"/>
    <w:rsid w:val="00EC2E9F"/>
    <w:rsid w:val="00EC5B42"/>
    <w:rsid w:val="00EF0801"/>
    <w:rsid w:val="00EF6AD3"/>
    <w:rsid w:val="00F00A4A"/>
    <w:rsid w:val="00F12BA9"/>
    <w:rsid w:val="00F176F7"/>
    <w:rsid w:val="00F344CC"/>
    <w:rsid w:val="00F37495"/>
    <w:rsid w:val="00F44378"/>
    <w:rsid w:val="00F52276"/>
    <w:rsid w:val="00F550C4"/>
    <w:rsid w:val="00F64F97"/>
    <w:rsid w:val="00F705FB"/>
    <w:rsid w:val="00F72766"/>
    <w:rsid w:val="00F77136"/>
    <w:rsid w:val="00F91B5B"/>
    <w:rsid w:val="00FA1554"/>
    <w:rsid w:val="00FA20FD"/>
    <w:rsid w:val="00FB0D47"/>
    <w:rsid w:val="00FE616E"/>
    <w:rsid w:val="00FF2647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FE515"/>
  <w15:chartTrackingRefBased/>
  <w15:docId w15:val="{555A0808-8BC6-443C-AF03-5EDB1BC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25ADA"/>
    <w:rPr>
      <w:b/>
      <w:bCs/>
    </w:rPr>
  </w:style>
  <w:style w:type="paragraph" w:styleId="Revize">
    <w:name w:val="Revision"/>
    <w:hidden/>
    <w:uiPriority w:val="99"/>
    <w:semiHidden/>
    <w:rsid w:val="00F5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05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05FB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2F5F3B"/>
    <w:pPr>
      <w:numPr>
        <w:numId w:val="15"/>
      </w:numPr>
      <w:spacing w:before="240" w:after="80"/>
    </w:pPr>
    <w:rPr>
      <w:rFonts w:ascii="Arial" w:hAnsi="Arial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2F5F3B"/>
    <w:pPr>
      <w:numPr>
        <w:ilvl w:val="1"/>
        <w:numId w:val="15"/>
      </w:numPr>
      <w:spacing w:before="120" w:after="80"/>
    </w:pPr>
    <w:rPr>
      <w:rFonts w:ascii="Arial" w:hAnsi="Arial"/>
      <w:sz w:val="20"/>
      <w:szCs w:val="20"/>
      <w:lang w:val="x-none" w:eastAsia="x-none"/>
    </w:rPr>
  </w:style>
  <w:style w:type="character" w:customStyle="1" w:styleId="ParodstavecChar">
    <w:name w:val="Par_odstavec Char"/>
    <w:link w:val="Parodstavec"/>
    <w:rsid w:val="002F5F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6AD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6A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e@ponterecord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278D-E0C3-423F-A6DD-A5AFDF0C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Inka Janouškovcová</cp:lastModifiedBy>
  <cp:revision>2</cp:revision>
  <cp:lastPrinted>2023-06-05T12:09:00Z</cp:lastPrinted>
  <dcterms:created xsi:type="dcterms:W3CDTF">2023-06-15T09:13:00Z</dcterms:created>
  <dcterms:modified xsi:type="dcterms:W3CDTF">2023-06-15T09:13:00Z</dcterms:modified>
</cp:coreProperties>
</file>