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5715635</wp:posOffset>
                </wp:positionH>
                <wp:positionV relativeFrom="paragraph">
                  <wp:posOffset>266700</wp:posOffset>
                </wp:positionV>
                <wp:extent cx="600710" cy="14033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071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2012001635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0.05000000000001pt;margin-top:21.pt;width:47.300000000000004pt;height:11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sz w:val="16"/>
                          <w:szCs w:val="16"/>
                        </w:rPr>
                        <w:t>2012001635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b/>
          <w:bCs/>
        </w:rPr>
        <w:t>SMLOUVA O NÁJMU NEBYTOVÝCH PROSTOR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0"/>
        </w:rPr>
        <w:t>uzavřená mezi: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160" w:line="312" w:lineRule="auto"/>
        <w:ind w:left="720" w:right="0" w:hanging="320"/>
        <w:jc w:val="both"/>
      </w:pPr>
      <w:r>
        <w:rPr>
          <w:rStyle w:val="CharStyle10"/>
          <w:b/>
          <w:bCs/>
        </w:rPr>
        <w:t xml:space="preserve">Zdravotnickou záchrannou službou Jihomoravského kraje, příspěvkovou organizací, IČ: </w:t>
      </w:r>
      <w:r>
        <w:rPr>
          <w:rStyle w:val="CharStyle10"/>
        </w:rPr>
        <w:t>00346292, se sídlem v Brně, nám. 28. října 23, zapsanou do obchodního rejstříku u rejstříkového soudu v Brně pod zn. Pr 1245, zastoupenou svým ředitelem panem Ing. Milanem Klusákem, MBA jako pronajímatelem (dále jen .pronajímatel“) a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3" w:val="left"/>
        </w:tabs>
        <w:bidi w:val="0"/>
        <w:spacing w:before="0"/>
        <w:ind w:left="720" w:right="0" w:hanging="320"/>
        <w:jc w:val="both"/>
      </w:pPr>
      <w:r>
        <w:rPr>
          <w:rStyle w:val="CharStyle10"/>
        </w:rPr>
        <w:t xml:space="preserve">společností </w:t>
      </w:r>
      <w:r>
        <w:rPr>
          <w:rStyle w:val="CharStyle10"/>
          <w:b/>
          <w:bCs/>
        </w:rPr>
        <w:t xml:space="preserve">Meditrans plus s.r.o., </w:t>
      </w:r>
      <w:r>
        <w:rPr>
          <w:rStyle w:val="CharStyle10"/>
        </w:rPr>
        <w:t>IČ 29269903, se sídlem v Brně, Mlýnská 326/13, zapsanou do obchodního rejstříku u rejstříkového soudu v Brně oddíl C, vložka 69697, zastoupenou René Cřhóu, jednatelem společnosti nebo Ing. Tomášem Plevou v plné moci jako nájemcem, (dále jen „nájemce“).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 w:line="254" w:lineRule="auto"/>
        <w:ind w:left="3880" w:right="0" w:firstLine="0"/>
        <w:jc w:val="lef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60"/>
        <w:jc w:val="both"/>
      </w:pPr>
      <w:r>
        <w:rPr>
          <w:rStyle w:val="CharStyle10"/>
        </w:rPr>
        <w:t>Pronajímatel má ve správě dům ve vlastnictví Jihomoravského kraje v Blansku, K.H. Máchy 17, čp. 2342, těch, vyb., umístěný ha pozemku p.č. st. 3791, k.ú. Blansko a na pozemku p.č. 2328, k.ú. Blansko, a zapsanýma LV č. 4401 pro katastrální území a obec Blansko.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left"/>
      </w:pPr>
      <w:r>
        <w:rPr>
          <w:rStyle w:val="CharStyle10"/>
        </w:rPr>
        <w:t>Na prvním nadzemním podlaží této nemovitosti je umístěn mimo jiné: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9" w:val="left"/>
        </w:tabs>
        <w:bidi w:val="0"/>
        <w:spacing w:before="0" w:after="220" w:line="254" w:lineRule="auto"/>
        <w:ind w:left="0" w:right="0" w:firstLine="760"/>
        <w:jc w:val="left"/>
      </w:pPr>
      <w:r>
        <w:rPr>
          <w:rStyle w:val="CharStyle10"/>
        </w:rPr>
        <w:t>soubor,9-ti místností, tvořených místností č. 301300 ó výměře 21,00 m2, č. 301310 O vý</w:t>
        <w:softHyphen/>
        <w:t>měře 2,20 m2, č. 301320 o výměře 9,50 rn2, č. 301330 o výměře 1,60 m2, Č. 301340 o výměře 1,30 m2, č. 301350 o výměře 1,30 m2, č. 301360 o výměře 1,55 m2, č. 301390 o výměře 0,70 m2 a č. 301400 o výměře 20,15 m2,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6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Style w:val="CharStyle10"/>
        </w:rPr>
        <w:t>garáž č. 311130 o výměře 15,53 m2,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6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Style w:val="CharStyle10"/>
        </w:rPr>
        <w:t>autodílna č. 321190 o výměře 38,21 m2,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rStyle w:val="CharStyle10"/>
        </w:rPr>
        <w:t>tedy celkem o výměře T13.04 m2. Všechny tyto prostory jsou určeny k jiným, než bytovým účelům.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 w:line="240" w:lineRule="auto"/>
        <w:ind w:left="3880" w:right="0" w:firstLine="0"/>
        <w:jc w:val="left"/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pos="7555" w:val="left"/>
        </w:tabs>
        <w:bidi w:val="0"/>
        <w:spacing w:before="0" w:line="240" w:lineRule="auto"/>
        <w:ind w:left="0" w:right="0" w:firstLine="760"/>
        <w:jc w:val="both"/>
      </w:pPr>
      <w:r>
        <w:rPr>
          <w:rStyle w:val="CharStyle10"/>
        </w:rPr>
        <w:t>Pronajímatel se zavazuje, že nebytové prostory podle čl. 1 této smlouvy přenechá nájemci k jeho výhradnímu užívání pro jeho účely. Pronajímatel se současně zavazuje, že bude nájemci poskytovat služby s užíváním těchto prostor spojené, a to nepřetržitě po celou dobu nájmu podle této smlouvy, nedohodnou-li se obě. strany v jednotlivém případě později jinak. Službami se pro účely této smlouvy rozumí dodávka elektrické energie, tepla, vody a sběr odpadních vod, odvoz odpadu, ostraha, osvětlení a úklid společných prostor.</w:t>
        <w:tab/>
      </w:r>
      <w:r>
        <w:rPr>
          <w:rStyle w:val="CharStyle10"/>
          <w:vertAlign w:val="superscript"/>
        </w:rPr>
        <w:t>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 w:line="240" w:lineRule="auto"/>
        <w:ind w:left="3880" w:right="0" w:firstLine="0"/>
        <w:jc w:val="lef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60"/>
        <w:jc w:val="both"/>
      </w:pPr>
      <w:r>
        <w:rPr>
          <w:rStyle w:val="CharStyle10"/>
        </w:rPr>
        <w:t>Nájemce se zavazuje užívat najaté nebytové prostory podle čl. 1 této smlouvy výhradně k provozování svého nestátního zdravotnického zařízení, a k činnostem s tím spojeným.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 w:line="240" w:lineRule="auto"/>
        <w:ind w:left="3880" w:right="0" w:firstLine="0"/>
        <w:jc w:val="lef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560"/>
        <w:jc w:val="both"/>
      </w:pPr>
      <w:r>
        <w:rPr>
          <w:rStyle w:val="CharStyle10"/>
        </w:rPr>
        <w:t>Nájemce se zavazuje népřenechávat najaté nebytové prostory podle čl. 1 této smlouvy bez předchozího písemného souhlasu pronajímatele k užívání jiným osobám.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 w:line="240" w:lineRule="auto"/>
        <w:ind w:left="3880" w:right="0" w:firstLine="0"/>
        <w:jc w:val="lef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64" w:lineRule="auto"/>
        <w:ind w:left="0" w:right="0"/>
        <w:jc w:val="both"/>
      </w:pPr>
      <w:r>
        <w:rPr>
          <w:rStyle w:val="CharStyle10"/>
        </w:rPr>
        <w:t>Nájemce se zavazuje za užívání nebytových prostor podle čl. 1 této smlouvy platit pronajímateli nájemné ve výši 82.100,- Kč ročně, tzn. 6.842,- Kč měsíčně.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/>
        <w:ind w:left="3900" w:right="0" w:firstLine="0"/>
        <w:jc w:val="both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0" w:right="0" w:firstLine="740"/>
        <w:jc w:val="both"/>
      </w:pPr>
      <w:r>
        <w:rPr>
          <w:rStyle w:val="CharStyle10"/>
        </w:rPr>
        <w:t>Nájemce se. zavazuje platit pronajímateli za služby podle čl. 2 této smlouvy úhradu ve výši nákladů, pronajimatelem na tyto služby vynaložených. Ňebude-li .možno tyto náklady odečítat přímo ze zvláštních měřících zařízení, stanoví se tyto náklady podle vzájemného poměru ploch, užívaných v domě podle čl. 1 této smlouvy nájemcem a ostatními uživateli tohoto domu.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 w:line="240" w:lineRule="auto"/>
        <w:ind w:left="3900" w:right="0" w:firstLine="0"/>
        <w:jc w:val="both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rStyle w:val="CharStyle10"/>
        </w:rPr>
        <w:t>V závislosti na znehodnocování měny; v níž je sjednáno nájemné podle čl. 5 této smlouvy, je pronajímatel oprávněn zvyšovat toto nájemné svým jednostranným opatřením, a to vždy k 1. 1. každého kalendářního roku pró celý následující rok a o částku, odpovídající celkovému indexu inflace, jak bude vyhlašován příslušným orgánem státní správy. Nájemce se zavazuje respektovat toto opatření pronajímatele jako součást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/>
        <w:ind w:left="0" w:right="0" w:firstLine="0"/>
        <w:jc w:val="center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740"/>
        <w:jc w:val="both"/>
      </w:pPr>
      <w:r>
        <w:rPr>
          <w:rStyle w:val="CharStyle10"/>
        </w:rPr>
        <w:t>Nájemné podle čl. 5 této smlouvy je splatné na účet pronajímatele u GE Money Bank a.s. číslo 117203514/0600 formou pravidelných, měsíčních splátek ve výši jedné dvanáctiny ročního plnění a ve lhůtě vždy do 20-tého dne předchozího kalendářního měsíce, a to na základě písemného vyúčtování příslušné splátky (faktury).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/>
        <w:ind w:left="0" w:right="0" w:firstLine="0"/>
        <w:jc w:val="center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0" w:right="0" w:firstLine="740"/>
        <w:jc w:val="both"/>
      </w:pPr>
      <w:r>
        <w:rPr>
          <w:rStyle w:val="CharStyle10"/>
        </w:rPr>
        <w:t>Úhrada za služby podle čl. 6 této smlouvy je splatná na účet pronajímatele podle čl. 8 této smlouvy formou pravidelných měsíčních záloh ve výši 5.650,- Kč a ve lhůtě zároveň s nájemným. Zálohy budou vyúčtovány prostřednictvím faktury po skončení příslušného kalendářního roku, nejpozději do konce 4. měsíce roku následujícího. Splatnost faktury se sjednává do 10 kalendářních dnů od jejího doručení.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/>
        <w:ind w:left="3900" w:right="0" w:firstLine="0"/>
        <w:jc w:val="both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0" w:right="0" w:firstLine="740"/>
        <w:jc w:val="both"/>
      </w:pPr>
      <w:r>
        <w:rPr>
          <w:rStyle w:val="CharStyle10"/>
        </w:rPr>
        <w:t>Pro případ prodlení se zaplacením nájemného a úhrady za služby ve lhůtách podle čl. 8 a čl. 9 této smlouvy se nájemce zavazuje platit pronajímateli smluvní pokutu ve výši 0,5 % z dlužné částky za každý započatý den prodlení. Tím není dotčeno právo pronajímatele na náhradu škody v plné výši. Smluvní pokuta podle tohoto článku této smlouvy je splatná Ve lhůtě 14 dnů od doručeni jejího písemného vyúčtování.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/>
        <w:ind w:left="3900" w:right="0" w:firstLine="0"/>
        <w:jc w:val="both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0" w:right="0" w:firstLine="740"/>
        <w:jc w:val="both"/>
      </w:pPr>
      <w:r>
        <w:rPr>
          <w:rStyle w:val="CharStyle10"/>
        </w:rPr>
        <w:t>Nájemce se zavazuje s najatými prostorami podle čl. 1 této smlouvy nakládat šetrně a přiměřeně jejich účelu a stavebnímu určení a chránit je před poškozením, zneužitím nebo zničením.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/>
        <w:ind w:left="3900" w:right="0" w:firstLine="0"/>
        <w:jc w:val="both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0" w:right="0" w:firstLine="740"/>
        <w:jc w:val="both"/>
      </w:pPr>
      <w:r>
        <w:rPr>
          <w:rStyle w:val="CharStyle10"/>
        </w:rPr>
        <w:t>Nebude-li v jednotlivém případě dohodnuto jinak, je nájemce oprávněn provádět stavební a jiné obdobné úpravy najatých nebytových prostor pouze po předchozím písemném souhlasu pronajímatele a na svoje vlastní náklady.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/>
        <w:ind w:left="3900" w:right="0" w:firstLine="0"/>
        <w:jc w:val="both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57" w:lineRule="auto"/>
        <w:ind w:left="0" w:right="0" w:firstLine="740"/>
        <w:jc w:val="both"/>
      </w:pPr>
      <w:r>
        <w:rPr>
          <w:rStyle w:val="CharStyle10"/>
        </w:rPr>
        <w:t>Nájemce se zavazuje na svoje vlastní náklady provádět běžnou údržbu a drobné opravy najatých nebytových prostor. Drobnými opravami se pro účely této smlouvy rozumí opravy, které v jednotlivém, případě nepřevyšují částku 5.000,- Kč.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920" w:right="0" w:firstLine="0"/>
        <w:jc w:val="both"/>
      </w:pPr>
      <w:r>
        <w:rPr>
          <w:rStyle w:val="CharStyle10"/>
        </w:rPr>
        <w:t>14.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20"/>
        <w:jc w:val="both"/>
      </w:pPr>
      <w:r>
        <w:rPr>
          <w:rStyle w:val="CharStyle10"/>
        </w:rPr>
        <w:t>Nájemce prohlašuje, že se seznámil se stavebně technickým stavem najatých nebytových prostor a potvrzuje, že podmínky jejích nájmu, jak jsou obsaženy v této smlouvě, byly sjednány s přihlédnutím k tomuto stavu a ke všem případným rizikům z něho vyplývajícím a nemohou být pouze s poukazem na tento stav měněny.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920" w:right="0" w:firstLine="0"/>
        <w:jc w:val="both"/>
      </w:pPr>
      <w:r>
        <w:rPr>
          <w:rStyle w:val="CharStyle10"/>
        </w:rPr>
        <w:t>15.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720"/>
        <w:jc w:val="both"/>
      </w:pPr>
      <w:r>
        <w:rPr>
          <w:rStyle w:val="CharStyle10"/>
        </w:rPr>
        <w:t>Není-li touto smlouvou ujednáno jinak, řídí se vzájemný právní vztah mezi pronajímatelem a nájemcem příslušnými ustanoveními zákona č. 116/1990 Sb. o nájmu nebytových prostor v platném znění, včetně práv nájemce vyplývajících z odpovědnosti pronajímatele za porušování jeho povinností podle citovaného zákona a této smlouvy.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760" w:right="0" w:firstLine="0"/>
        <w:jc w:val="both"/>
      </w:pPr>
      <w:r>
        <w:rPr>
          <w:rStyle w:val="CharStyle10"/>
        </w:rPr>
        <w:t>16.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700"/>
        <w:jc w:val="both"/>
      </w:pPr>
      <w:r>
        <w:rPr>
          <w:rStyle w:val="CharStyle10"/>
        </w:rPr>
        <w:t>Tato smlouva se uzavírá na dobu určitou do 31.3.2013.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760" w:right="0" w:firstLine="0"/>
        <w:jc w:val="both"/>
      </w:pPr>
      <w:r>
        <w:rPr>
          <w:rStyle w:val="CharStyle10"/>
        </w:rPr>
        <w:t>17.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720"/>
        <w:jc w:val="both"/>
      </w:pPr>
      <w:r>
        <w:rPr>
          <w:rStyle w:val="CharStyle10"/>
        </w:rPr>
        <w:t>Tuto smlouvu lze změnit nebo zrušit pouze jinou písemnou dohodou obou smluvních stran. Tuto smlouvu lze také vypovědět písemnou výpovědí s tříměsíční výpovědní lhůtou, která začne běžet prvním dnem měsíce následujícího po doručení.výpovědi druhé smluvní straně.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760" w:right="0" w:firstLine="0"/>
        <w:jc w:val="both"/>
      </w:pPr>
      <w:r>
        <w:rPr>
          <w:rStyle w:val="CharStyle10"/>
        </w:rPr>
        <w:t>18.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720"/>
        <w:jc w:val="both"/>
      </w:pPr>
      <w:r>
        <w:rPr>
          <w:rStyle w:val="CharStyle10"/>
        </w:rPr>
        <w:t>Nájemce bere na vědomí, žé součástí nájmu podle této smlouvy nejsou žádné nezastavěné pozemky ve správě pronajímatele, které přiléhají k nebytovým prostorám podle Čí. 1 této smlouvy. V tomto smyslu se nájemce zavazuje zdržet se užívání těchto pozemků k jinému účelu, než k přístupu do najatých prostor v rozsahu nezbytně nutném k tomuto přístupu. Pro případ porušení této své povinnosti zejména umísťováním svých věci na těchto pozemcích a prodleni s vyklizením těchto pozemků od těchto věcí se nájemce zavazuje platit pronajímateli smluvní pokutu ve výši 1 000,-Kč za každý započatý den tohoto prodlení.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10"/>
        </w:rPr>
        <w:t>19.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700"/>
        <w:jc w:val="both"/>
      </w:pPr>
      <w:r>
        <w:rPr>
          <w:rStyle w:val="CharStyle10"/>
        </w:rPr>
        <w:t>Tato smlouva nabývá účinnosti dnem 1.4.2012.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760" w:right="0" w:firstLine="0"/>
        <w:jc w:val="both"/>
      </w:pPr>
      <w:r>
        <w:rPr>
          <w:rStyle w:val="CharStyle10"/>
        </w:rPr>
        <w:t>21.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59" w:lineRule="auto"/>
        <w:ind w:left="0" w:right="0" w:firstLine="720"/>
        <w:jc w:val="both"/>
      </w:pPr>
      <w:r>
        <w:rPr>
          <w:rStyle w:val="CharStyle10"/>
        </w:rPr>
        <w:t>Pódepsáno v Brně dne 31.3.2012 ve čtyřech originálních písemných vyhotoveních, z nichž každá ze smluvních stran obdrží 2 vyhotovení.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both"/>
      </w:pPr>
      <w:r>
        <w:rPr>
          <w:rStyle w:val="CharStyle3"/>
          <w:b/>
          <w:bCs/>
          <w:spacing w:val="1"/>
          <w:shd w:val="clear" w:color="auto" w:fill="000000"/>
        </w:rPr>
        <w:t>...................</w:t>
      </w:r>
      <w:r>
        <w:rPr>
          <w:rStyle w:val="CharStyle3"/>
          <w:b/>
          <w:bCs/>
          <w:spacing w:val="2"/>
          <w:shd w:val="clear" w:color="auto" w:fill="000000"/>
        </w:rPr>
        <w:t>....</w:t>
      </w:r>
      <w:r>
        <w:rPr>
          <w:rStyle w:val="CharStyle3"/>
          <w:b/>
          <w:bCs/>
          <w:shd w:val="clear" w:color="auto" w:fill="000000"/>
        </w:rPr>
        <w:t>​</w:t>
      </w:r>
      <w:r>
        <w:rPr>
          <w:rStyle w:val="CharStyle3"/>
          <w:b/>
          <w:bCs/>
          <w:spacing w:val="2"/>
          <w:shd w:val="clear" w:color="auto" w:fill="000000"/>
        </w:rPr>
        <w:t>..........</w:t>
      </w:r>
      <w:r>
        <w:rPr>
          <w:rStyle w:val="CharStyle3"/>
          <w:b/>
          <w:bCs/>
          <w:spacing w:val="3"/>
          <w:shd w:val="clear" w:color="auto" w:fill="000000"/>
        </w:rPr>
        <w:t>........</w:t>
      </w:r>
      <w:r>
        <w:rPr>
          <w:rStyle w:val="CharStyle3"/>
          <w:b/>
          <w:bCs/>
          <w:shd w:val="clear" w:color="auto" w:fill="000000"/>
        </w:rPr>
        <w:t>​</w:t>
      </w:r>
      <w:r>
        <w:rPr>
          <w:rStyle w:val="CharStyle3"/>
          <w:b/>
          <w:bCs/>
          <w:spacing w:val="1"/>
          <w:shd w:val="clear" w:color="auto" w:fill="000000"/>
        </w:rPr>
        <w:t>.........</w:t>
      </w:r>
      <w:r>
        <w:rPr>
          <w:rStyle w:val="CharStyle3"/>
          <w:b/>
          <w:bCs/>
          <w:spacing w:val="2"/>
          <w:shd w:val="clear" w:color="auto" w:fill="000000"/>
        </w:rPr>
        <w:t>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both"/>
      </w:pPr>
      <w:r>
        <w:rPr>
          <w:rStyle w:val="CharStyle3"/>
          <w:b/>
          <w:bCs/>
          <w:spacing w:val="1"/>
          <w:sz w:val="17"/>
          <w:szCs w:val="17"/>
          <w:shd w:val="clear" w:color="auto" w:fill="000000"/>
        </w:rPr>
        <w:t>....................</w:t>
      </w:r>
      <w:r>
        <w:rPr>
          <w:rStyle w:val="CharStyle3"/>
          <w:b/>
          <w:bCs/>
          <w:spacing w:val="2"/>
          <w:sz w:val="17"/>
          <w:szCs w:val="17"/>
          <w:shd w:val="clear" w:color="auto" w:fill="000000"/>
        </w:rPr>
        <w:t>.........</w:t>
      </w:r>
      <w:r>
        <w:rPr>
          <w:rStyle w:val="CharStyle3"/>
          <w:b/>
          <w:bCs/>
          <w:sz w:val="17"/>
          <w:szCs w:val="17"/>
          <w:shd w:val="clear" w:color="auto" w:fill="000000"/>
        </w:rPr>
        <w:t>​</w:t>
      </w:r>
      <w:r>
        <w:rPr>
          <w:rStyle w:val="CharStyle3"/>
          <w:b/>
          <w:bCs/>
          <w:spacing w:val="2"/>
          <w:sz w:val="17"/>
          <w:szCs w:val="17"/>
          <w:shd w:val="clear" w:color="auto" w:fill="000000"/>
        </w:rPr>
        <w:t>........</w:t>
      </w:r>
      <w:r>
        <w:rPr>
          <w:rStyle w:val="CharStyle3"/>
          <w:b/>
          <w:bCs/>
          <w:spacing w:val="3"/>
          <w:sz w:val="17"/>
          <w:szCs w:val="17"/>
          <w:shd w:val="clear" w:color="auto" w:fill="000000"/>
        </w:rPr>
        <w:t>..</w:t>
      </w:r>
      <w:r>
        <w:rPr>
          <w:rStyle w:val="CharStyle3"/>
          <w:b/>
          <w:bCs/>
          <w:sz w:val="17"/>
          <w:szCs w:val="17"/>
          <w:shd w:val="clear" w:color="auto" w:fill="000000"/>
        </w:rPr>
        <w:t>​</w:t>
      </w:r>
      <w:r>
        <w:rPr>
          <w:rStyle w:val="CharStyle3"/>
          <w:b/>
          <w:bCs/>
          <w:spacing w:val="3"/>
          <w:sz w:val="17"/>
          <w:szCs w:val="17"/>
          <w:shd w:val="clear" w:color="auto" w:fill="000000"/>
        </w:rPr>
        <w:t>....</w:t>
      </w:r>
      <w:r>
        <w:rPr>
          <w:rStyle w:val="CharStyle3"/>
          <w:b/>
          <w:bCs/>
          <w:spacing w:val="4"/>
          <w:sz w:val="17"/>
          <w:szCs w:val="17"/>
          <w:shd w:val="clear" w:color="auto" w:fill="000000"/>
        </w:rPr>
        <w:t>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</w:pPr>
      <w:r>
        <w:rPr>
          <w:rStyle w:val="CharStyle3"/>
          <w:b/>
          <w:bCs/>
          <w:sz w:val="17"/>
          <w:szCs w:val="17"/>
          <w:shd w:val="clear" w:color="auto" w:fill="000000"/>
        </w:rPr>
        <w:t>..​....</w:t>
      </w:r>
      <w:r>
        <w:rPr>
          <w:rStyle w:val="CharStyle3"/>
          <w:b/>
          <w:bCs/>
          <w:spacing w:val="1"/>
          <w:sz w:val="17"/>
          <w:szCs w:val="17"/>
          <w:shd w:val="clear" w:color="auto" w:fill="000000"/>
        </w:rPr>
        <w:t>...</w:t>
      </w:r>
      <w:r>
        <w:rPr>
          <w:rStyle w:val="CharStyle3"/>
          <w:b/>
          <w:bCs/>
          <w:sz w:val="17"/>
          <w:szCs w:val="17"/>
          <w:shd w:val="clear" w:color="auto" w:fill="000000"/>
        </w:rPr>
        <w:t>​.....</w:t>
      </w:r>
      <w:r>
        <w:rPr>
          <w:rStyle w:val="CharStyle3"/>
          <w:b/>
          <w:bCs/>
          <w:spacing w:val="1"/>
          <w:sz w:val="17"/>
          <w:szCs w:val="17"/>
          <w:shd w:val="clear" w:color="auto" w:fill="000000"/>
        </w:rPr>
        <w:t>.</w:t>
      </w:r>
      <w:r>
        <w:rPr>
          <w:rStyle w:val="CharStyle3"/>
          <w:b/>
          <w:bCs/>
          <w:sz w:val="17"/>
          <w:szCs w:val="17"/>
          <w:shd w:val="clear" w:color="auto" w:fill="000000"/>
        </w:rPr>
        <w:t>​</w:t>
      </w:r>
      <w:r>
        <w:rPr>
          <w:rStyle w:val="CharStyle3"/>
          <w:b/>
          <w:bCs/>
          <w:spacing w:val="2"/>
          <w:sz w:val="17"/>
          <w:szCs w:val="17"/>
          <w:shd w:val="clear" w:color="auto" w:fill="000000"/>
        </w:rPr>
        <w:t>.........</w:t>
      </w:r>
      <w:r>
        <w:rPr>
          <w:rStyle w:val="CharStyle3"/>
          <w:b/>
          <w:bCs/>
          <w:spacing w:val="3"/>
          <w:sz w:val="17"/>
          <w:szCs w:val="17"/>
          <w:shd w:val="clear" w:color="auto" w:fill="000000"/>
        </w:rPr>
        <w:t>.</w:t>
      </w:r>
      <w:r>
        <w:rPr>
          <w:rStyle w:val="CharStyle3"/>
          <w:b/>
          <w:bCs/>
          <w:sz w:val="17"/>
          <w:szCs w:val="17"/>
          <w:shd w:val="clear" w:color="auto" w:fill="000000"/>
        </w:rPr>
        <w:t>​</w:t>
      </w:r>
      <w:r>
        <w:rPr>
          <w:rStyle w:val="CharStyle3"/>
          <w:b/>
          <w:bCs/>
          <w:spacing w:val="2"/>
          <w:sz w:val="17"/>
          <w:szCs w:val="17"/>
          <w:shd w:val="clear" w:color="auto" w:fill="000000"/>
        </w:rPr>
        <w:t>......</w:t>
      </w:r>
      <w:r>
        <w:rPr>
          <w:rStyle w:val="CharStyle3"/>
          <w:b/>
          <w:bCs/>
          <w:spacing w:val="3"/>
          <w:sz w:val="17"/>
          <w:szCs w:val="17"/>
          <w:shd w:val="clear" w:color="auto" w:fill="000000"/>
        </w:rPr>
        <w:t>...</w:t>
      </w:r>
      <w:r>
        <w:rPr>
          <w:rStyle w:val="CharStyle3"/>
          <w:b/>
          <w:bCs/>
          <w:sz w:val="17"/>
          <w:szCs w:val="17"/>
          <w:shd w:val="clear" w:color="auto" w:fill="000000"/>
        </w:rPr>
        <w:t>​....</w:t>
      </w:r>
      <w:r>
        <w:rPr>
          <w:rStyle w:val="CharStyle3"/>
          <w:b/>
          <w:bCs/>
          <w:spacing w:val="1"/>
          <w:sz w:val="17"/>
          <w:szCs w:val="17"/>
          <w:shd w:val="clear" w:color="auto" w:fill="000000"/>
        </w:rPr>
        <w:t>..</w:t>
      </w:r>
      <w:r>
        <w:rPr>
          <w:rStyle w:val="CharStyle3"/>
          <w:b/>
          <w:bCs/>
          <w:sz w:val="17"/>
          <w:szCs w:val="17"/>
          <w:shd w:val="clear" w:color="auto" w:fill="000000"/>
        </w:rPr>
        <w:t>​</w:t>
      </w:r>
      <w:r>
        <w:rPr>
          <w:rStyle w:val="CharStyle3"/>
          <w:b/>
          <w:bCs/>
          <w:spacing w:val="3"/>
          <w:sz w:val="17"/>
          <w:szCs w:val="17"/>
          <w:shd w:val="clear" w:color="auto" w:fill="000000"/>
        </w:rPr>
        <w:t>..</w:t>
      </w:r>
      <w:r>
        <w:rPr>
          <w:rStyle w:val="CharStyle3"/>
          <w:b/>
          <w:bCs/>
          <w:spacing w:val="4"/>
          <w:sz w:val="17"/>
          <w:szCs w:val="17"/>
          <w:shd w:val="clear" w:color="auto" w:fill="000000"/>
        </w:rPr>
        <w:t>......</w:t>
      </w:r>
      <w:r>
        <w:rPr>
          <w:rStyle w:val="CharStyle3"/>
          <w:b/>
          <w:bCs/>
          <w:sz w:val="17"/>
          <w:szCs w:val="17"/>
          <w:shd w:val="clear" w:color="auto" w:fill="000000"/>
        </w:rPr>
        <w:t>​..</w:t>
      </w:r>
      <w:r>
        <w:rPr>
          <w:rStyle w:val="CharStyle3"/>
          <w:b/>
          <w:bCs/>
          <w:spacing w:val="1"/>
          <w:sz w:val="17"/>
          <w:szCs w:val="17"/>
          <w:shd w:val="clear" w:color="auto" w:fill="000000"/>
        </w:rPr>
        <w:t>..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57" w:val="left"/>
        </w:tabs>
        <w:bidi w:val="0"/>
        <w:spacing w:before="0" w:after="640" w:line="240" w:lineRule="auto"/>
        <w:ind w:left="0" w:right="0" w:firstLine="960"/>
        <w:jc w:val="both"/>
      </w:pPr>
      <w:r>
        <w:rPr>
          <w:rStyle w:val="CharStyle3"/>
          <w:b/>
          <w:bCs/>
          <w:sz w:val="17"/>
          <w:szCs w:val="17"/>
          <w:shd w:val="clear" w:color="auto" w:fill="000000"/>
        </w:rPr>
        <w:t>.</w:t>
      </w:r>
      <w:r>
        <w:rPr>
          <w:rStyle w:val="CharStyle3"/>
          <w:b/>
          <w:bCs/>
          <w:spacing w:val="3"/>
          <w:sz w:val="17"/>
          <w:szCs w:val="17"/>
          <w:shd w:val="clear" w:color="auto" w:fill="000000"/>
        </w:rPr>
        <w:t>...............</w:t>
      </w:r>
      <w:r>
        <w:rPr>
          <w:rStyle w:val="CharStyle3"/>
          <w:b/>
          <w:bCs/>
          <w:sz w:val="17"/>
          <w:szCs w:val="17"/>
          <w:shd w:val="clear" w:color="auto" w:fill="000000"/>
        </w:rPr>
        <w:t>..</w:t>
      </w:r>
      <w:r>
        <w:rPr>
          <w:rStyle w:val="CharStyle3"/>
          <w:b/>
          <w:bCs/>
          <w:spacing w:val="1"/>
          <w:sz w:val="17"/>
          <w:szCs w:val="17"/>
          <w:shd w:val="clear" w:color="auto" w:fill="000000"/>
        </w:rPr>
        <w:t>..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880"/>
        <w:jc w:val="both"/>
      </w:pPr>
      <w:r>
        <w:drawing>
          <wp:anchor distT="0" distB="21590" distL="114300" distR="114300" simplePos="0" relativeHeight="62914690" behindDoc="1" locked="0" layoutInCell="1" allowOverlap="1">
            <wp:simplePos x="0" y="0"/>
            <wp:positionH relativeFrom="page">
              <wp:posOffset>3845560</wp:posOffset>
            </wp:positionH>
            <wp:positionV relativeFrom="margin">
              <wp:posOffset>7211695</wp:posOffset>
            </wp:positionV>
            <wp:extent cx="1347470" cy="102997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347470" cy="10299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4610735</wp:posOffset>
                </wp:positionH>
                <wp:positionV relativeFrom="margin">
                  <wp:posOffset>8110855</wp:posOffset>
                </wp:positionV>
                <wp:extent cx="518160" cy="14922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816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6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3.05000000000001pt;margin-top:638.64999999999998pt;width:40.800000000000004pt;height:11.7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6"/>
                          <w:spacing w:val="3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437515</wp:posOffset>
            </wp:positionH>
            <wp:positionV relativeFrom="margin">
              <wp:posOffset>7056120</wp:posOffset>
            </wp:positionV>
            <wp:extent cx="1822450" cy="11823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22450" cy="11823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10"/>
          <w:spacing w:val="2"/>
          <w:shd w:val="clear" w:color="auto" w:fill="000000"/>
        </w:rPr>
        <w:t>.................</w:t>
      </w:r>
      <w:r>
        <w:rPr>
          <w:rStyle w:val="CharStyle10"/>
          <w:spacing w:val="3"/>
          <w:shd w:val="clear" w:color="auto" w:fill="000000"/>
        </w:rPr>
        <w:t>..</w:t>
      </w:r>
    </w:p>
    <w:sectPr>
      <w:footnotePr>
        <w:pos w:val="pageBottom"/>
        <w:numFmt w:val="decimal"/>
        <w:numRestart w:val="continuous"/>
      </w:footnotePr>
      <w:pgSz w:w="11900" w:h="16840"/>
      <w:pgMar w:top="1340" w:right="1291" w:bottom="1505" w:left="1383" w:header="912" w:footer="107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Titulek obrázku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ind w:firstLine="550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Titulek obrázku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440" w:line="252" w:lineRule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