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7"/>
        </w:rPr>
        <w:t>■luiniiiigin</w:t>
      </w:r>
      <w:bookmarkEnd w:id="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w:rPr>
          <w:rStyle w:val="CharStyle9"/>
          <w:b/>
          <w:bCs/>
        </w:rPr>
        <w:t>2014002840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r>
        <w:rPr>
          <w:rStyle w:val="CharStyle11"/>
          <w:b/>
          <w:bCs/>
        </w:rPr>
        <w:t>Dodatek č. 4</w:t>
      </w:r>
      <w:bookmarkEnd w:id="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720"/>
        <w:jc w:val="both"/>
      </w:pPr>
      <w:r>
        <w:rPr>
          <w:rStyle w:val="CharStyle13"/>
        </w:rPr>
        <w:t>ke smlouvě o nájmu nebytových prostor ze dne 31.3.2012, ve znění Dodatku č. 1 ze dne 1.9.2012, ve znění Dodatku č. 2 ze dne 31.3.2013 a ve znění Dodatku č. 3 ze dne 31.3.2014/ dále jen „smlouva“ /, uzavřené mezi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64" w:lineRule="auto"/>
        <w:ind w:left="0" w:right="0" w:firstLine="420"/>
        <w:jc w:val="both"/>
      </w:pPr>
      <w:r>
        <w:rPr>
          <w:rStyle w:val="CharStyle13"/>
        </w:rPr>
        <w:t>1/ Zdravotnickou záchrannou službou Jihomoravského kraje, příspěvkovou organizací, IČ 00346292, se sídlem v Bmě, Kamenice 798/1 d, zapsanou v OR u KS v Brně pod sp. zn Pr 1245, zastoupenou svým ředitelem panem Ing. Milanem Kl ušákem, MBA jako pronajímatelem / dále jen „pronajímatel“ /, 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0"/>
        <w:ind w:left="0" w:right="0" w:firstLine="420"/>
        <w:jc w:val="both"/>
      </w:pPr>
      <w:r>
        <w:rPr>
          <w:rStyle w:val="CharStyle13"/>
        </w:rPr>
        <w:t xml:space="preserve">2/ společností Meditrans plus s.r.o., IČ 292 69 903 se sídlem v Brně, Mlýnská 326/13, zapsaná v OR u KS v Bmě pod sp. zn. C 69697, zastoupenou svým jednatelem Ing. Tomášem Plevou jako nájemcem / dále jen „nájemce“ </w:t>
      </w:r>
      <w:r>
        <w:rPr>
          <w:rStyle w:val="CharStyle13"/>
          <w:i/>
          <w:iCs/>
        </w:rPr>
        <w:t>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" w:line="266" w:lineRule="auto"/>
        <w:ind w:left="0" w:right="0" w:firstLine="700"/>
        <w:jc w:val="both"/>
      </w:pPr>
      <w:r>
        <w:rPr>
          <w:rStyle w:val="CharStyle13"/>
        </w:rPr>
        <w:t>ČI. 1 smlouvy se mění a nadále zní takto: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95" w:val="left"/>
        </w:tabs>
        <w:bidi w:val="0"/>
        <w:spacing w:before="0" w:after="100"/>
        <w:ind w:left="0" w:right="0" w:firstLine="720"/>
        <w:jc w:val="both"/>
      </w:pPr>
      <w:r>
        <w:rPr>
          <w:rStyle w:val="CharStyle13"/>
        </w:rPr>
        <w:t>Pronajímatel má ve správě dům ve vlastnictví Jihomoravského kraje v Blansku, K.H. Máchy 17, čp. 2342, těch, vyb., umístěný na pozemku p.č. st. 3791, k.ú. Blansko, a zapsaný na LV č. 4401 pro katastrální území a obec Blansko. Na prvním nadzemním podlaží této nemovitosti je umístěn mimo jiné: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90" w:val="left"/>
        </w:tabs>
        <w:bidi w:val="0"/>
        <w:spacing w:before="0" w:after="0" w:line="266" w:lineRule="auto"/>
        <w:ind w:left="1060" w:right="0" w:hanging="340"/>
        <w:jc w:val="both"/>
      </w:pPr>
      <w:r>
        <w:rPr>
          <w:rStyle w:val="CharStyle13"/>
        </w:rPr>
        <w:t>Soubor 13-ti místností, tvořených místností č. 301290 o výměře 17,60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>, č. 301300 o výměře 21,00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>, č. 301310 o výměře 2,20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>, č. 301320 o výměře 19,00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>, č. 301330 o výměře 1,60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>, č. 301340 o výměře 1,30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>, č. 301350 o výměře 1,30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>, č. 301360 o výměře 3,10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>, č. 301370 o výměře 1,40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>, č. 301400 o výměře 20,15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>, č. 30141 Oo výměře 29,50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>, č. 301420 o výměře 10,50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 xml:space="preserve"> a č. 301430 o výměře 4,35 m</w:t>
      </w:r>
      <w:r>
        <w:rPr>
          <w:rStyle w:val="CharStyle13"/>
          <w:vertAlign w:val="superscript"/>
        </w:rPr>
        <w:t>2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5" w:val="left"/>
        </w:tabs>
        <w:bidi w:val="0"/>
        <w:spacing w:before="0" w:after="0" w:line="266" w:lineRule="auto"/>
        <w:ind w:left="0" w:right="0" w:firstLine="700"/>
        <w:jc w:val="both"/>
      </w:pPr>
      <w:r>
        <w:rPr>
          <w:rStyle w:val="CharStyle13"/>
        </w:rPr>
        <w:t>Garáž č. 13 o výměře 15,53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>,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0" w:val="left"/>
        </w:tabs>
        <w:bidi w:val="0"/>
        <w:spacing w:before="0" w:after="0" w:line="266" w:lineRule="auto"/>
        <w:ind w:left="0" w:right="0" w:firstLine="700"/>
        <w:jc w:val="both"/>
      </w:pPr>
      <w:r>
        <w:rPr>
          <w:rStyle w:val="CharStyle13"/>
        </w:rPr>
        <w:t>Garáž č. 14 o výměře 15,53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>,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5" w:val="left"/>
        </w:tabs>
        <w:bidi w:val="0"/>
        <w:spacing w:before="0" w:after="100" w:line="266" w:lineRule="auto"/>
        <w:ind w:left="0" w:right="0" w:firstLine="700"/>
        <w:jc w:val="both"/>
      </w:pPr>
      <w:r>
        <w:rPr>
          <w:rStyle w:val="CharStyle13"/>
        </w:rPr>
        <w:t>Autodílna o výměře 38,21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>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60" w:line="276" w:lineRule="auto"/>
        <w:ind w:left="700" w:right="0" w:firstLine="20"/>
        <w:jc w:val="both"/>
      </w:pPr>
      <w:r>
        <w:rPr>
          <w:rStyle w:val="CharStyle13"/>
        </w:rPr>
        <w:t>tedy celkem o výměře 192,77 m</w:t>
      </w:r>
      <w:r>
        <w:rPr>
          <w:rStyle w:val="CharStyle13"/>
          <w:vertAlign w:val="superscript"/>
        </w:rPr>
        <w:t>2</w:t>
      </w:r>
      <w:r>
        <w:rPr>
          <w:rStyle w:val="CharStyle13"/>
        </w:rPr>
        <w:t>. Všechny tyto prostory jsou určeny k jiným, než bytovým účelům.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0" w:val="left"/>
        </w:tabs>
        <w:bidi w:val="0"/>
        <w:spacing w:before="0" w:after="100"/>
        <w:ind w:left="0" w:right="0" w:firstLine="720"/>
        <w:jc w:val="both"/>
      </w:pPr>
      <w:r>
        <w:rPr>
          <w:rStyle w:val="CharStyle13"/>
        </w:rPr>
        <w:t>V nebytových prostorách je dále umístěn soubor movitých věcí, který tvoří jejich vnitřní vybavení a zařízení. Bližší specifikace těchto věcí je uvedena v příloze č. 1, která je nedílnou součástí této smlouvy.</w:t>
      </w:r>
    </w:p>
    <w:p>
      <w:pPr>
        <w:pStyle w:val="Style15"/>
        <w:keepNext/>
        <w:keepLines/>
        <w:widowControl w:val="0"/>
        <w:numPr>
          <w:ilvl w:val="0"/>
          <w:numId w:val="5"/>
        </w:numPr>
        <w:shd w:val="clear" w:color="auto" w:fill="auto"/>
        <w:bidi w:val="0"/>
        <w:spacing w:before="0" w:after="100" w:line="266" w:lineRule="auto"/>
        <w:ind w:left="0" w:right="0" w:firstLine="0"/>
        <w:jc w:val="center"/>
      </w:pPr>
      <w:bookmarkStart w:id="4" w:name="bookmark4"/>
      <w:bookmarkEnd w:id="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" w:line="266" w:lineRule="auto"/>
        <w:ind w:left="0" w:right="0" w:firstLine="700"/>
        <w:jc w:val="both"/>
      </w:pPr>
      <w:r>
        <w:rPr>
          <w:rStyle w:val="CharStyle13"/>
        </w:rPr>
        <w:t>ČI. 5 smlouvy se mění a nadále zní takto: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60" w:line="266" w:lineRule="auto"/>
        <w:ind w:left="0" w:right="0" w:firstLine="720"/>
        <w:jc w:val="both"/>
      </w:pPr>
      <w:r>
        <w:rPr>
          <w:rStyle w:val="CharStyle13"/>
        </w:rPr>
        <w:t>Nájemce še zavazuje za užívání nebytových prostor podle čl. 1 A této smlouvy platit pronajímateli nájemné ve výši 165.604,- Kč ročně, tzn. 13.801,- Kč měsíčně a za užívání movitých věcí podle čl. 1 B této smlouvy platit pronajímateli nájemné ve výši 3.617,- Kč ročně, tj. 301,- Kč měsíčně.</w:t>
      </w:r>
    </w:p>
    <w:p>
      <w:pPr>
        <w:pStyle w:val="Style15"/>
        <w:keepNext/>
        <w:keepLines/>
        <w:widowControl w:val="0"/>
        <w:numPr>
          <w:ilvl w:val="0"/>
          <w:numId w:val="5"/>
        </w:numPr>
        <w:shd w:val="clear" w:color="auto" w:fill="auto"/>
        <w:bidi w:val="0"/>
        <w:spacing w:before="0" w:after="100" w:line="262" w:lineRule="auto"/>
        <w:ind w:left="0" w:right="0" w:firstLine="0"/>
        <w:jc w:val="center"/>
      </w:pPr>
      <w:bookmarkStart w:id="6" w:name="bookmark6"/>
      <w:bookmarkEnd w:id="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700"/>
        <w:jc w:val="both"/>
      </w:pPr>
      <w:r>
        <w:rPr>
          <w:rStyle w:val="CharStyle13"/>
        </w:rPr>
        <w:t>Čl. 9 smlouvy se mění a nadále zní takto: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720"/>
        <w:jc w:val="both"/>
      </w:pPr>
      <w:r>
        <w:rPr>
          <w:rStyle w:val="CharStyle13"/>
        </w:rPr>
        <w:t>Úhrada za služby podle čl. 7 této smlouvy je splatná na účet pronajímatele podle čl. 8 této smlouvy formou pravidelných měsíčních záloh ve výši 6.500,- Kč a ve lhůtě zároveň s nájemným, a formou ročního vyúčtováni po skončení příslušného kalendářního roku ve lhůtě do 10-ti dnů od předložení jeho písemného vyhotovení /faktury/.</w:t>
      </w:r>
      <w:r>
        <w:br w:type="page"/>
      </w:r>
    </w:p>
    <w:p>
      <w:pPr>
        <w:pStyle w:val="Style15"/>
        <w:keepNext/>
        <w:keepLines/>
        <w:widowControl w:val="0"/>
        <w:numPr>
          <w:ilvl w:val="0"/>
          <w:numId w:val="5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End w:id="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700"/>
        <w:jc w:val="left"/>
      </w:pPr>
      <w:r>
        <w:rPr>
          <w:rStyle w:val="CharStyle13"/>
        </w:rPr>
        <w:t>Ostatní ujednání smlouvy nejsou tímto dodatkem nijak dotčena.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120" w:line="240" w:lineRule="auto"/>
        <w:ind w:left="0" w:right="0" w:firstLine="0"/>
        <w:jc w:val="center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720"/>
        <w:jc w:val="left"/>
      </w:pPr>
      <w:r>
        <w:rPr>
          <w:rStyle w:val="CharStyle13"/>
        </w:rPr>
        <w:t>Tento dodatek lze změnit nebo zrušit pouze jinou písemnou dohodou obou smluvních stran.</w:t>
      </w:r>
    </w:p>
    <w:p>
      <w:pPr>
        <w:pStyle w:val="Style15"/>
        <w:keepNext/>
        <w:keepLines/>
        <w:widowControl w:val="0"/>
        <w:numPr>
          <w:ilvl w:val="0"/>
          <w:numId w:val="5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End w:id="1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700"/>
        <w:jc w:val="left"/>
      </w:pPr>
      <w:r>
        <w:rPr>
          <w:rStyle w:val="CharStyle13"/>
        </w:rPr>
        <w:t>Tento dodatek nabývá účinnosti dnem 1.7.2014.</w:t>
      </w:r>
    </w:p>
    <w:p>
      <w:pPr>
        <w:pStyle w:val="Style15"/>
        <w:keepNext/>
        <w:keepLines/>
        <w:widowControl w:val="0"/>
        <w:numPr>
          <w:ilvl w:val="0"/>
          <w:numId w:val="5"/>
        </w:numPr>
        <w:shd w:val="clear" w:color="auto" w:fill="auto"/>
        <w:bidi w:val="0"/>
        <w:spacing w:before="0" w:line="257" w:lineRule="auto"/>
        <w:ind w:left="0" w:right="0" w:firstLine="0"/>
        <w:jc w:val="center"/>
      </w:pPr>
      <w:bookmarkStart w:id="12" w:name="bookmark12"/>
      <w:bookmarkEnd w:id="1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20" w:line="257" w:lineRule="auto"/>
        <w:ind w:left="0" w:right="0" w:firstLine="720"/>
        <w:jc w:val="left"/>
      </w:pPr>
      <w:r>
        <w:rPr>
          <w:rStyle w:val="CharStyle13"/>
        </w:rPr>
        <w:t>Dáno v Brně dne 30.6.2014 ve dvou originálních písemných vyhotoveních, z nichž každá ze smluvních stran obdrží po jednom.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drawing>
          <wp:anchor distT="0" distB="725170" distL="114300" distR="114300" simplePos="0" relativeHeight="125829378" behindDoc="0" locked="0" layoutInCell="1" allowOverlap="1">
            <wp:simplePos x="0" y="0"/>
            <wp:positionH relativeFrom="page">
              <wp:posOffset>1156335</wp:posOffset>
            </wp:positionH>
            <wp:positionV relativeFrom="margin">
              <wp:posOffset>3928745</wp:posOffset>
            </wp:positionV>
            <wp:extent cx="2078990" cy="1237615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78990" cy="12376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1198880</wp:posOffset>
                </wp:positionH>
                <wp:positionV relativeFrom="margin">
                  <wp:posOffset>5300345</wp:posOffset>
                </wp:positionV>
                <wp:extent cx="1615440" cy="58801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5440" cy="588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Zdravotnická záchranná služba Jihomoravského kraje, p.o.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Kamenice 798/1 d,.625 00 Brno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4.400000000000006pt;margin-top:417.35000000000002pt;width:127.2pt;height:46.300000000000004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Zdravotnická záchranná služba Jihomoravského kraje, p.o.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Kamenice 798/1 d,.625 00 Brno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23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4256405</wp:posOffset>
            </wp:positionH>
            <wp:positionV relativeFrom="margin">
              <wp:posOffset>4133215</wp:posOffset>
            </wp:positionV>
            <wp:extent cx="1109345" cy="100584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109345" cy="10058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18"/>
          <w:spacing w:val="24"/>
          <w:shd w:val="clear" w:color="auto" w:fill="000000"/>
        </w:rPr>
        <w:t>.</w:t>
      </w:r>
      <w:r>
        <w:rPr>
          <w:rStyle w:val="CharStyle18"/>
          <w:spacing w:val="25"/>
          <w:shd w:val="clear" w:color="auto" w:fill="000000"/>
        </w:rPr>
        <w:t>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  <w:b/>
          <w:bCs/>
        </w:rPr>
        <w:t>“Meditrans plus s.r.o.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376" w:right="1631" w:bottom="1407" w:left="1130" w:header="0" w:footer="979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4695190</wp:posOffset>
                </wp:positionH>
                <wp:positionV relativeFrom="margin">
                  <wp:posOffset>5586730</wp:posOffset>
                </wp:positionV>
                <wp:extent cx="762000" cy="13398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200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Td.: 774 751 600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69.69999999999999pt;margin-top:439.90000000000003pt;width:60.pt;height:10.550000000000001pt;z-index:-12582937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Td.: 774 751 600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CharStyle5"/>
          <w:b/>
          <w:bCs/>
        </w:rPr>
        <w:t>sídlo: Mlýnská 326/13,602 00 Brno</w:t>
        <w:br/>
        <w:t>kancelář- Hlinky 37/9,603 00 Brno</w:t>
        <w:br/>
        <w:t>IČ: 292 69 903 IČZ 715 13 000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380"/>
        <w:jc w:val="left"/>
      </w:pPr>
      <w:r>
        <w:rPr>
          <w:rStyle w:val="CharStyle13"/>
        </w:rPr>
        <w:t>Příloha č. 1 Soupis movitého majetku</w:t>
      </w:r>
    </w:p>
    <w:tbl>
      <w:tblPr>
        <w:tblOverlap w:val="never"/>
        <w:jc w:val="center"/>
        <w:tblLayout w:type="fixed"/>
      </w:tblPr>
      <w:tblGrid>
        <w:gridCol w:w="2002"/>
        <w:gridCol w:w="1488"/>
        <w:gridCol w:w="3317"/>
      </w:tblGrid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301410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200600561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Skříň vestavěná do niky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301420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20070117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Kuchyně (součást budovy)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22"/>
              </w:rPr>
              <w:t>301430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200600819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Koš nerezový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301430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200670605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Zásobník WC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472" w:right="1630" w:bottom="1112" w:left="1131" w:header="0" w:footer="68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2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">
    <w:name w:val="Nadpis #1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9">
    <w:name w:val="Základní text (3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Nadpis #2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CharStyle13">
    <w:name w:val="Základní text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Nadpis #3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Základní text (4)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22">
    <w:name w:val="Jiné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spacing w:line="307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32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auto"/>
      <w:spacing w:after="100"/>
      <w:ind w:right="44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auto"/>
      <w:ind w:right="440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auto"/>
      <w:spacing w:after="240" w:line="180" w:lineRule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auto"/>
      <w:spacing w:after="180" w:line="262" w:lineRule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Nadpis #3"/>
    <w:basedOn w:val="Normal"/>
    <w:link w:val="CharStyle16"/>
    <w:pPr>
      <w:widowControl w:val="0"/>
      <w:shd w:val="clear" w:color="auto" w:fill="auto"/>
      <w:spacing w:after="120" w:line="259" w:lineRule="auto"/>
      <w:jc w:val="center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Základní text (4)"/>
    <w:basedOn w:val="Normal"/>
    <w:link w:val="CharStyle18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Style21">
    <w:name w:val="Jiné"/>
    <w:basedOn w:val="Normal"/>
    <w:link w:val="CharStyle22"/>
    <w:pPr>
      <w:widowControl w:val="0"/>
      <w:shd w:val="clear" w:color="auto" w:fill="auto"/>
      <w:spacing w:after="180" w:line="262" w:lineRule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