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E6FB" w14:textId="77777777" w:rsidR="007B2DBB" w:rsidRPr="000F0D9B" w:rsidRDefault="007B2DBB" w:rsidP="007B2DBB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0F0D9B">
        <w:rPr>
          <w:rFonts w:ascii="Garamond" w:hAnsi="Garamond" w:cstheme="minorHAnsi"/>
          <w:b/>
          <w:sz w:val="24"/>
          <w:szCs w:val="24"/>
        </w:rPr>
        <w:t>SMLOUVA O SPOLUPRÁCI</w:t>
      </w:r>
    </w:p>
    <w:p w14:paraId="5140DD4F" w14:textId="77777777" w:rsidR="007B2DBB" w:rsidRPr="00E46D40" w:rsidRDefault="007B2DBB" w:rsidP="007B2DBB">
      <w:pPr>
        <w:jc w:val="center"/>
        <w:rPr>
          <w:rFonts w:ascii="Garamond" w:hAnsi="Garamond" w:cstheme="minorHAnsi"/>
        </w:rPr>
      </w:pPr>
      <w:r w:rsidRPr="00E46D40">
        <w:rPr>
          <w:rFonts w:ascii="Garamond" w:hAnsi="Garamond" w:cstheme="minorHAnsi"/>
        </w:rPr>
        <w:t xml:space="preserve">uzavřená v souladu s ustanovením § </w:t>
      </w:r>
      <w:r>
        <w:rPr>
          <w:rFonts w:ascii="Garamond" w:hAnsi="Garamond" w:cstheme="minorHAnsi"/>
        </w:rPr>
        <w:t>1746</w:t>
      </w:r>
      <w:r w:rsidRPr="00E46D40">
        <w:rPr>
          <w:rFonts w:ascii="Garamond" w:hAnsi="Garamond" w:cstheme="minorHAnsi"/>
        </w:rPr>
        <w:t xml:space="preserve"> a násl. zákona č. 89/2012 Sb., občanský zákoník, ve znění pozdějších předpisů (dále jen </w:t>
      </w:r>
      <w:r w:rsidRPr="00E46D40">
        <w:rPr>
          <w:rFonts w:ascii="Garamond" w:hAnsi="Garamond" w:cstheme="minorHAnsi"/>
          <w:b/>
        </w:rPr>
        <w:t>„Smlouva“</w:t>
      </w:r>
      <w:r w:rsidRPr="00E46D40">
        <w:rPr>
          <w:rFonts w:ascii="Garamond" w:hAnsi="Garamond" w:cstheme="minorHAnsi"/>
        </w:rPr>
        <w:t>)</w:t>
      </w:r>
    </w:p>
    <w:p w14:paraId="32D374E5" w14:textId="3C73140A" w:rsidR="005B60C5" w:rsidRPr="005B60C5" w:rsidRDefault="005B60C5" w:rsidP="005B60C5">
      <w:pPr>
        <w:numPr>
          <w:ilvl w:val="0"/>
          <w:numId w:val="2"/>
        </w:numPr>
        <w:spacing w:after="0" w:line="240" w:lineRule="auto"/>
        <w:ind w:left="561"/>
        <w:jc w:val="both"/>
        <w:rPr>
          <w:rFonts w:ascii="Garamond" w:hAnsi="Garamond" w:cstheme="minorHAnsi"/>
        </w:rPr>
      </w:pPr>
      <w:r w:rsidRPr="005B60C5">
        <w:rPr>
          <w:rFonts w:ascii="Garamond" w:hAnsi="Garamond" w:cstheme="minorHAnsi"/>
          <w:b/>
        </w:rPr>
        <w:t>Fotbalová asociace České republiky</w:t>
      </w:r>
    </w:p>
    <w:p w14:paraId="27744DA4" w14:textId="10AB3438" w:rsidR="005B60C5" w:rsidRDefault="005B60C5" w:rsidP="00E96860">
      <w:pPr>
        <w:pStyle w:val="Bezmezer"/>
        <w:spacing w:before="240"/>
        <w:ind w:left="561"/>
        <w:jc w:val="both"/>
        <w:rPr>
          <w:rFonts w:ascii="Garamond" w:hAnsi="Garamond"/>
        </w:rPr>
      </w:pPr>
      <w:r w:rsidRPr="00A72E69">
        <w:rPr>
          <w:rFonts w:ascii="Garamond" w:hAnsi="Garamond" w:cs="Times New Roman"/>
        </w:rPr>
        <w:t xml:space="preserve">se sídlem </w:t>
      </w:r>
      <w:r w:rsidRPr="00A72E69">
        <w:rPr>
          <w:rFonts w:ascii="Garamond" w:hAnsi="Garamond"/>
        </w:rPr>
        <w:t>Atletická 2474/8, 169 00 Praha 6 – Břevnov</w:t>
      </w:r>
      <w:r w:rsidR="00E96860">
        <w:rPr>
          <w:rFonts w:ascii="Garamond" w:hAnsi="Garamond" w:cs="Times New Roman"/>
        </w:rPr>
        <w:t xml:space="preserve">, </w:t>
      </w:r>
      <w:r w:rsidRPr="00A72E69">
        <w:rPr>
          <w:rFonts w:ascii="Garamond" w:hAnsi="Garamond" w:cs="Times New Roman"/>
        </w:rPr>
        <w:t>IČO: 004 06</w:t>
      </w:r>
      <w:r w:rsidR="00E96860">
        <w:rPr>
          <w:rFonts w:ascii="Garamond" w:hAnsi="Garamond" w:cs="Times New Roman"/>
        </w:rPr>
        <w:t> </w:t>
      </w:r>
      <w:r w:rsidRPr="00A72E69">
        <w:rPr>
          <w:rFonts w:ascii="Garamond" w:hAnsi="Garamond" w:cs="Times New Roman"/>
        </w:rPr>
        <w:t>741</w:t>
      </w:r>
      <w:r w:rsidR="00E96860">
        <w:rPr>
          <w:rFonts w:ascii="Garamond" w:hAnsi="Garamond" w:cs="Times New Roman"/>
        </w:rPr>
        <w:t xml:space="preserve">, </w:t>
      </w:r>
      <w:r w:rsidRPr="00A72E69">
        <w:rPr>
          <w:rFonts w:ascii="Garamond" w:hAnsi="Garamond"/>
        </w:rPr>
        <w:t>spolek zapsaný ve</w:t>
      </w:r>
      <w:r w:rsidR="006B13EF">
        <w:rPr>
          <w:rFonts w:ascii="Garamond" w:hAnsi="Garamond"/>
        </w:rPr>
        <w:t> </w:t>
      </w:r>
      <w:r w:rsidRPr="00A72E69">
        <w:rPr>
          <w:rFonts w:ascii="Garamond" w:hAnsi="Garamond"/>
        </w:rPr>
        <w:t>spolkovém rejstříku vedeným Městským soudem v Praze, oddíl L, vložka 1066</w:t>
      </w:r>
      <w:r w:rsidR="00E96860">
        <w:rPr>
          <w:rFonts w:ascii="Garamond" w:hAnsi="Garamond" w:cs="Times New Roman"/>
        </w:rPr>
        <w:t xml:space="preserve"> </w:t>
      </w:r>
      <w:r w:rsidRPr="00A72E69">
        <w:rPr>
          <w:rFonts w:ascii="Garamond" w:hAnsi="Garamond"/>
        </w:rPr>
        <w:t>zastoupený Ing.</w:t>
      </w:r>
      <w:r w:rsidR="006B13EF">
        <w:rPr>
          <w:rFonts w:ascii="Garamond" w:hAnsi="Garamond"/>
        </w:rPr>
        <w:t> </w:t>
      </w:r>
      <w:r w:rsidRPr="00A72E69">
        <w:rPr>
          <w:rFonts w:ascii="Garamond" w:hAnsi="Garamond"/>
        </w:rPr>
        <w:t>Petrem Fouskem, předsedou, a JUDr. Jiřím Šidliákem, 1. místopředsedou</w:t>
      </w:r>
    </w:p>
    <w:p w14:paraId="058E9F71" w14:textId="6F8417E8" w:rsidR="00B37122" w:rsidRPr="006E22E3" w:rsidRDefault="00B37122" w:rsidP="00E96860">
      <w:pPr>
        <w:pStyle w:val="Bezmezer"/>
        <w:spacing w:before="240"/>
        <w:ind w:left="561"/>
        <w:jc w:val="both"/>
        <w:rPr>
          <w:rFonts w:ascii="Garamond" w:hAnsi="Garamond" w:cs="Times New Roman"/>
        </w:rPr>
      </w:pPr>
      <w:r w:rsidRPr="006E22E3">
        <w:rPr>
          <w:rFonts w:ascii="Garamond" w:hAnsi="Garamond"/>
        </w:rPr>
        <w:t>(dále jen „</w:t>
      </w:r>
      <w:r w:rsidRPr="006E22E3">
        <w:rPr>
          <w:rFonts w:ascii="Garamond" w:hAnsi="Garamond"/>
          <w:b/>
          <w:bCs/>
        </w:rPr>
        <w:t>FAČR</w:t>
      </w:r>
      <w:r w:rsidRPr="006E22E3">
        <w:rPr>
          <w:rFonts w:ascii="Garamond" w:hAnsi="Garamond"/>
        </w:rPr>
        <w:t>“)</w:t>
      </w:r>
    </w:p>
    <w:p w14:paraId="1A30F108" w14:textId="77777777" w:rsidR="007B2DBB" w:rsidRPr="00BB48A8" w:rsidRDefault="007B2DBB" w:rsidP="00E96860">
      <w:pPr>
        <w:spacing w:before="240"/>
        <w:ind w:firstLine="561"/>
        <w:jc w:val="both"/>
        <w:rPr>
          <w:rFonts w:ascii="Garamond" w:hAnsi="Garamond" w:cstheme="minorHAnsi"/>
          <w:b/>
          <w:bCs/>
        </w:rPr>
      </w:pPr>
      <w:r w:rsidRPr="00BB48A8">
        <w:rPr>
          <w:rFonts w:ascii="Garamond" w:hAnsi="Garamond" w:cstheme="minorHAnsi"/>
          <w:b/>
          <w:bCs/>
        </w:rPr>
        <w:t>a</w:t>
      </w:r>
    </w:p>
    <w:p w14:paraId="629B7F25" w14:textId="77777777" w:rsidR="007B2DBB" w:rsidRPr="00117905" w:rsidRDefault="007B2DBB" w:rsidP="007B2DBB">
      <w:pPr>
        <w:numPr>
          <w:ilvl w:val="0"/>
          <w:numId w:val="2"/>
        </w:numPr>
        <w:spacing w:before="120" w:after="0" w:line="240" w:lineRule="auto"/>
        <w:jc w:val="both"/>
        <w:rPr>
          <w:rFonts w:ascii="Garamond" w:hAnsi="Garamond" w:cstheme="minorHAnsi"/>
        </w:rPr>
      </w:pPr>
      <w:r w:rsidRPr="00117905">
        <w:rPr>
          <w:rFonts w:ascii="Garamond" w:hAnsi="Garamond" w:cstheme="minorHAnsi"/>
          <w:b/>
          <w:bCs/>
        </w:rPr>
        <w:t>Technologie hlavního města Prahy, a.s.</w:t>
      </w:r>
    </w:p>
    <w:p w14:paraId="026993F9" w14:textId="6BB23861" w:rsidR="007B2DBB" w:rsidRPr="00117905" w:rsidRDefault="007B2DBB" w:rsidP="00E96860">
      <w:pPr>
        <w:spacing w:before="120" w:after="0" w:line="240" w:lineRule="auto"/>
        <w:ind w:left="567"/>
        <w:jc w:val="both"/>
        <w:rPr>
          <w:rFonts w:ascii="Garamond" w:hAnsi="Garamond" w:cstheme="minorHAnsi"/>
        </w:rPr>
      </w:pPr>
      <w:r w:rsidRPr="00117905">
        <w:rPr>
          <w:rFonts w:ascii="Garamond" w:hAnsi="Garamond" w:cstheme="minorHAnsi"/>
        </w:rPr>
        <w:t>se sídlem Dělnická 213/12,</w:t>
      </w:r>
      <w:r>
        <w:rPr>
          <w:rFonts w:ascii="Garamond" w:hAnsi="Garamond" w:cstheme="minorHAnsi"/>
        </w:rPr>
        <w:t xml:space="preserve"> </w:t>
      </w:r>
      <w:r w:rsidRPr="00117905">
        <w:rPr>
          <w:rFonts w:ascii="Garamond" w:hAnsi="Garamond" w:cstheme="minorHAnsi"/>
        </w:rPr>
        <w:t>170 00 Praha 7</w:t>
      </w:r>
      <w:r>
        <w:rPr>
          <w:rFonts w:ascii="Garamond" w:hAnsi="Garamond" w:cstheme="minorHAnsi"/>
        </w:rPr>
        <w:t xml:space="preserve"> </w:t>
      </w:r>
      <w:r w:rsidR="00E96860">
        <w:rPr>
          <w:rFonts w:ascii="Garamond" w:hAnsi="Garamond" w:cstheme="minorHAnsi"/>
        </w:rPr>
        <w:t>–</w:t>
      </w:r>
      <w:r w:rsidRPr="00117905">
        <w:rPr>
          <w:rFonts w:ascii="Garamond" w:hAnsi="Garamond" w:cstheme="minorHAnsi"/>
        </w:rPr>
        <w:t xml:space="preserve"> Holešovice</w:t>
      </w:r>
      <w:r w:rsidR="00E96860">
        <w:rPr>
          <w:rFonts w:ascii="Garamond" w:hAnsi="Garamond" w:cstheme="minorHAnsi"/>
        </w:rPr>
        <w:t xml:space="preserve">, </w:t>
      </w:r>
      <w:r w:rsidRPr="00117905">
        <w:rPr>
          <w:rFonts w:ascii="Garamond" w:hAnsi="Garamond" w:cstheme="minorHAnsi"/>
        </w:rPr>
        <w:t xml:space="preserve">IČO: </w:t>
      </w:r>
      <w:r w:rsidRPr="00E71AEB">
        <w:rPr>
          <w:rFonts w:ascii="Garamond" w:hAnsi="Garamond" w:cstheme="minorHAnsi"/>
        </w:rPr>
        <w:t>25672541</w:t>
      </w:r>
      <w:r w:rsidR="00E96860">
        <w:rPr>
          <w:rFonts w:ascii="Garamond" w:hAnsi="Garamond" w:cstheme="minorHAnsi"/>
        </w:rPr>
        <w:t xml:space="preserve">, </w:t>
      </w:r>
      <w:r w:rsidRPr="00117905">
        <w:rPr>
          <w:rFonts w:ascii="Garamond" w:hAnsi="Garamond" w:cstheme="minorHAnsi"/>
        </w:rPr>
        <w:t xml:space="preserve">zapsaná v obchodním rejstříku vedeném </w:t>
      </w:r>
      <w:r w:rsidR="00551218" w:rsidRPr="00551218">
        <w:rPr>
          <w:rFonts w:ascii="Garamond" w:hAnsi="Garamond" w:cstheme="minorHAnsi"/>
        </w:rPr>
        <w:t>Městsk</w:t>
      </w:r>
      <w:r w:rsidR="00551218">
        <w:rPr>
          <w:rFonts w:ascii="Garamond" w:hAnsi="Garamond" w:cstheme="minorHAnsi"/>
        </w:rPr>
        <w:t>ým</w:t>
      </w:r>
      <w:r w:rsidR="00551218" w:rsidRPr="00551218">
        <w:rPr>
          <w:rFonts w:ascii="Garamond" w:hAnsi="Garamond" w:cstheme="minorHAnsi"/>
        </w:rPr>
        <w:t xml:space="preserve"> </w:t>
      </w:r>
      <w:r w:rsidR="00551218">
        <w:rPr>
          <w:rFonts w:ascii="Garamond" w:hAnsi="Garamond" w:cstheme="minorHAnsi"/>
        </w:rPr>
        <w:t>soudem</w:t>
      </w:r>
      <w:r w:rsidR="00551218" w:rsidRPr="00551218">
        <w:rPr>
          <w:rFonts w:ascii="Garamond" w:hAnsi="Garamond" w:cstheme="minorHAnsi"/>
        </w:rPr>
        <w:t xml:space="preserve"> v Praze</w:t>
      </w:r>
      <w:r w:rsidRPr="00117905">
        <w:rPr>
          <w:rFonts w:ascii="Garamond" w:hAnsi="Garamond" w:cstheme="minorHAnsi"/>
        </w:rPr>
        <w:t xml:space="preserve">, oddíl </w:t>
      </w:r>
      <w:r w:rsidR="00551218">
        <w:rPr>
          <w:rFonts w:ascii="Garamond" w:hAnsi="Garamond" w:cstheme="minorHAnsi"/>
        </w:rPr>
        <w:t>B</w:t>
      </w:r>
      <w:r w:rsidRPr="00117905">
        <w:rPr>
          <w:rFonts w:ascii="Garamond" w:hAnsi="Garamond" w:cstheme="minorHAnsi"/>
        </w:rPr>
        <w:t xml:space="preserve">, vložka </w:t>
      </w:r>
      <w:r w:rsidR="008A06FD" w:rsidRPr="008A06FD">
        <w:rPr>
          <w:rFonts w:ascii="Garamond" w:hAnsi="Garamond" w:cstheme="minorHAnsi"/>
        </w:rPr>
        <w:t>5402</w:t>
      </w:r>
      <w:r w:rsidRPr="00117905">
        <w:rPr>
          <w:rFonts w:ascii="Garamond" w:hAnsi="Garamond" w:cstheme="minorHAnsi"/>
        </w:rPr>
        <w:t xml:space="preserve">, zastoupena </w:t>
      </w:r>
      <w:r w:rsidR="008A06FD">
        <w:rPr>
          <w:rFonts w:ascii="Garamond" w:hAnsi="Garamond" w:cstheme="minorHAnsi"/>
        </w:rPr>
        <w:t>předsedou představenstva</w:t>
      </w:r>
      <w:r w:rsidRPr="00117905">
        <w:rPr>
          <w:rFonts w:ascii="Garamond" w:hAnsi="Garamond" w:cstheme="minorHAnsi"/>
        </w:rPr>
        <w:t xml:space="preserve"> panem </w:t>
      </w:r>
      <w:r w:rsidR="008A06FD">
        <w:rPr>
          <w:rFonts w:ascii="Garamond" w:hAnsi="Garamond" w:cstheme="minorHAnsi"/>
        </w:rPr>
        <w:t>Tomášem Jílkem a místopředsedou představenstva panem Tomášem Novotným</w:t>
      </w:r>
    </w:p>
    <w:p w14:paraId="4C4BCBEF" w14:textId="77777777" w:rsidR="00B37122" w:rsidRDefault="00B37122" w:rsidP="007B2DBB">
      <w:pPr>
        <w:spacing w:after="0"/>
        <w:ind w:firstLine="561"/>
        <w:rPr>
          <w:rFonts w:ascii="Garamond" w:hAnsi="Garamond" w:cstheme="minorHAnsi"/>
        </w:rPr>
      </w:pPr>
    </w:p>
    <w:p w14:paraId="275E6FA8" w14:textId="39960BB4" w:rsidR="007B2DBB" w:rsidRPr="00E46D40" w:rsidRDefault="007B2DBB" w:rsidP="007B2DBB">
      <w:pPr>
        <w:spacing w:after="0"/>
        <w:ind w:firstLine="561"/>
        <w:rPr>
          <w:rFonts w:ascii="Garamond" w:hAnsi="Garamond" w:cstheme="minorHAnsi"/>
        </w:rPr>
      </w:pPr>
      <w:r w:rsidRPr="00E46D40">
        <w:rPr>
          <w:rFonts w:ascii="Garamond" w:hAnsi="Garamond" w:cstheme="minorHAnsi"/>
        </w:rPr>
        <w:t xml:space="preserve">(dále jen </w:t>
      </w:r>
      <w:r>
        <w:rPr>
          <w:rFonts w:ascii="Garamond" w:hAnsi="Garamond" w:cstheme="minorHAnsi"/>
        </w:rPr>
        <w:t>„</w:t>
      </w:r>
      <w:r w:rsidR="008A06FD">
        <w:rPr>
          <w:rFonts w:ascii="Garamond" w:hAnsi="Garamond" w:cstheme="minorHAnsi"/>
          <w:b/>
          <w:bCs/>
        </w:rPr>
        <w:t>THMP</w:t>
      </w:r>
      <w:r>
        <w:rPr>
          <w:rFonts w:ascii="Garamond" w:hAnsi="Garamond" w:cstheme="minorHAnsi"/>
        </w:rPr>
        <w:t>“</w:t>
      </w:r>
      <w:r w:rsidRPr="00E46D40">
        <w:rPr>
          <w:rFonts w:ascii="Garamond" w:hAnsi="Garamond" w:cstheme="minorHAnsi"/>
        </w:rPr>
        <w:t>)</w:t>
      </w:r>
    </w:p>
    <w:p w14:paraId="6CEE3C59" w14:textId="77777777" w:rsidR="007B2DBB" w:rsidRPr="00E46D40" w:rsidRDefault="007B2DBB" w:rsidP="007B2DBB">
      <w:pPr>
        <w:spacing w:after="0"/>
        <w:rPr>
          <w:rFonts w:ascii="Garamond" w:hAnsi="Garamond" w:cstheme="minorHAnsi"/>
        </w:rPr>
      </w:pPr>
    </w:p>
    <w:p w14:paraId="0A8E1BA5" w14:textId="046EF69C" w:rsidR="007B2DBB" w:rsidRDefault="007B2DBB" w:rsidP="007B2DBB">
      <w:pPr>
        <w:ind w:left="561"/>
        <w:rPr>
          <w:rFonts w:ascii="Garamond" w:hAnsi="Garamond" w:cstheme="minorHAnsi"/>
          <w:sz w:val="20"/>
          <w:szCs w:val="20"/>
        </w:rPr>
      </w:pPr>
      <w:r w:rsidRPr="00E46D40">
        <w:rPr>
          <w:rFonts w:ascii="Garamond" w:hAnsi="Garamond" w:cstheme="minorHAnsi"/>
        </w:rPr>
        <w:t>(</w:t>
      </w:r>
      <w:r w:rsidRPr="00E46D40">
        <w:rPr>
          <w:rFonts w:ascii="Garamond" w:hAnsi="Garamond" w:cstheme="minorHAnsi"/>
          <w:bCs/>
        </w:rPr>
        <w:t>„</w:t>
      </w:r>
      <w:r w:rsidR="005B60C5">
        <w:rPr>
          <w:rFonts w:ascii="Garamond" w:hAnsi="Garamond" w:cstheme="minorHAnsi"/>
          <w:b/>
        </w:rPr>
        <w:t>FAČR</w:t>
      </w:r>
      <w:r w:rsidRPr="00E46D40">
        <w:rPr>
          <w:rFonts w:ascii="Garamond" w:hAnsi="Garamond" w:cstheme="minorHAnsi"/>
          <w:bCs/>
        </w:rPr>
        <w:t>“</w:t>
      </w:r>
      <w:r w:rsidRPr="00E46D40">
        <w:rPr>
          <w:rFonts w:ascii="Garamond" w:hAnsi="Garamond" w:cstheme="minorHAnsi"/>
        </w:rPr>
        <w:t xml:space="preserve"> a </w:t>
      </w:r>
      <w:r w:rsidRPr="00E46D40">
        <w:rPr>
          <w:rFonts w:ascii="Garamond" w:hAnsi="Garamond" w:cstheme="minorHAnsi"/>
          <w:bCs/>
        </w:rPr>
        <w:t>„</w:t>
      </w:r>
      <w:r w:rsidR="008A06FD">
        <w:rPr>
          <w:rFonts w:ascii="Garamond" w:hAnsi="Garamond" w:cstheme="minorHAnsi"/>
          <w:b/>
        </w:rPr>
        <w:t>THMP</w:t>
      </w:r>
      <w:r w:rsidRPr="00E46D40">
        <w:rPr>
          <w:rFonts w:ascii="Garamond" w:hAnsi="Garamond" w:cstheme="minorHAnsi"/>
          <w:bCs/>
        </w:rPr>
        <w:t>“</w:t>
      </w:r>
      <w:r w:rsidRPr="00E46D40">
        <w:rPr>
          <w:rFonts w:ascii="Garamond" w:hAnsi="Garamond" w:cstheme="minorHAnsi"/>
        </w:rPr>
        <w:t xml:space="preserve"> společně dále jako </w:t>
      </w:r>
      <w:r w:rsidRPr="00E46D40">
        <w:rPr>
          <w:rFonts w:ascii="Garamond" w:hAnsi="Garamond" w:cstheme="minorHAnsi"/>
          <w:bCs/>
        </w:rPr>
        <w:t>„</w:t>
      </w:r>
      <w:r w:rsidRPr="00E46D40">
        <w:rPr>
          <w:rFonts w:ascii="Garamond" w:hAnsi="Garamond" w:cstheme="minorHAnsi"/>
          <w:b/>
        </w:rPr>
        <w:t>Smluvní strany</w:t>
      </w:r>
      <w:r w:rsidRPr="00E46D40">
        <w:rPr>
          <w:rFonts w:ascii="Garamond" w:hAnsi="Garamond" w:cstheme="minorHAnsi"/>
          <w:bCs/>
        </w:rPr>
        <w:t>“,</w:t>
      </w:r>
      <w:r w:rsidRPr="00E46D40">
        <w:rPr>
          <w:rFonts w:ascii="Garamond" w:hAnsi="Garamond" w:cstheme="minorHAnsi"/>
        </w:rPr>
        <w:t xml:space="preserve"> a každý samostatně jako </w:t>
      </w:r>
      <w:r w:rsidRPr="00E02038">
        <w:rPr>
          <w:rFonts w:ascii="Garamond" w:hAnsi="Garamond" w:cstheme="minorHAnsi"/>
          <w:bCs/>
          <w:sz w:val="20"/>
          <w:szCs w:val="20"/>
        </w:rPr>
        <w:t>„</w:t>
      </w:r>
      <w:r w:rsidRPr="00E02038">
        <w:rPr>
          <w:rFonts w:ascii="Garamond" w:hAnsi="Garamond" w:cstheme="minorHAnsi"/>
          <w:b/>
          <w:sz w:val="20"/>
          <w:szCs w:val="20"/>
        </w:rPr>
        <w:t>Smluvní strana</w:t>
      </w:r>
      <w:r w:rsidRPr="00E02038">
        <w:rPr>
          <w:rFonts w:ascii="Garamond" w:hAnsi="Garamond" w:cstheme="minorHAnsi"/>
          <w:bCs/>
          <w:sz w:val="20"/>
          <w:szCs w:val="20"/>
        </w:rPr>
        <w:t>“)</w:t>
      </w:r>
      <w:r w:rsidRPr="00E02038">
        <w:rPr>
          <w:rFonts w:ascii="Garamond" w:hAnsi="Garamond" w:cstheme="minorHAnsi"/>
          <w:sz w:val="20"/>
          <w:szCs w:val="20"/>
        </w:rPr>
        <w:t>.</w:t>
      </w:r>
    </w:p>
    <w:p w14:paraId="2F257C67" w14:textId="77777777" w:rsidR="00324B59" w:rsidRPr="00E02038" w:rsidRDefault="00324B59" w:rsidP="007B2DBB">
      <w:pPr>
        <w:ind w:left="561"/>
        <w:rPr>
          <w:rFonts w:ascii="Garamond" w:hAnsi="Garamond" w:cstheme="minorHAnsi"/>
          <w:sz w:val="20"/>
          <w:szCs w:val="20"/>
        </w:rPr>
      </w:pPr>
    </w:p>
    <w:p w14:paraId="37B38783" w14:textId="77777777" w:rsidR="007B2DBB" w:rsidRDefault="007B2DBB" w:rsidP="007B2DBB">
      <w:pPr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E02038">
        <w:rPr>
          <w:rFonts w:ascii="Garamond" w:hAnsi="Garamond" w:cstheme="minorHAnsi"/>
          <w:b/>
          <w:bCs/>
          <w:sz w:val="20"/>
          <w:szCs w:val="20"/>
        </w:rPr>
        <w:t>UZAVÍRAJÍ SMLUVNÍ STRANY NÍŽE UVEDENÉHO DNE, MĚSÍCE A ROKU TUTO SMLOUVU:</w:t>
      </w:r>
    </w:p>
    <w:p w14:paraId="6147E865" w14:textId="77777777" w:rsidR="00324B59" w:rsidRPr="00E02038" w:rsidRDefault="00324B59" w:rsidP="007B2DBB">
      <w:pPr>
        <w:jc w:val="both"/>
        <w:rPr>
          <w:rFonts w:ascii="Garamond" w:hAnsi="Garamond" w:cstheme="minorHAnsi"/>
          <w:b/>
          <w:bCs/>
          <w:sz w:val="20"/>
          <w:szCs w:val="20"/>
        </w:rPr>
      </w:pPr>
    </w:p>
    <w:p w14:paraId="7D6289CC" w14:textId="77777777" w:rsidR="007B2DBB" w:rsidRPr="000F0D9B" w:rsidRDefault="007B2DBB" w:rsidP="007B2DB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Garamond" w:hAnsi="Garamond" w:cstheme="minorHAnsi"/>
          <w:b/>
        </w:rPr>
      </w:pPr>
      <w:r w:rsidRPr="000F0D9B">
        <w:rPr>
          <w:rFonts w:ascii="Garamond" w:hAnsi="Garamond" w:cstheme="minorHAnsi"/>
          <w:b/>
        </w:rPr>
        <w:t>PŘEDMĚT SMLOUVY</w:t>
      </w:r>
    </w:p>
    <w:p w14:paraId="1DA1300E" w14:textId="4A54DD12" w:rsidR="008451B1" w:rsidRPr="008451B1" w:rsidRDefault="003C7194" w:rsidP="008451B1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Garamond" w:hAnsi="Garamond" w:cstheme="minorHAnsi"/>
        </w:rPr>
      </w:pPr>
      <w:r w:rsidRPr="003C7194">
        <w:rPr>
          <w:rFonts w:ascii="Garamond" w:hAnsi="Garamond" w:cstheme="minorHAnsi"/>
        </w:rPr>
        <w:t xml:space="preserve">Předmětem této smlouvy je barterová spolupráce mezi </w:t>
      </w:r>
      <w:r w:rsidR="00E96860">
        <w:rPr>
          <w:rFonts w:ascii="Garamond" w:hAnsi="Garamond" w:cstheme="minorHAnsi"/>
        </w:rPr>
        <w:t>FAČR a THMP</w:t>
      </w:r>
      <w:r w:rsidRPr="003C7194">
        <w:rPr>
          <w:rFonts w:ascii="Garamond" w:hAnsi="Garamond" w:cstheme="minorHAnsi"/>
        </w:rPr>
        <w:t xml:space="preserve">, konkretizovaná v čl. </w:t>
      </w:r>
      <w:r>
        <w:rPr>
          <w:rFonts w:ascii="Garamond" w:hAnsi="Garamond" w:cstheme="minorHAnsi"/>
        </w:rPr>
        <w:t>2</w:t>
      </w:r>
      <w:r w:rsidRPr="003C7194">
        <w:rPr>
          <w:rFonts w:ascii="Garamond" w:hAnsi="Garamond" w:cstheme="minorHAnsi"/>
        </w:rPr>
        <w:t xml:space="preserve"> této Smlouvy.</w:t>
      </w:r>
    </w:p>
    <w:p w14:paraId="2018274F" w14:textId="09CFCE59" w:rsidR="007B2DBB" w:rsidRPr="000F0D9B" w:rsidRDefault="008451B1" w:rsidP="007B2DBB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PRÁVA A POVINNOSTI STRAN</w:t>
      </w:r>
    </w:p>
    <w:p w14:paraId="363284BF" w14:textId="74B32D54" w:rsidR="008451B1" w:rsidRDefault="007B2DBB" w:rsidP="008451B1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Garamond" w:hAnsi="Garamond" w:cstheme="minorHAnsi"/>
        </w:rPr>
      </w:pPr>
      <w:r w:rsidRPr="008451B1">
        <w:rPr>
          <w:rFonts w:ascii="Garamond" w:hAnsi="Garamond" w:cstheme="minorHAnsi"/>
        </w:rPr>
        <w:t xml:space="preserve">Za podmínek stanovených touto Smlouvou se společnost </w:t>
      </w:r>
      <w:r w:rsidR="008A06FD" w:rsidRPr="008451B1">
        <w:rPr>
          <w:rFonts w:ascii="Garamond" w:hAnsi="Garamond" w:cstheme="minorHAnsi"/>
          <w:b/>
          <w:bCs/>
        </w:rPr>
        <w:t>THMP</w:t>
      </w:r>
      <w:r w:rsidRPr="008451B1">
        <w:rPr>
          <w:rFonts w:ascii="Garamond" w:hAnsi="Garamond" w:cstheme="minorHAnsi"/>
        </w:rPr>
        <w:t xml:space="preserve"> zavazuje</w:t>
      </w:r>
      <w:r w:rsidR="008451B1">
        <w:rPr>
          <w:rFonts w:ascii="Garamond" w:hAnsi="Garamond" w:cstheme="minorHAnsi"/>
        </w:rPr>
        <w:t>:</w:t>
      </w:r>
    </w:p>
    <w:p w14:paraId="59A8CEE0" w14:textId="4765EEE2" w:rsidR="007B2DBB" w:rsidRDefault="008451B1" w:rsidP="008451B1">
      <w:pPr>
        <w:pStyle w:val="Odstavecseseznamem"/>
        <w:numPr>
          <w:ilvl w:val="2"/>
          <w:numId w:val="1"/>
        </w:numPr>
        <w:contextualSpacing w:val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Poskytnout </w:t>
      </w:r>
      <w:r w:rsidR="001408B0">
        <w:rPr>
          <w:rFonts w:ascii="Garamond" w:hAnsi="Garamond" w:cstheme="minorHAnsi"/>
        </w:rPr>
        <w:t>služby</w:t>
      </w:r>
      <w:r>
        <w:rPr>
          <w:rFonts w:ascii="Garamond" w:hAnsi="Garamond" w:cstheme="minorHAnsi"/>
        </w:rPr>
        <w:t xml:space="preserve"> spočívající především </w:t>
      </w:r>
      <w:r w:rsidR="001B5BAB">
        <w:rPr>
          <w:rFonts w:ascii="Garamond" w:hAnsi="Garamond" w:cstheme="minorHAnsi"/>
        </w:rPr>
        <w:t xml:space="preserve">v instalaci a deinstalaci </w:t>
      </w:r>
      <w:r w:rsidR="001408B0">
        <w:rPr>
          <w:rFonts w:ascii="Garamond" w:hAnsi="Garamond" w:cstheme="minorHAnsi"/>
        </w:rPr>
        <w:t xml:space="preserve">reklamních nosičů a </w:t>
      </w:r>
      <w:r w:rsidR="001B5BAB">
        <w:rPr>
          <w:rFonts w:ascii="Garamond" w:hAnsi="Garamond" w:cstheme="minorHAnsi"/>
        </w:rPr>
        <w:t xml:space="preserve">plakátů na </w:t>
      </w:r>
      <w:r w:rsidR="001408B0">
        <w:rPr>
          <w:rFonts w:ascii="Garamond" w:hAnsi="Garamond" w:cstheme="minorHAnsi"/>
        </w:rPr>
        <w:t xml:space="preserve">stožáry </w:t>
      </w:r>
      <w:r w:rsidR="001B5BAB">
        <w:rPr>
          <w:rFonts w:ascii="Garamond" w:hAnsi="Garamond" w:cstheme="minorHAnsi"/>
        </w:rPr>
        <w:t xml:space="preserve">veřejného osvětlení v počtu 100 ks a </w:t>
      </w:r>
      <w:r w:rsidR="001408B0">
        <w:rPr>
          <w:rFonts w:ascii="Garamond" w:hAnsi="Garamond" w:cstheme="minorHAnsi"/>
        </w:rPr>
        <w:t>zaji</w:t>
      </w:r>
      <w:r w:rsidR="005B510B">
        <w:rPr>
          <w:rFonts w:ascii="Garamond" w:hAnsi="Garamond" w:cstheme="minorHAnsi"/>
        </w:rPr>
        <w:t>štění</w:t>
      </w:r>
      <w:r w:rsidR="001408B0">
        <w:rPr>
          <w:rFonts w:ascii="Garamond" w:hAnsi="Garamond" w:cstheme="minorHAnsi"/>
        </w:rPr>
        <w:t xml:space="preserve"> </w:t>
      </w:r>
      <w:r w:rsidR="005B510B">
        <w:rPr>
          <w:rFonts w:ascii="Garamond" w:hAnsi="Garamond" w:cstheme="minorHAnsi"/>
        </w:rPr>
        <w:t xml:space="preserve">instalace </w:t>
      </w:r>
      <w:r w:rsidR="001408B0">
        <w:rPr>
          <w:rFonts w:ascii="Garamond" w:hAnsi="Garamond" w:cstheme="minorHAnsi"/>
        </w:rPr>
        <w:t xml:space="preserve">a </w:t>
      </w:r>
      <w:r w:rsidR="005B510B">
        <w:rPr>
          <w:rFonts w:ascii="Garamond" w:hAnsi="Garamond" w:cstheme="minorHAnsi"/>
        </w:rPr>
        <w:t xml:space="preserve">deinstalace </w:t>
      </w:r>
      <w:r w:rsidR="001B5BAB">
        <w:rPr>
          <w:rFonts w:ascii="Garamond" w:hAnsi="Garamond" w:cstheme="minorHAnsi"/>
        </w:rPr>
        <w:t>plakátů na městské</w:t>
      </w:r>
      <w:r w:rsidR="001408B0">
        <w:rPr>
          <w:rFonts w:ascii="Garamond" w:hAnsi="Garamond" w:cstheme="minorHAnsi"/>
        </w:rPr>
        <w:t>m</w:t>
      </w:r>
      <w:r w:rsidR="001B5BAB">
        <w:rPr>
          <w:rFonts w:ascii="Garamond" w:hAnsi="Garamond" w:cstheme="minorHAnsi"/>
        </w:rPr>
        <w:t xml:space="preserve"> mobiliář</w:t>
      </w:r>
      <w:r w:rsidR="001408B0">
        <w:rPr>
          <w:rFonts w:ascii="Garamond" w:hAnsi="Garamond" w:cstheme="minorHAnsi"/>
        </w:rPr>
        <w:t>i</w:t>
      </w:r>
      <w:r w:rsidR="001B5BAB">
        <w:rPr>
          <w:rFonts w:ascii="Garamond" w:hAnsi="Garamond" w:cstheme="minorHAnsi"/>
        </w:rPr>
        <w:t xml:space="preserve"> na autobusových a tramvajových zastávkách v počtu 58 ks</w:t>
      </w:r>
      <w:r w:rsidR="001408B0">
        <w:rPr>
          <w:rFonts w:ascii="Garamond" w:hAnsi="Garamond" w:cstheme="minorHAnsi"/>
        </w:rPr>
        <w:t xml:space="preserve"> samostatných CLV, resp</w:t>
      </w:r>
      <w:r w:rsidR="005B510B">
        <w:rPr>
          <w:rFonts w:ascii="Garamond" w:hAnsi="Garamond" w:cstheme="minorHAnsi"/>
        </w:rPr>
        <w:t>.</w:t>
      </w:r>
      <w:r w:rsidR="001408B0">
        <w:rPr>
          <w:rFonts w:ascii="Garamond" w:hAnsi="Garamond" w:cstheme="minorHAnsi"/>
        </w:rPr>
        <w:t xml:space="preserve"> 116 reklamních ploch </w:t>
      </w:r>
      <w:r w:rsidR="005B510B">
        <w:rPr>
          <w:rFonts w:ascii="Garamond" w:hAnsi="Garamond" w:cstheme="minorHAnsi"/>
        </w:rPr>
        <w:t xml:space="preserve">– </w:t>
      </w:r>
      <w:r w:rsidR="001408B0">
        <w:rPr>
          <w:rFonts w:ascii="Garamond" w:hAnsi="Garamond" w:cstheme="minorHAnsi"/>
        </w:rPr>
        <w:t>plakátů</w:t>
      </w:r>
      <w:r w:rsidR="007B2DBB" w:rsidRPr="008451B1">
        <w:rPr>
          <w:rFonts w:ascii="Garamond" w:hAnsi="Garamond" w:cstheme="minorHAnsi"/>
        </w:rPr>
        <w:t>.</w:t>
      </w:r>
      <w:r w:rsidR="001408B0">
        <w:rPr>
          <w:rFonts w:ascii="Garamond" w:hAnsi="Garamond" w:cstheme="minorHAnsi"/>
        </w:rPr>
        <w:t xml:space="preserve"> V souladu s usnesením Rady hlavního města Prahy</w:t>
      </w:r>
      <w:r w:rsidR="007A3720">
        <w:rPr>
          <w:rFonts w:ascii="Garamond" w:hAnsi="Garamond" w:cstheme="minorHAnsi"/>
        </w:rPr>
        <w:t xml:space="preserve"> </w:t>
      </w:r>
      <w:r w:rsidR="001408B0">
        <w:rPr>
          <w:rFonts w:ascii="Garamond" w:hAnsi="Garamond" w:cstheme="minorHAnsi"/>
        </w:rPr>
        <w:t>ze dne 22. 5. 2023, pokud to kapacitní možnosti THMP umožní.</w:t>
      </w:r>
    </w:p>
    <w:p w14:paraId="7E327752" w14:textId="77777777" w:rsidR="001408B0" w:rsidRDefault="001408B0" w:rsidP="001408B0">
      <w:pPr>
        <w:pStyle w:val="Odstavecseseznamem"/>
        <w:numPr>
          <w:ilvl w:val="2"/>
          <w:numId w:val="1"/>
        </w:numPr>
        <w:contextualSpacing w:val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Instalace a deinstalace plakátů proběhne do 72 hodin v pracovních dnech od předání plakátů odpovědnému zástupci THMP. </w:t>
      </w:r>
    </w:p>
    <w:p w14:paraId="4E054B90" w14:textId="168E044C" w:rsidR="001408B0" w:rsidRDefault="001408B0" w:rsidP="001408B0">
      <w:pPr>
        <w:pStyle w:val="Odstavecseseznamem"/>
        <w:numPr>
          <w:ilvl w:val="2"/>
          <w:numId w:val="1"/>
        </w:numPr>
        <w:contextualSpacing w:val="0"/>
        <w:jc w:val="both"/>
        <w:rPr>
          <w:rFonts w:ascii="Garamond" w:hAnsi="Garamond" w:cstheme="minorHAnsi"/>
        </w:rPr>
      </w:pPr>
      <w:r w:rsidRPr="005B510B">
        <w:rPr>
          <w:rFonts w:ascii="Garamond" w:hAnsi="Garamond" w:cstheme="minorHAnsi"/>
        </w:rPr>
        <w:t>Plakáty budou odpovídat technickým parametrům dle Přílohy č. 1 – Technická specifikace reklamních plakátů na stožáry VO a do CLV na městském mobiliáři.</w:t>
      </w:r>
    </w:p>
    <w:p w14:paraId="61479C8B" w14:textId="7783DB7F" w:rsidR="007A6925" w:rsidRDefault="007A6925" w:rsidP="001408B0">
      <w:pPr>
        <w:pStyle w:val="Odstavecseseznamem"/>
        <w:numPr>
          <w:ilvl w:val="2"/>
          <w:numId w:val="1"/>
        </w:numPr>
        <w:contextualSpacing w:val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Konkrétní seznam lokalit/čísel stožárů pro umístění reklamních ploch FAČR je uvedený v Příloze č. 3.</w:t>
      </w:r>
    </w:p>
    <w:p w14:paraId="1EBD8501" w14:textId="0C54C818" w:rsidR="001408B0" w:rsidRPr="008451B1" w:rsidRDefault="001408B0" w:rsidP="005B510B">
      <w:pPr>
        <w:pStyle w:val="Odstavecseseznamem"/>
        <w:ind w:left="1224"/>
        <w:contextualSpacing w:val="0"/>
        <w:jc w:val="both"/>
        <w:rPr>
          <w:rFonts w:ascii="Garamond" w:hAnsi="Garamond" w:cstheme="minorHAnsi"/>
        </w:rPr>
      </w:pPr>
    </w:p>
    <w:p w14:paraId="61CDB099" w14:textId="34B1D6F4" w:rsidR="008451B1" w:rsidRDefault="008451B1" w:rsidP="008451B1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Garamond" w:hAnsi="Garamond" w:cstheme="minorHAnsi"/>
        </w:rPr>
      </w:pPr>
      <w:r w:rsidRPr="008451B1">
        <w:rPr>
          <w:rFonts w:ascii="Garamond" w:hAnsi="Garamond" w:cstheme="minorHAnsi"/>
        </w:rPr>
        <w:t xml:space="preserve">Za podmínek stanovených touto Smlouvou se </w:t>
      </w:r>
      <w:r w:rsidR="005B60C5">
        <w:rPr>
          <w:rFonts w:ascii="Garamond" w:hAnsi="Garamond" w:cstheme="minorHAnsi"/>
          <w:b/>
          <w:bCs/>
        </w:rPr>
        <w:t>FAČR</w:t>
      </w:r>
      <w:r w:rsidRPr="008451B1">
        <w:rPr>
          <w:rFonts w:ascii="Garamond" w:hAnsi="Garamond" w:cstheme="minorHAnsi"/>
        </w:rPr>
        <w:t xml:space="preserve"> zavazuje</w:t>
      </w:r>
      <w:r>
        <w:rPr>
          <w:rFonts w:ascii="Garamond" w:hAnsi="Garamond" w:cstheme="minorHAnsi"/>
        </w:rPr>
        <w:t>:</w:t>
      </w:r>
    </w:p>
    <w:p w14:paraId="052F1770" w14:textId="190382BC" w:rsidR="007169A3" w:rsidRDefault="001B5BAB" w:rsidP="007169A3">
      <w:pPr>
        <w:pStyle w:val="Odstavecseseznamem"/>
        <w:numPr>
          <w:ilvl w:val="2"/>
          <w:numId w:val="1"/>
        </w:numPr>
        <w:contextualSpacing w:val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Poskytnout </w:t>
      </w:r>
      <w:r w:rsidR="001408B0">
        <w:rPr>
          <w:rFonts w:ascii="Garamond" w:hAnsi="Garamond" w:cstheme="minorHAnsi"/>
        </w:rPr>
        <w:t xml:space="preserve">2x jednotýdenní </w:t>
      </w:r>
      <w:r>
        <w:rPr>
          <w:rFonts w:ascii="Garamond" w:hAnsi="Garamond" w:cstheme="minorHAnsi"/>
        </w:rPr>
        <w:t xml:space="preserve">bannerovou kampaň ve prospěch THMP na internetové stránce </w:t>
      </w:r>
      <w:hyperlink r:id="rId11" w:history="1">
        <w:r w:rsidRPr="008A573D">
          <w:rPr>
            <w:rStyle w:val="Hypertextovodkaz"/>
            <w:rFonts w:ascii="Garamond" w:hAnsi="Garamond" w:cstheme="minorHAnsi"/>
          </w:rPr>
          <w:t>www.fotbal.cz</w:t>
        </w:r>
      </w:hyperlink>
      <w:r w:rsidR="007A3720">
        <w:rPr>
          <w:rStyle w:val="Hypertextovodkaz"/>
          <w:rFonts w:ascii="Garamond" w:hAnsi="Garamond" w:cstheme="minorHAnsi"/>
        </w:rPr>
        <w:t xml:space="preserve"> (včetně mobilní aplikace)</w:t>
      </w:r>
      <w:r>
        <w:rPr>
          <w:rFonts w:ascii="Garamond" w:hAnsi="Garamond" w:cstheme="minorHAnsi"/>
        </w:rPr>
        <w:t>, přičemž termín</w:t>
      </w:r>
      <w:r w:rsidR="001408B0">
        <w:rPr>
          <w:rFonts w:ascii="Garamond" w:hAnsi="Garamond" w:cstheme="minorHAnsi"/>
        </w:rPr>
        <w:t>y</w:t>
      </w:r>
      <w:r>
        <w:rPr>
          <w:rFonts w:ascii="Garamond" w:hAnsi="Garamond" w:cstheme="minorHAnsi"/>
        </w:rPr>
        <w:t xml:space="preserve"> t</w:t>
      </w:r>
      <w:r w:rsidR="001408B0">
        <w:rPr>
          <w:rFonts w:ascii="Garamond" w:hAnsi="Garamond" w:cstheme="minorHAnsi"/>
        </w:rPr>
        <w:t>ěchto</w:t>
      </w:r>
      <w:r>
        <w:rPr>
          <w:rFonts w:ascii="Garamond" w:hAnsi="Garamond" w:cstheme="minorHAnsi"/>
        </w:rPr>
        <w:t xml:space="preserve"> kampan</w:t>
      </w:r>
      <w:r w:rsidR="001408B0">
        <w:rPr>
          <w:rFonts w:ascii="Garamond" w:hAnsi="Garamond" w:cstheme="minorHAnsi"/>
        </w:rPr>
        <w:t>í</w:t>
      </w:r>
      <w:r>
        <w:rPr>
          <w:rFonts w:ascii="Garamond" w:hAnsi="Garamond" w:cstheme="minorHAnsi"/>
        </w:rPr>
        <w:t xml:space="preserve"> bud</w:t>
      </w:r>
      <w:r w:rsidR="001408B0">
        <w:rPr>
          <w:rFonts w:ascii="Garamond" w:hAnsi="Garamond" w:cstheme="minorHAnsi"/>
        </w:rPr>
        <w:t>ou</w:t>
      </w:r>
      <w:r>
        <w:rPr>
          <w:rFonts w:ascii="Garamond" w:hAnsi="Garamond" w:cstheme="minorHAnsi"/>
        </w:rPr>
        <w:t xml:space="preserve"> určen</w:t>
      </w:r>
      <w:r w:rsidR="001408B0">
        <w:rPr>
          <w:rFonts w:ascii="Garamond" w:hAnsi="Garamond" w:cstheme="minorHAnsi"/>
        </w:rPr>
        <w:t>y</w:t>
      </w:r>
      <w:r>
        <w:rPr>
          <w:rFonts w:ascii="Garamond" w:hAnsi="Garamond" w:cstheme="minorHAnsi"/>
        </w:rPr>
        <w:t xml:space="preserve"> dle domluvy Smluvních stran</w:t>
      </w:r>
      <w:r w:rsidR="001408B0">
        <w:rPr>
          <w:rFonts w:ascii="Garamond" w:hAnsi="Garamond" w:cstheme="minorHAnsi"/>
        </w:rPr>
        <w:t>, bude se však jednat o období květen 2023</w:t>
      </w:r>
      <w:r w:rsidR="00515B83">
        <w:rPr>
          <w:rFonts w:ascii="Garamond" w:hAnsi="Garamond" w:cstheme="minorHAnsi"/>
        </w:rPr>
        <w:t xml:space="preserve"> a </w:t>
      </w:r>
      <w:r w:rsidR="001408B0">
        <w:rPr>
          <w:rFonts w:ascii="Garamond" w:hAnsi="Garamond" w:cstheme="minorHAnsi"/>
        </w:rPr>
        <w:t>září 2023</w:t>
      </w:r>
      <w:r>
        <w:rPr>
          <w:rFonts w:ascii="Garamond" w:hAnsi="Garamond" w:cstheme="minorHAnsi"/>
        </w:rPr>
        <w:t>.</w:t>
      </w:r>
      <w:r w:rsidR="001408B0">
        <w:rPr>
          <w:rFonts w:ascii="Garamond" w:hAnsi="Garamond" w:cstheme="minorHAnsi"/>
        </w:rPr>
        <w:t xml:space="preserve"> </w:t>
      </w:r>
    </w:p>
    <w:p w14:paraId="05804EF5" w14:textId="58A365A1" w:rsidR="001B5BAB" w:rsidRDefault="001B5BAB" w:rsidP="007169A3">
      <w:pPr>
        <w:pStyle w:val="Odstavecseseznamem"/>
        <w:numPr>
          <w:ilvl w:val="2"/>
          <w:numId w:val="1"/>
        </w:numPr>
        <w:contextualSpacing w:val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Poskytnou</w:t>
      </w:r>
      <w:r w:rsidR="00515B83">
        <w:rPr>
          <w:rFonts w:ascii="Garamond" w:hAnsi="Garamond" w:cstheme="minorHAnsi"/>
        </w:rPr>
        <w:t>t</w:t>
      </w:r>
      <w:r>
        <w:rPr>
          <w:rFonts w:ascii="Garamond" w:hAnsi="Garamond" w:cstheme="minorHAnsi"/>
        </w:rPr>
        <w:t xml:space="preserve"> ve prospěch společnosti THMP banner v jednom newsletteru FAČR rozesílaném na členy FAČR</w:t>
      </w:r>
      <w:r w:rsidR="001408B0">
        <w:rPr>
          <w:rFonts w:ascii="Garamond" w:hAnsi="Garamond" w:cstheme="minorHAnsi"/>
        </w:rPr>
        <w:t xml:space="preserve"> v termínu září 2023</w:t>
      </w:r>
      <w:r w:rsidR="00515B83">
        <w:rPr>
          <w:rFonts w:ascii="Garamond" w:hAnsi="Garamond" w:cstheme="minorHAnsi"/>
        </w:rPr>
        <w:t>.</w:t>
      </w:r>
      <w:r w:rsidR="001408B0">
        <w:rPr>
          <w:rFonts w:ascii="Garamond" w:hAnsi="Garamond" w:cstheme="minorHAnsi"/>
        </w:rPr>
        <w:t xml:space="preserve"> </w:t>
      </w:r>
    </w:p>
    <w:p w14:paraId="31815932" w14:textId="256A7053" w:rsidR="001408B0" w:rsidRDefault="001408B0" w:rsidP="007169A3">
      <w:pPr>
        <w:pStyle w:val="Odstavecseseznamem"/>
        <w:numPr>
          <w:ilvl w:val="2"/>
          <w:numId w:val="1"/>
        </w:numPr>
        <w:contextualSpacing w:val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 Příloze č. 2 je uvedena bližší specifikace bannerové kampaně a banneru v newsletteru.</w:t>
      </w:r>
    </w:p>
    <w:p w14:paraId="0995E301" w14:textId="77777777" w:rsidR="007B2DBB" w:rsidRDefault="007B2DBB" w:rsidP="007B2DBB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rFonts w:ascii="Garamond" w:hAnsi="Garamond" w:cstheme="minorHAnsi"/>
          <w:b/>
        </w:rPr>
      </w:pPr>
      <w:r w:rsidRPr="000F0D9B">
        <w:rPr>
          <w:rFonts w:ascii="Garamond" w:hAnsi="Garamond" w:cstheme="minorHAnsi"/>
          <w:b/>
        </w:rPr>
        <w:t>DALŠÍ UJEDNÁNÍ SMLUVNÍCH STRAN</w:t>
      </w:r>
    </w:p>
    <w:p w14:paraId="582F73F6" w14:textId="4AB380FB" w:rsidR="008C7481" w:rsidRPr="006E22E3" w:rsidRDefault="008C78B0" w:rsidP="0044607B">
      <w:pPr>
        <w:pStyle w:val="Odstavecseseznamem"/>
        <w:numPr>
          <w:ilvl w:val="1"/>
          <w:numId w:val="1"/>
        </w:numPr>
        <w:spacing w:after="160" w:line="259" w:lineRule="auto"/>
        <w:ind w:left="567" w:hanging="567"/>
        <w:jc w:val="both"/>
        <w:rPr>
          <w:rFonts w:ascii="Garamond" w:hAnsi="Garamond" w:cs="Arial"/>
        </w:rPr>
      </w:pPr>
      <w:r w:rsidRPr="006E22E3">
        <w:rPr>
          <w:rFonts w:ascii="Garamond" w:hAnsi="Garamond" w:cs="Arial"/>
        </w:rPr>
        <w:t>V případě vyšší moci je každá strana zproštěna svých závazků z této smlouvy a jakékoliv nedodržení (celkové či částečné) nebo prodlení v plnění jakékoliv ze závazků uložených touto smlouvou kterékoli smluvní straně, bude tolerováno a tato strana nebude odpovědná za škody</w:t>
      </w:r>
      <w:r w:rsidR="00A8507B" w:rsidRPr="006E22E3">
        <w:rPr>
          <w:rFonts w:ascii="Garamond" w:hAnsi="Garamond" w:cs="Arial"/>
        </w:rPr>
        <w:t>.</w:t>
      </w:r>
    </w:p>
    <w:p w14:paraId="764D330B" w14:textId="34411A5D" w:rsidR="008C7481" w:rsidRPr="006E22E3" w:rsidRDefault="008C7481" w:rsidP="0044607B">
      <w:pPr>
        <w:pStyle w:val="Odstavecseseznamem"/>
        <w:numPr>
          <w:ilvl w:val="1"/>
          <w:numId w:val="1"/>
        </w:numPr>
        <w:spacing w:after="160" w:line="259" w:lineRule="auto"/>
        <w:ind w:left="567" w:hanging="567"/>
        <w:contextualSpacing w:val="0"/>
        <w:jc w:val="both"/>
        <w:rPr>
          <w:rFonts w:ascii="Garamond" w:hAnsi="Garamond" w:cs="Arial"/>
        </w:rPr>
      </w:pPr>
      <w:r w:rsidRPr="006E22E3">
        <w:rPr>
          <w:rFonts w:ascii="Garamond" w:hAnsi="Garamond" w:cs="Arial"/>
        </w:rPr>
        <w:t>Za vyšší moc se považují zejména: živelní události, svévolné jednání třetích osob, povstání, pouliční bouře, stávky, pracovní výluky, obsazení majetku důležitého pro plnění povinností vyplývajících z této smlouvy, války (vyhlášené i nevyhlášené), změna politické situace, která vylučuje nebo nepřiměřeně ztěžuje výkon práv a povinností vyplývajících z této smlouvy, pandemie, nebo jakékoliv podobná příčina.</w:t>
      </w:r>
    </w:p>
    <w:p w14:paraId="0AAC361E" w14:textId="57305E4F" w:rsidR="008C7481" w:rsidRPr="006E22E3" w:rsidRDefault="008C7481" w:rsidP="0044607B">
      <w:pPr>
        <w:pStyle w:val="Odstavecseseznamem"/>
        <w:numPr>
          <w:ilvl w:val="1"/>
          <w:numId w:val="1"/>
        </w:numPr>
        <w:spacing w:after="160" w:line="259" w:lineRule="auto"/>
        <w:ind w:left="567" w:hanging="567"/>
        <w:jc w:val="both"/>
        <w:rPr>
          <w:rFonts w:ascii="Garamond" w:hAnsi="Garamond" w:cs="Arial"/>
        </w:rPr>
      </w:pPr>
      <w:r w:rsidRPr="006E22E3">
        <w:rPr>
          <w:rFonts w:ascii="Garamond" w:hAnsi="Garamond" w:cs="Arial"/>
        </w:rPr>
        <w:t xml:space="preserve">Obě smluvní strany jsou povinny se o vzniku důvodů Vyšší moci vzájemně informovat bez zbytečného odkladu, nejpozději do 5 (pěti) kalendářních dnů na adresy uvedené v záhlaví této smlouvy, případně do datové schránky. </w:t>
      </w:r>
    </w:p>
    <w:p w14:paraId="0E334D3D" w14:textId="77777777" w:rsidR="00A8507B" w:rsidRPr="008C7481" w:rsidRDefault="00A8507B" w:rsidP="008C7481">
      <w:pPr>
        <w:pStyle w:val="Odstavecseseznamem"/>
        <w:ind w:left="567"/>
        <w:contextualSpacing w:val="0"/>
        <w:jc w:val="both"/>
        <w:rPr>
          <w:rFonts w:ascii="Garamond" w:hAnsi="Garamond" w:cstheme="minorHAnsi"/>
          <w:b/>
        </w:rPr>
      </w:pPr>
    </w:p>
    <w:p w14:paraId="7CA3C933" w14:textId="5845E0DA" w:rsidR="00935921" w:rsidRDefault="00935921" w:rsidP="00935921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rFonts w:ascii="Garamond" w:hAnsi="Garamond" w:cstheme="minorHAnsi"/>
          <w:b/>
          <w:bCs/>
        </w:rPr>
      </w:pPr>
      <w:r w:rsidRPr="00935921">
        <w:rPr>
          <w:rFonts w:ascii="Garamond" w:hAnsi="Garamond" w:cstheme="minorHAnsi"/>
          <w:b/>
          <w:bCs/>
        </w:rPr>
        <w:t>FINANČNÍ HLEDISKA SPOLUPRÁCE</w:t>
      </w:r>
    </w:p>
    <w:p w14:paraId="4B4DE2B8" w14:textId="0D8EF3BE" w:rsidR="00935921" w:rsidRDefault="00935921" w:rsidP="00935921">
      <w:pPr>
        <w:pStyle w:val="Odstavecseseznamem"/>
        <w:numPr>
          <w:ilvl w:val="1"/>
          <w:numId w:val="1"/>
        </w:numPr>
        <w:ind w:left="567" w:hanging="567"/>
        <w:rPr>
          <w:rFonts w:ascii="Garamond" w:hAnsi="Garamond" w:cstheme="minorHAnsi"/>
        </w:rPr>
      </w:pPr>
      <w:r w:rsidRPr="00935921">
        <w:rPr>
          <w:rFonts w:ascii="Garamond" w:hAnsi="Garamond" w:cstheme="minorHAnsi"/>
        </w:rPr>
        <w:t xml:space="preserve">Celková cena za plnění poskytnuté </w:t>
      </w:r>
      <w:r w:rsidR="005B60C5">
        <w:rPr>
          <w:rFonts w:ascii="Garamond" w:hAnsi="Garamond" w:cstheme="minorHAnsi"/>
        </w:rPr>
        <w:t>FAČR</w:t>
      </w:r>
      <w:r w:rsidRPr="00935921">
        <w:rPr>
          <w:rFonts w:ascii="Garamond" w:hAnsi="Garamond" w:cstheme="minorHAnsi"/>
        </w:rPr>
        <w:t xml:space="preserve"> je stanovena na </w:t>
      </w:r>
      <w:proofErr w:type="gramStart"/>
      <w:r w:rsidR="001B5BAB">
        <w:rPr>
          <w:rFonts w:ascii="Garamond" w:hAnsi="Garamond" w:cstheme="minorHAnsi"/>
        </w:rPr>
        <w:t>120.000,-</w:t>
      </w:r>
      <w:proofErr w:type="gramEnd"/>
      <w:r>
        <w:rPr>
          <w:rFonts w:ascii="Garamond" w:hAnsi="Garamond" w:cstheme="minorHAnsi"/>
        </w:rPr>
        <w:t xml:space="preserve"> </w:t>
      </w:r>
      <w:r w:rsidRPr="00935921">
        <w:rPr>
          <w:rFonts w:ascii="Garamond" w:hAnsi="Garamond" w:cstheme="minorHAnsi"/>
        </w:rPr>
        <w:t xml:space="preserve">Kč (slovy: </w:t>
      </w:r>
      <w:r w:rsidR="001B5BAB">
        <w:rPr>
          <w:rFonts w:ascii="Garamond" w:hAnsi="Garamond" w:cstheme="minorHAnsi"/>
        </w:rPr>
        <w:t>jedno sto dvacet tisíc</w:t>
      </w:r>
      <w:r>
        <w:rPr>
          <w:rFonts w:ascii="Garamond" w:hAnsi="Garamond" w:cstheme="minorHAnsi"/>
        </w:rPr>
        <w:t xml:space="preserve"> </w:t>
      </w:r>
      <w:r w:rsidRPr="00935921">
        <w:rPr>
          <w:rFonts w:ascii="Garamond" w:hAnsi="Garamond" w:cstheme="minorHAnsi"/>
        </w:rPr>
        <w:t xml:space="preserve">korun českých) </w:t>
      </w:r>
      <w:r w:rsidR="001B5BAB">
        <w:rPr>
          <w:rFonts w:ascii="Garamond" w:hAnsi="Garamond" w:cstheme="minorHAnsi"/>
        </w:rPr>
        <w:t xml:space="preserve">plus </w:t>
      </w:r>
      <w:r w:rsidRPr="00935921">
        <w:rPr>
          <w:rFonts w:ascii="Garamond" w:hAnsi="Garamond" w:cstheme="minorHAnsi"/>
        </w:rPr>
        <w:t>DPH platné ke dni uskutečnění zdanitelného plnění</w:t>
      </w:r>
      <w:r w:rsidR="001408B0">
        <w:rPr>
          <w:rFonts w:ascii="Garamond" w:hAnsi="Garamond" w:cstheme="minorHAnsi"/>
        </w:rPr>
        <w:t>.</w:t>
      </w:r>
    </w:p>
    <w:p w14:paraId="240F7352" w14:textId="77777777" w:rsidR="00935921" w:rsidRDefault="00935921" w:rsidP="00935921">
      <w:pPr>
        <w:pStyle w:val="Odstavecseseznamem"/>
        <w:ind w:left="567"/>
        <w:rPr>
          <w:rFonts w:ascii="Garamond" w:hAnsi="Garamond" w:cstheme="minorHAnsi"/>
        </w:rPr>
      </w:pPr>
    </w:p>
    <w:p w14:paraId="2F56D8D3" w14:textId="77777777" w:rsidR="001B5BAB" w:rsidRDefault="00935921" w:rsidP="001B5BAB">
      <w:pPr>
        <w:pStyle w:val="Odstavecseseznamem"/>
        <w:numPr>
          <w:ilvl w:val="1"/>
          <w:numId w:val="1"/>
        </w:numPr>
        <w:ind w:left="567" w:hanging="567"/>
        <w:rPr>
          <w:rFonts w:ascii="Garamond" w:hAnsi="Garamond" w:cstheme="minorHAnsi"/>
        </w:rPr>
      </w:pPr>
      <w:r w:rsidRPr="001B5BAB">
        <w:rPr>
          <w:rFonts w:ascii="Garamond" w:hAnsi="Garamond" w:cstheme="minorHAnsi"/>
        </w:rPr>
        <w:t xml:space="preserve">Celková cena za plnění poskytnuté THMP je stanovena na </w:t>
      </w:r>
      <w:proofErr w:type="gramStart"/>
      <w:r w:rsidR="001B5BAB" w:rsidRPr="001B5BAB">
        <w:rPr>
          <w:rFonts w:ascii="Garamond" w:hAnsi="Garamond" w:cstheme="minorHAnsi"/>
        </w:rPr>
        <w:t>120.000,-</w:t>
      </w:r>
      <w:proofErr w:type="gramEnd"/>
      <w:r w:rsidR="001B5BAB" w:rsidRPr="001B5BAB">
        <w:rPr>
          <w:rFonts w:ascii="Garamond" w:hAnsi="Garamond" w:cstheme="minorHAnsi"/>
        </w:rPr>
        <w:t xml:space="preserve"> Kč (slovy: jedno sto dvacet tisíc korun českých) plus DPH</w:t>
      </w:r>
      <w:r w:rsidRPr="001B5BAB">
        <w:rPr>
          <w:rFonts w:ascii="Garamond" w:hAnsi="Garamond" w:cstheme="minorHAnsi"/>
        </w:rPr>
        <w:t xml:space="preserve"> platné ke dni uskutečnění zdanitelného plnění.</w:t>
      </w:r>
    </w:p>
    <w:p w14:paraId="31C8E03C" w14:textId="77777777" w:rsidR="001B5BAB" w:rsidRPr="001B5BAB" w:rsidRDefault="001B5BAB" w:rsidP="001B5BAB">
      <w:pPr>
        <w:pStyle w:val="Odstavecseseznamem"/>
        <w:rPr>
          <w:rFonts w:ascii="Garamond" w:hAnsi="Garamond" w:cstheme="minorHAnsi"/>
        </w:rPr>
      </w:pPr>
    </w:p>
    <w:p w14:paraId="104475E1" w14:textId="406EA40E" w:rsidR="001408B0" w:rsidRDefault="001408B0" w:rsidP="001B5BA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FAČR je oprávněný fakturovat celkovou cenu za své plnění po první bannerové propagaci v měsíci květnu 2023, v případě, že by plnění následně ze strany FAČR nemohlo být splněno, bude FAČR fakturu dobropisovat ve prospěch THMP. </w:t>
      </w:r>
    </w:p>
    <w:p w14:paraId="2D6AF6DB" w14:textId="77777777" w:rsidR="001408B0" w:rsidRPr="005B510B" w:rsidRDefault="001408B0" w:rsidP="005B510B">
      <w:pPr>
        <w:pStyle w:val="Odstavecseseznamem"/>
        <w:rPr>
          <w:rFonts w:ascii="Garamond" w:hAnsi="Garamond" w:cstheme="minorHAnsi"/>
        </w:rPr>
      </w:pPr>
    </w:p>
    <w:p w14:paraId="21886E58" w14:textId="38F453ED" w:rsidR="00935921" w:rsidRPr="001B5BAB" w:rsidRDefault="00935921" w:rsidP="001B5BA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Garamond" w:hAnsi="Garamond" w:cstheme="minorHAnsi"/>
        </w:rPr>
      </w:pPr>
      <w:r w:rsidRPr="001B5BAB">
        <w:rPr>
          <w:rFonts w:ascii="Garamond" w:hAnsi="Garamond" w:cstheme="minorHAnsi"/>
        </w:rPr>
        <w:t>Každá smluvní strana vystaví na poskytnuté plnění fakturu/daňový doklad, a to v zákonné lhůtě od</w:t>
      </w:r>
      <w:r w:rsidR="001B5BAB">
        <w:rPr>
          <w:rFonts w:ascii="Garamond" w:hAnsi="Garamond" w:cstheme="minorHAnsi"/>
        </w:rPr>
        <w:t> </w:t>
      </w:r>
      <w:r w:rsidRPr="001B5BAB">
        <w:rPr>
          <w:rFonts w:ascii="Garamond" w:hAnsi="Garamond" w:cstheme="minorHAnsi"/>
        </w:rPr>
        <w:t xml:space="preserve">data uskutečnění zdanitelného plnění (dále DUZP); pokud THMP není plátcem DPH, je povinen vystavit a doručit </w:t>
      </w:r>
      <w:r w:rsidR="005B60C5" w:rsidRPr="001B5BAB">
        <w:rPr>
          <w:rFonts w:ascii="Garamond" w:hAnsi="Garamond" w:cstheme="minorHAnsi"/>
        </w:rPr>
        <w:t>FAČR</w:t>
      </w:r>
      <w:r w:rsidRPr="001B5BAB">
        <w:rPr>
          <w:rFonts w:ascii="Garamond" w:hAnsi="Garamond" w:cstheme="minorHAnsi"/>
        </w:rPr>
        <w:t xml:space="preserve"> namísto daňového dokladu fakturu na cenu jím poskytnutého plnění. DUZP bude poslední den poskytování plnění. Řádným vystavením daňového dokladu se rozumí vystavení faktury/daňového dokladu, jež má veškeré náležitosti daňového a účetního dokladu požadované zákonem č. 235/2004 Sb., o dani z přidané hodnoty, ve znění pozdějších předpisů (dále jen</w:t>
      </w:r>
      <w:r w:rsidR="001B5BAB">
        <w:rPr>
          <w:rFonts w:ascii="Garamond" w:hAnsi="Garamond" w:cstheme="minorHAnsi"/>
        </w:rPr>
        <w:t> </w:t>
      </w:r>
      <w:r w:rsidRPr="001B5BAB">
        <w:rPr>
          <w:rFonts w:ascii="Garamond" w:hAnsi="Garamond" w:cstheme="minorHAnsi"/>
        </w:rPr>
        <w:t>„</w:t>
      </w:r>
      <w:r w:rsidRPr="001B5BAB">
        <w:rPr>
          <w:rFonts w:ascii="Garamond" w:hAnsi="Garamond" w:cstheme="minorHAnsi"/>
          <w:b/>
          <w:bCs/>
        </w:rPr>
        <w:t>ZDPH</w:t>
      </w:r>
      <w:r w:rsidRPr="001B5BAB">
        <w:rPr>
          <w:rFonts w:ascii="Garamond" w:hAnsi="Garamond" w:cstheme="minorHAnsi"/>
        </w:rPr>
        <w:t xml:space="preserve">“) a zákonem č. 563/1991 Sb., o účetnictví, ve znění pozdějších předpisů. </w:t>
      </w:r>
    </w:p>
    <w:p w14:paraId="2D4E17CE" w14:textId="77777777" w:rsidR="00935921" w:rsidRPr="00935921" w:rsidRDefault="00935921" w:rsidP="001B5BAB">
      <w:pPr>
        <w:pStyle w:val="Odstavecseseznamem"/>
        <w:ind w:left="567"/>
        <w:jc w:val="both"/>
        <w:rPr>
          <w:rFonts w:ascii="Garamond" w:hAnsi="Garamond" w:cstheme="minorHAnsi"/>
        </w:rPr>
      </w:pPr>
    </w:p>
    <w:p w14:paraId="55942B6E" w14:textId="43EF412F" w:rsidR="00935921" w:rsidRDefault="00935921" w:rsidP="001B5BA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Garamond" w:hAnsi="Garamond" w:cstheme="minorHAnsi"/>
        </w:rPr>
      </w:pPr>
      <w:r w:rsidRPr="00935921">
        <w:rPr>
          <w:rFonts w:ascii="Garamond" w:hAnsi="Garamond" w:cstheme="minorHAnsi"/>
        </w:rPr>
        <w:t xml:space="preserve">Protože si smluvní strany poskytují vzájemné plnění, budou pohledávky z titulu poskytnutého plnění uhrazeny zápočtem na hodnotu plnění poskytnutého druhou smluvní stranou. Pokud vzájemně poskytované plnění není oceněno stejnou částkou, zavazuje se smluvní strana, jejíž plnění bude </w:t>
      </w:r>
      <w:r w:rsidRPr="00935921">
        <w:rPr>
          <w:rFonts w:ascii="Garamond" w:hAnsi="Garamond" w:cstheme="minorHAnsi"/>
        </w:rPr>
        <w:lastRenderedPageBreak/>
        <w:t>oceněno nižší částkou, uhradit druhé smluvní straně rozdíl v ceně vzájemně poskytnutých plnění do</w:t>
      </w:r>
      <w:r w:rsidR="001B5BAB">
        <w:rPr>
          <w:rFonts w:ascii="Garamond" w:hAnsi="Garamond" w:cstheme="minorHAnsi"/>
        </w:rPr>
        <w:t> </w:t>
      </w:r>
      <w:r w:rsidRPr="00935921">
        <w:rPr>
          <w:rFonts w:ascii="Garamond" w:hAnsi="Garamond" w:cstheme="minorHAnsi"/>
        </w:rPr>
        <w:t>30 dnů ode dne doručení faktury/daňového dokladu bezhotovostním převodem ve prospěch běžného účtu uvedeného na faktuře.</w:t>
      </w:r>
    </w:p>
    <w:p w14:paraId="273BC12C" w14:textId="3A6E6F0E" w:rsidR="00935921" w:rsidRDefault="00935921" w:rsidP="00935921">
      <w:pPr>
        <w:pStyle w:val="Odstavecseseznamem"/>
        <w:ind w:left="567"/>
        <w:jc w:val="both"/>
        <w:rPr>
          <w:rFonts w:ascii="Garamond" w:hAnsi="Garamond" w:cstheme="minorHAnsi"/>
        </w:rPr>
      </w:pPr>
    </w:p>
    <w:p w14:paraId="23539EC6" w14:textId="580338D7" w:rsidR="00935921" w:rsidRPr="001B5BAB" w:rsidRDefault="00935921" w:rsidP="00935921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Garamond" w:hAnsi="Garamond" w:cstheme="minorHAnsi"/>
        </w:rPr>
      </w:pPr>
      <w:r w:rsidRPr="001B5BAB">
        <w:rPr>
          <w:rFonts w:ascii="Garamond" w:hAnsi="Garamond" w:cstheme="minorHAnsi"/>
        </w:rPr>
        <w:t xml:space="preserve">Faktura musí být v případě </w:t>
      </w:r>
      <w:r w:rsidR="005B60C5" w:rsidRPr="001B5BAB">
        <w:rPr>
          <w:rFonts w:ascii="Garamond" w:hAnsi="Garamond" w:cstheme="minorHAnsi"/>
        </w:rPr>
        <w:t>FAČR</w:t>
      </w:r>
      <w:r w:rsidRPr="001B5BAB">
        <w:rPr>
          <w:rFonts w:ascii="Garamond" w:hAnsi="Garamond" w:cstheme="minorHAnsi"/>
        </w:rPr>
        <w:t xml:space="preserve"> doručena na e-mailovou adresu </w:t>
      </w:r>
      <w:hyperlink r:id="rId12" w:history="1">
        <w:r w:rsidRPr="001B5BAB">
          <w:rPr>
            <w:rStyle w:val="Hypertextovodkaz"/>
            <w:rFonts w:ascii="Garamond" w:hAnsi="Garamond" w:cstheme="minorHAnsi"/>
          </w:rPr>
          <w:t>faktury@fotbal.cz</w:t>
        </w:r>
      </w:hyperlink>
      <w:r w:rsidRPr="001B5BAB">
        <w:rPr>
          <w:rFonts w:ascii="Garamond" w:hAnsi="Garamond" w:cstheme="minorHAnsi"/>
        </w:rPr>
        <w:t>.</w:t>
      </w:r>
    </w:p>
    <w:p w14:paraId="5E87E59B" w14:textId="77777777" w:rsidR="00935921" w:rsidRPr="00935921" w:rsidRDefault="00935921" w:rsidP="00935921">
      <w:pPr>
        <w:pStyle w:val="Odstavecseseznamem"/>
        <w:ind w:left="567"/>
        <w:jc w:val="both"/>
        <w:rPr>
          <w:rFonts w:ascii="Garamond" w:hAnsi="Garamond" w:cstheme="minorHAnsi"/>
        </w:rPr>
      </w:pPr>
    </w:p>
    <w:p w14:paraId="5A8A3DA1" w14:textId="6D73A4F1" w:rsidR="007169A3" w:rsidRPr="005B510B" w:rsidRDefault="00935921" w:rsidP="005B510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Garamond" w:hAnsi="Garamond" w:cstheme="minorHAnsi"/>
        </w:rPr>
      </w:pPr>
      <w:r w:rsidRPr="00935921">
        <w:rPr>
          <w:rFonts w:ascii="Garamond" w:hAnsi="Garamond" w:cstheme="minorHAnsi"/>
        </w:rPr>
        <w:t xml:space="preserve">Faktura musí být </w:t>
      </w:r>
      <w:r>
        <w:rPr>
          <w:rFonts w:ascii="Garamond" w:hAnsi="Garamond" w:cstheme="minorHAnsi"/>
        </w:rPr>
        <w:t>v případě společnosti THMP</w:t>
      </w:r>
      <w:r w:rsidRPr="00935921">
        <w:rPr>
          <w:rFonts w:ascii="Garamond" w:hAnsi="Garamond" w:cstheme="minorHAnsi"/>
        </w:rPr>
        <w:t xml:space="preserve"> doručena na e-mailovou </w:t>
      </w:r>
      <w:r w:rsidRPr="001B5BAB">
        <w:rPr>
          <w:rFonts w:ascii="Garamond" w:hAnsi="Garamond" w:cstheme="minorHAnsi"/>
        </w:rPr>
        <w:t>adresu</w:t>
      </w:r>
      <w:r w:rsidR="001B5BAB">
        <w:rPr>
          <w:rFonts w:ascii="Garamond" w:hAnsi="Garamond" w:cstheme="minorHAnsi"/>
        </w:rPr>
        <w:t>:</w:t>
      </w:r>
      <w:r w:rsidR="005B510B">
        <w:rPr>
          <w:rFonts w:ascii="Garamond" w:hAnsi="Garamond" w:cstheme="minorHAnsi"/>
        </w:rPr>
        <w:t xml:space="preserve"> uctarna@thmp.cz</w:t>
      </w:r>
      <w:r w:rsidR="001B5BAB" w:rsidRPr="005B510B">
        <w:rPr>
          <w:rFonts w:ascii="Garamond" w:hAnsi="Garamond" w:cstheme="minorHAnsi"/>
        </w:rPr>
        <w:t xml:space="preserve"> </w:t>
      </w:r>
    </w:p>
    <w:p w14:paraId="5779B2F9" w14:textId="77777777" w:rsidR="00F25E7A" w:rsidRPr="00F25E7A" w:rsidRDefault="00F25E7A" w:rsidP="00F25E7A">
      <w:pPr>
        <w:pStyle w:val="Odstavecseseznamem"/>
        <w:ind w:left="567"/>
        <w:jc w:val="both"/>
        <w:rPr>
          <w:rFonts w:ascii="Garamond" w:hAnsi="Garamond" w:cstheme="minorHAnsi"/>
        </w:rPr>
      </w:pPr>
    </w:p>
    <w:p w14:paraId="3A44C621" w14:textId="4193AF21" w:rsidR="00F25E7A" w:rsidRDefault="00F25E7A" w:rsidP="007B2DBB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KONTAKTNÍ OSOSBY</w:t>
      </w:r>
    </w:p>
    <w:p w14:paraId="01CBB3FE" w14:textId="77777777" w:rsidR="00F25E7A" w:rsidRPr="00F25E7A" w:rsidRDefault="00F25E7A" w:rsidP="00F25E7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Garamond" w:hAnsi="Garamond" w:cstheme="minorHAnsi"/>
          <w:bCs/>
        </w:rPr>
      </w:pPr>
      <w:r w:rsidRPr="00F25E7A">
        <w:rPr>
          <w:rFonts w:ascii="Garamond" w:hAnsi="Garamond" w:cstheme="minorHAnsi"/>
          <w:bCs/>
        </w:rPr>
        <w:t>Smluvní strany budou komunikovat ve věci plnění této smlouvy prostřednictvím těchto osob:</w:t>
      </w:r>
    </w:p>
    <w:p w14:paraId="7EC4D16A" w14:textId="049FE907" w:rsidR="00F25E7A" w:rsidRPr="00F25E7A" w:rsidRDefault="00F25E7A" w:rsidP="00F25E7A">
      <w:pPr>
        <w:pStyle w:val="Odstavecseseznamem"/>
        <w:numPr>
          <w:ilvl w:val="2"/>
          <w:numId w:val="1"/>
        </w:numPr>
        <w:jc w:val="both"/>
        <w:rPr>
          <w:rFonts w:ascii="Garamond" w:hAnsi="Garamond" w:cstheme="minorHAnsi"/>
          <w:bCs/>
        </w:rPr>
      </w:pPr>
      <w:r w:rsidRPr="00F25E7A">
        <w:rPr>
          <w:rFonts w:ascii="Garamond" w:hAnsi="Garamond" w:cstheme="minorHAnsi"/>
          <w:bCs/>
        </w:rPr>
        <w:t xml:space="preserve">Kontaktní osoba za </w:t>
      </w:r>
      <w:r>
        <w:rPr>
          <w:rFonts w:ascii="Garamond" w:hAnsi="Garamond" w:cstheme="minorHAnsi"/>
          <w:bCs/>
        </w:rPr>
        <w:t>T</w:t>
      </w:r>
      <w:r w:rsidRPr="00F25E7A">
        <w:rPr>
          <w:rFonts w:ascii="Garamond" w:hAnsi="Garamond" w:cstheme="minorHAnsi"/>
          <w:bCs/>
        </w:rPr>
        <w:t xml:space="preserve">HMP: </w:t>
      </w:r>
    </w:p>
    <w:p w14:paraId="5FA2CDEA" w14:textId="2103F118" w:rsidR="00F25E7A" w:rsidRDefault="00F25E7A" w:rsidP="00F25E7A">
      <w:pPr>
        <w:pStyle w:val="Odstavecseseznamem"/>
        <w:numPr>
          <w:ilvl w:val="3"/>
          <w:numId w:val="1"/>
        </w:numPr>
        <w:jc w:val="both"/>
        <w:rPr>
          <w:rFonts w:ascii="Garamond" w:hAnsi="Garamond" w:cstheme="minorHAnsi"/>
          <w:bCs/>
        </w:rPr>
      </w:pPr>
      <w:r w:rsidRPr="001B5BAB">
        <w:rPr>
          <w:rFonts w:ascii="Garamond" w:hAnsi="Garamond" w:cstheme="minorHAnsi"/>
          <w:bCs/>
        </w:rPr>
        <w:t>Tomáš Novotný</w:t>
      </w:r>
      <w:r w:rsidR="001B5BAB" w:rsidRPr="001B5BAB">
        <w:rPr>
          <w:rFonts w:ascii="Garamond" w:hAnsi="Garamond" w:cstheme="minorHAnsi"/>
          <w:bCs/>
        </w:rPr>
        <w:t xml:space="preserve"> na e-mail: </w:t>
      </w:r>
      <w:r w:rsidR="00B34556">
        <w:t>XXXXX</w:t>
      </w:r>
    </w:p>
    <w:p w14:paraId="4E0F67CB" w14:textId="2108DB76" w:rsidR="001408B0" w:rsidRPr="001B5BAB" w:rsidRDefault="001408B0" w:rsidP="00F25E7A">
      <w:pPr>
        <w:pStyle w:val="Odstavecseseznamem"/>
        <w:numPr>
          <w:ilvl w:val="3"/>
          <w:numId w:val="1"/>
        </w:numPr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 xml:space="preserve">Jaroslav Strnad na email: </w:t>
      </w:r>
      <w:r w:rsidR="00B34556">
        <w:t>XXXXX</w:t>
      </w:r>
    </w:p>
    <w:p w14:paraId="17B6163D" w14:textId="03F59BB9" w:rsidR="00F25E7A" w:rsidRDefault="00F25E7A" w:rsidP="00F25E7A">
      <w:pPr>
        <w:pStyle w:val="Odstavecseseznamem"/>
        <w:numPr>
          <w:ilvl w:val="2"/>
          <w:numId w:val="1"/>
        </w:numPr>
        <w:jc w:val="both"/>
        <w:rPr>
          <w:rFonts w:ascii="Garamond" w:hAnsi="Garamond" w:cstheme="minorHAnsi"/>
          <w:bCs/>
        </w:rPr>
      </w:pPr>
      <w:r w:rsidRPr="00F25E7A">
        <w:rPr>
          <w:rFonts w:ascii="Garamond" w:hAnsi="Garamond" w:cstheme="minorHAnsi"/>
          <w:bCs/>
        </w:rPr>
        <w:t xml:space="preserve">Kontaktní osoba za </w:t>
      </w:r>
      <w:r w:rsidR="005B60C5">
        <w:rPr>
          <w:rFonts w:ascii="Garamond" w:hAnsi="Garamond" w:cstheme="minorHAnsi"/>
          <w:bCs/>
        </w:rPr>
        <w:t>FAČR</w:t>
      </w:r>
      <w:r w:rsidRPr="00F25E7A">
        <w:rPr>
          <w:rFonts w:ascii="Garamond" w:hAnsi="Garamond" w:cstheme="minorHAnsi"/>
          <w:bCs/>
        </w:rPr>
        <w:t xml:space="preserve">: </w:t>
      </w:r>
    </w:p>
    <w:p w14:paraId="2F81BBDD" w14:textId="27C50740" w:rsidR="00F25E7A" w:rsidRPr="00B34556" w:rsidRDefault="00B34556" w:rsidP="002E30CE">
      <w:pPr>
        <w:pStyle w:val="Odstavecseseznamem"/>
        <w:numPr>
          <w:ilvl w:val="3"/>
          <w:numId w:val="1"/>
        </w:numPr>
        <w:jc w:val="both"/>
        <w:rPr>
          <w:rFonts w:ascii="Garamond" w:hAnsi="Garamond" w:cstheme="minorHAnsi"/>
          <w:bCs/>
        </w:rPr>
      </w:pPr>
      <w:r>
        <w:t>XXXXX</w:t>
      </w:r>
      <w:r w:rsidR="00F25E7A" w:rsidRPr="00B34556">
        <w:rPr>
          <w:rFonts w:ascii="Garamond" w:hAnsi="Garamond" w:cstheme="minorHAnsi"/>
          <w:bCs/>
        </w:rPr>
        <w:t xml:space="preserve"> e-mail: </w:t>
      </w:r>
      <w:r>
        <w:t>XXXXX</w:t>
      </w:r>
    </w:p>
    <w:p w14:paraId="3433F31E" w14:textId="23CCF076" w:rsidR="00F25E7A" w:rsidRDefault="00F25E7A" w:rsidP="00F25E7A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Garamond" w:hAnsi="Garamond" w:cstheme="minorHAnsi"/>
          <w:bCs/>
        </w:rPr>
      </w:pPr>
      <w:r w:rsidRPr="00F25E7A">
        <w:rPr>
          <w:rFonts w:ascii="Garamond" w:hAnsi="Garamond" w:cstheme="minorHAnsi"/>
          <w:bCs/>
        </w:rPr>
        <w:t>Smluvní strany mohou kontaktní osoby kdykoliv změnit, a to jednostranným písemným oznámením adresovaným druhé smluvní straně. Změna je vůči smluvní straně účinná okamžikem oznámení. Kontaktní osoby nejsou oprávněny ke změnám ani k ukončení Smlouvy, ani k promíjení nebo uznávání dluhů. Zajišťují vzájemnou komunikaci mezi stranami, zejména odstraňování vad a dalších záležitostí.</w:t>
      </w:r>
    </w:p>
    <w:p w14:paraId="056489B7" w14:textId="77777777" w:rsidR="00F25E7A" w:rsidRPr="00F25E7A" w:rsidRDefault="00F25E7A" w:rsidP="00F25E7A">
      <w:pPr>
        <w:pStyle w:val="Odstavecseseznamem"/>
        <w:ind w:left="567"/>
        <w:jc w:val="both"/>
        <w:rPr>
          <w:rFonts w:ascii="Garamond" w:hAnsi="Garamond" w:cstheme="minorHAnsi"/>
          <w:bCs/>
        </w:rPr>
      </w:pPr>
    </w:p>
    <w:p w14:paraId="65AFBE9E" w14:textId="2DEEB93B" w:rsidR="007B2DBB" w:rsidRPr="000F0D9B" w:rsidRDefault="007B2DBB" w:rsidP="007B2DBB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rFonts w:ascii="Garamond" w:hAnsi="Garamond" w:cstheme="minorHAnsi"/>
          <w:b/>
        </w:rPr>
      </w:pPr>
      <w:r w:rsidRPr="000F0D9B">
        <w:rPr>
          <w:rFonts w:ascii="Garamond" w:hAnsi="Garamond" w:cstheme="minorHAnsi"/>
          <w:b/>
        </w:rPr>
        <w:t>ZÁVĚREČNÁ USTANOVENÍ</w:t>
      </w:r>
    </w:p>
    <w:p w14:paraId="437C3164" w14:textId="655B563F" w:rsidR="007C13E2" w:rsidRPr="006E22E3" w:rsidRDefault="00996AE8" w:rsidP="00996AE8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6.1</w:t>
      </w:r>
      <w:r>
        <w:rPr>
          <w:rFonts w:ascii="Garamond" w:hAnsi="Garamond"/>
        </w:rPr>
        <w:tab/>
      </w:r>
      <w:r w:rsidR="007C13E2" w:rsidRPr="006E22E3">
        <w:rPr>
          <w:rFonts w:ascii="Garamond" w:hAnsi="Garamond"/>
        </w:rPr>
        <w:t>Tuto smlouvu je možné měnit či doplňovat pouze ve formě písemných dodatků podepsaných oprávněnými zástupci obou Smluvních stran.</w:t>
      </w:r>
    </w:p>
    <w:p w14:paraId="762615A8" w14:textId="1D60A927" w:rsidR="00A607CA" w:rsidRPr="006E22E3" w:rsidRDefault="00996AE8" w:rsidP="00996AE8">
      <w:pPr>
        <w:ind w:left="567" w:hanging="567"/>
        <w:jc w:val="both"/>
        <w:rPr>
          <w:rFonts w:ascii="Garamond" w:hAnsi="Garamond"/>
        </w:rPr>
      </w:pPr>
      <w:r w:rsidRPr="006E22E3">
        <w:rPr>
          <w:rFonts w:ascii="Garamond" w:hAnsi="Garamond"/>
        </w:rPr>
        <w:t>6.2.</w:t>
      </w:r>
      <w:r w:rsidRPr="006E22E3">
        <w:rPr>
          <w:rFonts w:ascii="Garamond" w:hAnsi="Garamond"/>
        </w:rPr>
        <w:tab/>
      </w:r>
      <w:r w:rsidR="00A607CA" w:rsidRPr="006E22E3">
        <w:rPr>
          <w:rFonts w:ascii="Garamond" w:hAnsi="Garamond"/>
        </w:rPr>
        <w:t>Smluvní strany berou na vědomí, že tato Smlouva může podléhat povinnosti jejího uveřejnění prostřednictvím registru smluv v souladu se zákonem č. 340/2015 Sb., o zvláštních podmínkách účinnosti některých smluv, uveřejňování těchto smluv a o registru smluv, ve znění pozdějších předpisů (dále jen „ZRS“). V případě, že tato Smlouva bude podléhat povinnosti uveřejnění dle ZRS, nastává její účinnost nejdříve dnem jejího uveřejnění prostřednictvím registru smluv, v opačném případě Smlouva nabývá účinnosti dnem jejího podpisu oběma Smluvními stranami, nestanovuje-li Smlouva účinnost jiným způsobem. Podléhá-li Smlouva uveřejnění v ZRS zašle Kupující tuto Smlouvu správci registru smluv k uveřejnění bez zbytečného odkladu, nejpozději však do třiceti (30) dnů od jejího uzavření.</w:t>
      </w:r>
    </w:p>
    <w:p w14:paraId="62AE6D5C" w14:textId="70001078" w:rsidR="00996AE8" w:rsidRPr="006E22E3" w:rsidRDefault="00996AE8" w:rsidP="00996AE8">
      <w:pPr>
        <w:ind w:left="567" w:hanging="567"/>
        <w:jc w:val="both"/>
        <w:rPr>
          <w:rFonts w:ascii="Garamond" w:hAnsi="Garamond"/>
        </w:rPr>
      </w:pPr>
      <w:r w:rsidRPr="006E22E3">
        <w:rPr>
          <w:rFonts w:ascii="Garamond" w:hAnsi="Garamond"/>
        </w:rPr>
        <w:t>6.3.</w:t>
      </w:r>
      <w:r w:rsidRPr="006E22E3">
        <w:rPr>
          <w:rFonts w:ascii="Garamond" w:hAnsi="Garamond"/>
        </w:rPr>
        <w:tab/>
        <w:t xml:space="preserve">Ujednání tohoto článku Smlouvy se použijí </w:t>
      </w:r>
      <w:proofErr w:type="spellStart"/>
      <w:r w:rsidRPr="006E22E3">
        <w:rPr>
          <w:rFonts w:ascii="Garamond" w:hAnsi="Garamond"/>
          <w:i/>
          <w:iCs/>
        </w:rPr>
        <w:t>mutatis</w:t>
      </w:r>
      <w:proofErr w:type="spellEnd"/>
      <w:r w:rsidRPr="006E22E3">
        <w:rPr>
          <w:rFonts w:ascii="Garamond" w:hAnsi="Garamond"/>
          <w:i/>
          <w:iCs/>
        </w:rPr>
        <w:t xml:space="preserve"> </w:t>
      </w:r>
      <w:proofErr w:type="spellStart"/>
      <w:r w:rsidRPr="006E22E3">
        <w:rPr>
          <w:rFonts w:ascii="Garamond" w:hAnsi="Garamond"/>
          <w:i/>
          <w:iCs/>
        </w:rPr>
        <w:t>mutandis</w:t>
      </w:r>
      <w:proofErr w:type="spellEnd"/>
      <w:r w:rsidRPr="006E22E3">
        <w:rPr>
          <w:rFonts w:ascii="Garamond" w:hAnsi="Garamond"/>
        </w:rPr>
        <w:t xml:space="preserve"> také na uveřejňování jakéhokoliv případného dodatku k této Smlouvy v registru smluv.</w:t>
      </w:r>
    </w:p>
    <w:p w14:paraId="58A6501E" w14:textId="7EE49B2D" w:rsidR="00996AE8" w:rsidRPr="006E22E3" w:rsidRDefault="00996AE8" w:rsidP="00996AE8">
      <w:pPr>
        <w:ind w:left="567" w:hanging="567"/>
        <w:jc w:val="both"/>
        <w:rPr>
          <w:rFonts w:ascii="Garamond" w:hAnsi="Garamond"/>
        </w:rPr>
      </w:pPr>
      <w:r w:rsidRPr="006E22E3">
        <w:rPr>
          <w:rFonts w:ascii="Garamond" w:hAnsi="Garamond"/>
        </w:rPr>
        <w:t>6.4.</w:t>
      </w:r>
      <w:r w:rsidRPr="006E22E3">
        <w:rPr>
          <w:rFonts w:ascii="Garamond" w:hAnsi="Garamond"/>
        </w:rPr>
        <w:tab/>
        <w:t>Strany rovněž souhlasí s uveřejňováním této smlouvy v Centrální evidenci smluv (CES) vedené HMP, která je veřejně přístupná a která obsahuje údaje o smluvních stranách, číselné označení této Smlouvy, datum jejího podpisu a její úplný text.</w:t>
      </w:r>
    </w:p>
    <w:p w14:paraId="22309DB9" w14:textId="7009C3D2" w:rsidR="007B2DBB" w:rsidRPr="00996AE8" w:rsidRDefault="00996AE8" w:rsidP="00996AE8">
      <w:pPr>
        <w:ind w:left="567" w:hanging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6.5.</w:t>
      </w:r>
      <w:r>
        <w:rPr>
          <w:rFonts w:ascii="Garamond" w:hAnsi="Garamond" w:cstheme="minorHAnsi"/>
        </w:rPr>
        <w:tab/>
      </w:r>
      <w:r w:rsidR="007B2DBB" w:rsidRPr="00996AE8">
        <w:rPr>
          <w:rFonts w:ascii="Garamond" w:hAnsi="Garamond" w:cstheme="minorHAnsi"/>
        </w:rPr>
        <w:t xml:space="preserve">Bude-li jakékoliv ustanovení této Smlouvy shledáno příslušným soudem nebo jiným orgánem neplatným nebo nevymahatelným, bude takové ustanovení považováno za vypuštěné ze Smlouvy a ostatní ustanovení této Smlouvy zůstanou v platnosti a účinnosti, pokud z povahy takového ustanovení nebo jeho obsahu anebo z okolností, za nichž bylo uzavřeno, nevyplývá, že je nelze oddělit od ostatního obsahu této Smlouvy. Smluvní strany v takovém případě uzavřou takové </w:t>
      </w:r>
      <w:r w:rsidR="007B2DBB" w:rsidRPr="00996AE8">
        <w:rPr>
          <w:rFonts w:ascii="Garamond" w:hAnsi="Garamond" w:cstheme="minorHAnsi"/>
        </w:rPr>
        <w:lastRenderedPageBreak/>
        <w:t>dodatky k této Smlouvě, které umožní dosažení výsledku stejného, a pokud to není možné, pak nejbližšího tomu, jakého mělo být dosaženo neplatným nebo nevymahatelným ustanovením.</w:t>
      </w:r>
    </w:p>
    <w:p w14:paraId="3E1F9261" w14:textId="2820ABB0" w:rsidR="007B2DBB" w:rsidRPr="006E22E3" w:rsidRDefault="00996AE8" w:rsidP="00996AE8">
      <w:pPr>
        <w:ind w:left="567" w:hanging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6.6.</w:t>
      </w:r>
      <w:r>
        <w:rPr>
          <w:rFonts w:ascii="Garamond" w:hAnsi="Garamond" w:cstheme="minorHAnsi"/>
        </w:rPr>
        <w:tab/>
      </w:r>
      <w:r w:rsidR="007B2DBB" w:rsidRPr="00996AE8">
        <w:rPr>
          <w:rFonts w:ascii="Garamond" w:hAnsi="Garamond" w:cstheme="minorHAnsi"/>
        </w:rPr>
        <w:t>Tato Smlouva nabývá platnosti dnem jejího podpisu Smluvními stranami</w:t>
      </w:r>
      <w:r w:rsidR="001B4A7C" w:rsidRPr="00996AE8">
        <w:rPr>
          <w:rFonts w:ascii="Garamond" w:hAnsi="Garamond" w:cstheme="minorHAnsi"/>
        </w:rPr>
        <w:t xml:space="preserve">, </w:t>
      </w:r>
      <w:r w:rsidR="001B4A7C" w:rsidRPr="006E22E3">
        <w:rPr>
          <w:rFonts w:ascii="Garamond" w:hAnsi="Garamond" w:cstheme="minorHAnsi"/>
        </w:rPr>
        <w:t>účinnosti pak zveřejněním v registru smluv.</w:t>
      </w:r>
    </w:p>
    <w:p w14:paraId="575626DE" w14:textId="7E233AAB" w:rsidR="00D01D9F" w:rsidRPr="006E22E3" w:rsidRDefault="00996AE8" w:rsidP="00996AE8">
      <w:pPr>
        <w:ind w:left="567" w:hanging="567"/>
        <w:jc w:val="both"/>
        <w:rPr>
          <w:rFonts w:ascii="Garamond" w:hAnsi="Garamond"/>
        </w:rPr>
      </w:pPr>
      <w:r w:rsidRPr="006E22E3">
        <w:rPr>
          <w:rFonts w:ascii="Garamond" w:hAnsi="Garamond"/>
        </w:rPr>
        <w:t>6.7.</w:t>
      </w:r>
      <w:r w:rsidRPr="006E22E3">
        <w:rPr>
          <w:rFonts w:ascii="Garamond" w:hAnsi="Garamond"/>
        </w:rPr>
        <w:tab/>
      </w:r>
      <w:r w:rsidR="00D01D9F" w:rsidRPr="006E22E3">
        <w:rPr>
          <w:rFonts w:ascii="Garamond" w:hAnsi="Garamond"/>
        </w:rPr>
        <w:t>Vztahy neupravené touto smlouvou se řídí platným právním řádem ČR, zejména pak zák. č. 89/2012 Sb. Občanský zákoník.</w:t>
      </w:r>
    </w:p>
    <w:p w14:paraId="0ECB9648" w14:textId="77777777" w:rsidR="0044298A" w:rsidRPr="006E22E3" w:rsidRDefault="00996AE8" w:rsidP="0044298A">
      <w:pPr>
        <w:spacing w:line="240" w:lineRule="auto"/>
        <w:rPr>
          <w:rFonts w:ascii="Garamond" w:hAnsi="Garamond" w:cstheme="minorHAnsi"/>
        </w:rPr>
      </w:pPr>
      <w:r w:rsidRPr="006E22E3">
        <w:rPr>
          <w:rFonts w:ascii="Garamond" w:hAnsi="Garamond" w:cstheme="minorHAnsi"/>
        </w:rPr>
        <w:t>6.8.</w:t>
      </w:r>
      <w:r w:rsidRPr="006E22E3">
        <w:rPr>
          <w:rFonts w:ascii="Garamond" w:hAnsi="Garamond" w:cstheme="minorHAnsi"/>
        </w:rPr>
        <w:tab/>
      </w:r>
      <w:r w:rsidR="0044298A" w:rsidRPr="006E22E3">
        <w:rPr>
          <w:rFonts w:ascii="Garamond" w:hAnsi="Garamond" w:cstheme="minorHAnsi"/>
        </w:rPr>
        <w:t>Nedílnou součástí této Smlouvy jsou níže uvedené Přílohy:</w:t>
      </w:r>
    </w:p>
    <w:p w14:paraId="557A942B" w14:textId="1EA9BDB3" w:rsidR="0044298A" w:rsidRPr="006E22E3" w:rsidRDefault="0044298A" w:rsidP="00E46E10">
      <w:pPr>
        <w:spacing w:line="240" w:lineRule="auto"/>
        <w:ind w:left="851" w:hanging="142"/>
        <w:rPr>
          <w:rFonts w:ascii="Garamond" w:hAnsi="Garamond" w:cstheme="minorHAnsi"/>
        </w:rPr>
      </w:pPr>
      <w:r w:rsidRPr="006E22E3">
        <w:rPr>
          <w:rFonts w:ascii="Garamond" w:hAnsi="Garamond" w:cstheme="minorHAnsi"/>
        </w:rPr>
        <w:t>- Příloha č. 1 – Technická specifikace reklamních plakátů na stožáry VO a do CLV na městském mobiliáři</w:t>
      </w:r>
    </w:p>
    <w:p w14:paraId="5A931BF9" w14:textId="0AAB203B" w:rsidR="0044298A" w:rsidRPr="006E22E3" w:rsidRDefault="0044298A" w:rsidP="0044298A">
      <w:pPr>
        <w:spacing w:line="240" w:lineRule="auto"/>
        <w:ind w:firstLine="708"/>
        <w:jc w:val="both"/>
        <w:rPr>
          <w:rFonts w:ascii="Garamond" w:hAnsi="Garamond" w:cstheme="minorHAnsi"/>
        </w:rPr>
      </w:pPr>
      <w:r w:rsidRPr="006E22E3">
        <w:rPr>
          <w:rFonts w:ascii="Garamond" w:hAnsi="Garamond" w:cstheme="minorHAnsi"/>
        </w:rPr>
        <w:t>- Příloha č. 2 - Specifikace bannerové kampaně a banneru v newsletteru</w:t>
      </w:r>
    </w:p>
    <w:p w14:paraId="58A4FDF1" w14:textId="2FD6DAED" w:rsidR="0044298A" w:rsidRPr="006E22E3" w:rsidRDefault="0044298A" w:rsidP="0044298A">
      <w:pPr>
        <w:spacing w:line="240" w:lineRule="auto"/>
        <w:ind w:firstLine="708"/>
        <w:jc w:val="both"/>
        <w:rPr>
          <w:rFonts w:ascii="Garamond" w:hAnsi="Garamond" w:cstheme="minorHAnsi"/>
        </w:rPr>
      </w:pPr>
      <w:r w:rsidRPr="006E22E3">
        <w:rPr>
          <w:rFonts w:ascii="Garamond" w:hAnsi="Garamond" w:cstheme="minorHAnsi"/>
        </w:rPr>
        <w:t>- Příloha č. 3 - Konkrétní seznam lokalit CLV a čísel stožárů pro umístění reklamních ploch FAČR</w:t>
      </w:r>
    </w:p>
    <w:p w14:paraId="7FD202A6" w14:textId="3CA8A892" w:rsidR="00A607CA" w:rsidRPr="006E22E3" w:rsidRDefault="0044298A" w:rsidP="00996AE8">
      <w:pPr>
        <w:ind w:left="567" w:hanging="567"/>
        <w:jc w:val="both"/>
        <w:rPr>
          <w:rFonts w:ascii="Garamond" w:hAnsi="Garamond"/>
        </w:rPr>
      </w:pPr>
      <w:r w:rsidRPr="006E22E3">
        <w:rPr>
          <w:rFonts w:ascii="Garamond" w:hAnsi="Garamond" w:cstheme="minorHAnsi"/>
        </w:rPr>
        <w:t xml:space="preserve">6.9. </w:t>
      </w:r>
      <w:r w:rsidRPr="006E22E3">
        <w:rPr>
          <w:rFonts w:ascii="Garamond" w:hAnsi="Garamond" w:cstheme="minorHAnsi"/>
        </w:rPr>
        <w:tab/>
      </w:r>
      <w:r w:rsidR="007B2DBB" w:rsidRPr="006E22E3">
        <w:rPr>
          <w:rFonts w:ascii="Garamond" w:hAnsi="Garamond" w:cstheme="minorHAnsi"/>
        </w:rPr>
        <w:t>Tato Smlouva je vyhotovena ve dvou (2) stejnopisech, přičemž každá Smluvní strana obdrží jeden (1) stejnopis.</w:t>
      </w:r>
      <w:bookmarkStart w:id="0" w:name="_Hlk135213059"/>
      <w:r w:rsidR="00A607CA" w:rsidRPr="006E22E3">
        <w:rPr>
          <w:rFonts w:ascii="Garamond" w:hAnsi="Garamond"/>
          <w:sz w:val="24"/>
          <w:szCs w:val="24"/>
        </w:rPr>
        <w:t xml:space="preserve"> </w:t>
      </w:r>
      <w:r w:rsidR="00A607CA" w:rsidRPr="006E22E3">
        <w:rPr>
          <w:rFonts w:ascii="Garamond" w:hAnsi="Garamond"/>
        </w:rPr>
        <w:t>V případě, že smlouva bude uzavírána elektronicky, postačí jedno (1) vyhotovení, na kterém budou zaznamenány uznávané elektronické podpisy zástupců Smluvních stran oprávněných tuto Smlouvu uzavřít.</w:t>
      </w:r>
      <w:bookmarkEnd w:id="0"/>
    </w:p>
    <w:p w14:paraId="5C3F7AB6" w14:textId="36BCA692" w:rsidR="007B2DBB" w:rsidRPr="00A607CA" w:rsidRDefault="007B2DBB" w:rsidP="00996AE8">
      <w:pPr>
        <w:pStyle w:val="Odstavecseseznamem"/>
        <w:ind w:left="567"/>
        <w:contextualSpacing w:val="0"/>
        <w:jc w:val="both"/>
        <w:rPr>
          <w:rFonts w:ascii="Garamond" w:hAnsi="Garamond" w:cstheme="minorHAnsi"/>
        </w:rPr>
      </w:pPr>
    </w:p>
    <w:p w14:paraId="0A539267" w14:textId="77777777" w:rsidR="007B2DBB" w:rsidRDefault="007B2DBB" w:rsidP="007B2DBB">
      <w:pPr>
        <w:jc w:val="both"/>
        <w:rPr>
          <w:rFonts w:ascii="Garamond" w:hAnsi="Garamond" w:cstheme="minorHAnsi"/>
          <w:b/>
        </w:rPr>
      </w:pPr>
      <w:r w:rsidRPr="00E46D40">
        <w:rPr>
          <w:rFonts w:ascii="Garamond" w:hAnsi="Garamond" w:cstheme="minorHAnsi"/>
          <w:b/>
        </w:rPr>
        <w:t>Smluvní strany tímto výslovně prohlašují, že tato Smlouva vyjadřuje jejich pravou a svobodnou vůli, na důkaz čehož připojují níže své podpisy.</w:t>
      </w:r>
    </w:p>
    <w:p w14:paraId="5987352B" w14:textId="77777777" w:rsidR="00324B59" w:rsidRPr="00E46D40" w:rsidRDefault="00324B59" w:rsidP="007B2DBB">
      <w:pPr>
        <w:jc w:val="both"/>
        <w:rPr>
          <w:rFonts w:ascii="Garamond" w:hAnsi="Garamond" w:cstheme="min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70"/>
      </w:tblGrid>
      <w:tr w:rsidR="007B2DBB" w:rsidRPr="00E46D40" w14:paraId="37D8852F" w14:textId="77777777" w:rsidTr="00816AD1">
        <w:tc>
          <w:tcPr>
            <w:tcW w:w="4470" w:type="dxa"/>
          </w:tcPr>
          <w:p w14:paraId="43243DAE" w14:textId="77777777" w:rsidR="007B2DBB" w:rsidRPr="00E46D40" w:rsidRDefault="007B2DBB" w:rsidP="00816AD1">
            <w:pPr>
              <w:rPr>
                <w:rFonts w:ascii="Garamond" w:hAnsi="Garamond" w:cstheme="minorHAnsi"/>
              </w:rPr>
            </w:pPr>
            <w:r w:rsidRPr="00E46D40">
              <w:rPr>
                <w:rFonts w:ascii="Garamond" w:hAnsi="Garamond" w:cstheme="minorHAnsi"/>
              </w:rPr>
              <w:t>Místo: Praha</w:t>
            </w:r>
          </w:p>
        </w:tc>
        <w:tc>
          <w:tcPr>
            <w:tcW w:w="4470" w:type="dxa"/>
          </w:tcPr>
          <w:p w14:paraId="605F01E5" w14:textId="6047D69D" w:rsidR="007B2DBB" w:rsidRPr="00E46D40" w:rsidRDefault="007B2DBB" w:rsidP="00816AD1">
            <w:pPr>
              <w:rPr>
                <w:rFonts w:ascii="Garamond" w:hAnsi="Garamond" w:cstheme="minorHAnsi"/>
              </w:rPr>
            </w:pPr>
            <w:r w:rsidRPr="00E46D40">
              <w:rPr>
                <w:rFonts w:ascii="Garamond" w:hAnsi="Garamond" w:cstheme="minorHAnsi"/>
              </w:rPr>
              <w:t xml:space="preserve">Místo: </w:t>
            </w:r>
            <w:r w:rsidR="00F25E7A">
              <w:rPr>
                <w:rFonts w:ascii="Garamond" w:hAnsi="Garamond" w:cstheme="minorHAnsi"/>
              </w:rPr>
              <w:t>Praha</w:t>
            </w:r>
          </w:p>
        </w:tc>
      </w:tr>
      <w:tr w:rsidR="007B2DBB" w:rsidRPr="00E46D40" w14:paraId="18F23C0E" w14:textId="77777777" w:rsidTr="00816AD1">
        <w:trPr>
          <w:trHeight w:val="322"/>
        </w:trPr>
        <w:tc>
          <w:tcPr>
            <w:tcW w:w="4470" w:type="dxa"/>
          </w:tcPr>
          <w:p w14:paraId="087A317F" w14:textId="77777777" w:rsidR="007B2DBB" w:rsidRPr="00E46D40" w:rsidRDefault="007B2DBB" w:rsidP="00816AD1">
            <w:pPr>
              <w:rPr>
                <w:rFonts w:ascii="Garamond" w:hAnsi="Garamond" w:cstheme="minorHAnsi"/>
              </w:rPr>
            </w:pPr>
            <w:r w:rsidRPr="00E46D40">
              <w:rPr>
                <w:rFonts w:ascii="Garamond" w:hAnsi="Garamond" w:cstheme="minorHAnsi"/>
              </w:rPr>
              <w:t xml:space="preserve">Datum: </w:t>
            </w:r>
          </w:p>
        </w:tc>
        <w:tc>
          <w:tcPr>
            <w:tcW w:w="4470" w:type="dxa"/>
          </w:tcPr>
          <w:p w14:paraId="52C98B4F" w14:textId="77777777" w:rsidR="007B2DBB" w:rsidRPr="00E46D40" w:rsidRDefault="007B2DBB" w:rsidP="00816AD1">
            <w:pPr>
              <w:rPr>
                <w:rFonts w:ascii="Garamond" w:hAnsi="Garamond" w:cstheme="minorHAnsi"/>
              </w:rPr>
            </w:pPr>
            <w:r w:rsidRPr="00E46D40">
              <w:rPr>
                <w:rFonts w:ascii="Garamond" w:hAnsi="Garamond" w:cstheme="minorHAnsi"/>
              </w:rPr>
              <w:t xml:space="preserve">Datum: </w:t>
            </w:r>
          </w:p>
        </w:tc>
      </w:tr>
      <w:tr w:rsidR="007B2DBB" w:rsidRPr="00E46D40" w14:paraId="7969DE99" w14:textId="77777777" w:rsidTr="00816AD1">
        <w:trPr>
          <w:trHeight w:val="825"/>
        </w:trPr>
        <w:tc>
          <w:tcPr>
            <w:tcW w:w="4470" w:type="dxa"/>
          </w:tcPr>
          <w:p w14:paraId="1FF69D36" w14:textId="544DB908" w:rsidR="007B2DBB" w:rsidRPr="00E46D40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bookmarkStart w:id="1" w:name="_Hlk128044427"/>
            <w:r>
              <w:rPr>
                <w:rFonts w:ascii="Garamond" w:hAnsi="Garamond" w:cstheme="minorHAnsi"/>
              </w:rPr>
              <w:t xml:space="preserve">Za </w:t>
            </w:r>
            <w:r w:rsidR="005B60C5">
              <w:rPr>
                <w:rFonts w:ascii="Garamond" w:hAnsi="Garamond" w:cstheme="minorHAnsi"/>
                <w:b/>
                <w:bCs/>
              </w:rPr>
              <w:t>FAČR</w:t>
            </w:r>
          </w:p>
          <w:p w14:paraId="52F9D5F7" w14:textId="77777777" w:rsidR="007B2DBB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55924B28" w14:textId="15FC95EE" w:rsidR="007B2DBB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16109053" w14:textId="147D70DC" w:rsidR="007A3720" w:rsidRDefault="007A3720" w:rsidP="00816AD1">
            <w:pPr>
              <w:spacing w:after="0" w:line="240" w:lineRule="auto"/>
            </w:pPr>
          </w:p>
          <w:p w14:paraId="2B5F5DF2" w14:textId="04A3E555" w:rsidR="007A3720" w:rsidRDefault="007A3720" w:rsidP="00816AD1">
            <w:pPr>
              <w:spacing w:after="0" w:line="240" w:lineRule="auto"/>
            </w:pPr>
          </w:p>
          <w:p w14:paraId="1EA1AE3F" w14:textId="77777777" w:rsidR="007A3720" w:rsidRPr="00E46D40" w:rsidRDefault="007A3720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685A22FB" w14:textId="77777777" w:rsidR="007B2DBB" w:rsidRPr="00E46D40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r w:rsidRPr="00E46D40">
              <w:rPr>
                <w:rFonts w:ascii="Garamond" w:hAnsi="Garamond" w:cstheme="minorHAnsi"/>
              </w:rPr>
              <w:t>……………………………………</w:t>
            </w:r>
          </w:p>
        </w:tc>
        <w:tc>
          <w:tcPr>
            <w:tcW w:w="4470" w:type="dxa"/>
          </w:tcPr>
          <w:p w14:paraId="64FCF523" w14:textId="34535263" w:rsidR="007B2DBB" w:rsidRPr="00D65C40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Za </w:t>
            </w:r>
            <w:r w:rsidR="00ED5D36">
              <w:rPr>
                <w:rFonts w:ascii="Garamond" w:hAnsi="Garamond" w:cstheme="minorHAnsi"/>
                <w:b/>
                <w:bCs/>
              </w:rPr>
              <w:t>Technologie hlavního města Prahy, a.s.</w:t>
            </w:r>
          </w:p>
          <w:p w14:paraId="57552684" w14:textId="3BA65B7D" w:rsidR="007B2DBB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78109184" w14:textId="2EAB5D41" w:rsidR="007A3720" w:rsidRDefault="007A3720" w:rsidP="00816AD1">
            <w:pPr>
              <w:spacing w:after="0" w:line="240" w:lineRule="auto"/>
            </w:pPr>
          </w:p>
          <w:p w14:paraId="7F255A74" w14:textId="570C1E28" w:rsidR="007A3720" w:rsidRDefault="007A3720" w:rsidP="00816AD1">
            <w:pPr>
              <w:spacing w:after="0" w:line="240" w:lineRule="auto"/>
            </w:pPr>
          </w:p>
          <w:p w14:paraId="06EDD4DA" w14:textId="77777777" w:rsidR="007A3720" w:rsidRDefault="007A3720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78B377E2" w14:textId="77777777" w:rsidR="007B2DBB" w:rsidRPr="00E46D40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180B0274" w14:textId="77777777" w:rsidR="007B2DBB" w:rsidRPr="00E46D40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r w:rsidRPr="00E46D40">
              <w:rPr>
                <w:rFonts w:ascii="Garamond" w:hAnsi="Garamond" w:cstheme="minorHAnsi"/>
              </w:rPr>
              <w:t>……………………………………</w:t>
            </w:r>
          </w:p>
        </w:tc>
      </w:tr>
      <w:tr w:rsidR="007B2DBB" w:rsidRPr="00E46D40" w14:paraId="7A50220D" w14:textId="77777777" w:rsidTr="00816AD1">
        <w:trPr>
          <w:trHeight w:val="234"/>
        </w:trPr>
        <w:tc>
          <w:tcPr>
            <w:tcW w:w="4470" w:type="dxa"/>
          </w:tcPr>
          <w:p w14:paraId="6D8D9834" w14:textId="7A857F91" w:rsidR="007B2DBB" w:rsidRPr="00E46D40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r w:rsidRPr="00E46D40">
              <w:rPr>
                <w:rFonts w:ascii="Garamond" w:hAnsi="Garamond" w:cstheme="minorHAnsi"/>
              </w:rPr>
              <w:t xml:space="preserve">Ing. </w:t>
            </w:r>
            <w:r w:rsidR="00F25E7A">
              <w:rPr>
                <w:rFonts w:ascii="Garamond" w:hAnsi="Garamond" w:cstheme="minorHAnsi"/>
              </w:rPr>
              <w:t>Petr Fousek</w:t>
            </w:r>
          </w:p>
        </w:tc>
        <w:tc>
          <w:tcPr>
            <w:tcW w:w="4470" w:type="dxa"/>
          </w:tcPr>
          <w:p w14:paraId="6C14F035" w14:textId="2894BA61" w:rsidR="007B2DBB" w:rsidRPr="004B45C7" w:rsidRDefault="00F25E7A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Tomáš Jílek</w:t>
            </w:r>
          </w:p>
        </w:tc>
      </w:tr>
      <w:tr w:rsidR="007B2DBB" w:rsidRPr="00E46D40" w14:paraId="6BFC1657" w14:textId="77777777" w:rsidTr="00816AD1">
        <w:trPr>
          <w:trHeight w:val="336"/>
        </w:trPr>
        <w:tc>
          <w:tcPr>
            <w:tcW w:w="4470" w:type="dxa"/>
          </w:tcPr>
          <w:p w14:paraId="6F375637" w14:textId="44C05168" w:rsidR="007B2DBB" w:rsidRPr="00E46D40" w:rsidRDefault="007B2DBB" w:rsidP="00816AD1">
            <w:pPr>
              <w:rPr>
                <w:rFonts w:ascii="Garamond" w:hAnsi="Garamond" w:cstheme="minorHAnsi"/>
                <w:b/>
                <w:bCs/>
                <w:i/>
                <w:iCs/>
              </w:rPr>
            </w:pPr>
            <w:r w:rsidRPr="00E46D40">
              <w:rPr>
                <w:rFonts w:ascii="Garamond" w:hAnsi="Garamond" w:cstheme="minorHAnsi"/>
                <w:b/>
                <w:bCs/>
              </w:rPr>
              <w:t xml:space="preserve">předseda </w:t>
            </w:r>
          </w:p>
        </w:tc>
        <w:tc>
          <w:tcPr>
            <w:tcW w:w="4470" w:type="dxa"/>
          </w:tcPr>
          <w:p w14:paraId="38F361CF" w14:textId="2CE9F022" w:rsidR="007B2DBB" w:rsidRPr="004B45C7" w:rsidRDefault="007B2DBB" w:rsidP="00816AD1">
            <w:pPr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 xml:space="preserve"> </w:t>
            </w:r>
            <w:r w:rsidR="00F25E7A">
              <w:rPr>
                <w:rFonts w:ascii="Garamond" w:hAnsi="Garamond" w:cstheme="minorHAnsi"/>
                <w:b/>
                <w:bCs/>
              </w:rPr>
              <w:t>předseda představenstva</w:t>
            </w:r>
          </w:p>
        </w:tc>
      </w:tr>
      <w:bookmarkEnd w:id="1"/>
      <w:tr w:rsidR="007B2DBB" w:rsidRPr="00E46D40" w14:paraId="6B23FC08" w14:textId="77777777" w:rsidTr="00816AD1">
        <w:tc>
          <w:tcPr>
            <w:tcW w:w="4470" w:type="dxa"/>
          </w:tcPr>
          <w:p w14:paraId="40F20722" w14:textId="10C02FBB" w:rsidR="007B2DBB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37F3D3E7" w14:textId="20151CE3" w:rsidR="007A3720" w:rsidRDefault="007A3720" w:rsidP="00816AD1">
            <w:pPr>
              <w:spacing w:after="0" w:line="240" w:lineRule="auto"/>
            </w:pPr>
          </w:p>
          <w:p w14:paraId="6501ED61" w14:textId="77777777" w:rsidR="007A3720" w:rsidRDefault="007A3720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20088330" w14:textId="77777777" w:rsidR="007B2DBB" w:rsidRPr="00E46D40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019D8821" w14:textId="77777777" w:rsidR="007B2DBB" w:rsidRPr="00E46D40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r w:rsidRPr="00E46D40">
              <w:rPr>
                <w:rFonts w:ascii="Garamond" w:hAnsi="Garamond" w:cstheme="minorHAnsi"/>
              </w:rPr>
              <w:t>……………………………………</w:t>
            </w:r>
          </w:p>
        </w:tc>
        <w:tc>
          <w:tcPr>
            <w:tcW w:w="4470" w:type="dxa"/>
          </w:tcPr>
          <w:p w14:paraId="137C1C9A" w14:textId="6D0B6D62" w:rsidR="007B2DBB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6A703FA9" w14:textId="6F47285C" w:rsidR="007A3720" w:rsidRDefault="007A3720" w:rsidP="00816AD1">
            <w:pPr>
              <w:spacing w:after="0" w:line="240" w:lineRule="auto"/>
            </w:pPr>
          </w:p>
          <w:p w14:paraId="17E435D4" w14:textId="77777777" w:rsidR="007A3720" w:rsidRDefault="007A3720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1B6205C8" w14:textId="77777777" w:rsidR="007B2DBB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</w:p>
          <w:p w14:paraId="1A8493BA" w14:textId="77777777" w:rsidR="007B2DBB" w:rsidRPr="00E46D40" w:rsidRDefault="007B2DBB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……………………………………..</w:t>
            </w:r>
          </w:p>
        </w:tc>
      </w:tr>
      <w:tr w:rsidR="007B2DBB" w:rsidRPr="00E46D40" w14:paraId="48891B03" w14:textId="77777777" w:rsidTr="00816AD1">
        <w:tc>
          <w:tcPr>
            <w:tcW w:w="4470" w:type="dxa"/>
          </w:tcPr>
          <w:p w14:paraId="5E889C9A" w14:textId="544C8FA7" w:rsidR="007B2DBB" w:rsidRPr="00E46D40" w:rsidRDefault="00F25E7A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JUDr. Jiří Šidliák</w:t>
            </w:r>
            <w:r w:rsidR="007B2DBB" w:rsidRPr="00E46D40">
              <w:rPr>
                <w:rFonts w:ascii="Garamond" w:hAnsi="Garamond" w:cstheme="minorHAnsi"/>
              </w:rPr>
              <w:t xml:space="preserve"> </w:t>
            </w:r>
          </w:p>
        </w:tc>
        <w:tc>
          <w:tcPr>
            <w:tcW w:w="4470" w:type="dxa"/>
          </w:tcPr>
          <w:p w14:paraId="39ECB283" w14:textId="771C0982" w:rsidR="007B2DBB" w:rsidRPr="00E46D40" w:rsidRDefault="00F25E7A" w:rsidP="00816AD1">
            <w:pPr>
              <w:spacing w:after="0" w:line="240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Tomáš Novotný</w:t>
            </w:r>
          </w:p>
        </w:tc>
      </w:tr>
      <w:tr w:rsidR="007B2DBB" w:rsidRPr="00E46D40" w14:paraId="1D535A91" w14:textId="77777777" w:rsidTr="00E96860">
        <w:trPr>
          <w:trHeight w:val="270"/>
        </w:trPr>
        <w:tc>
          <w:tcPr>
            <w:tcW w:w="4470" w:type="dxa"/>
          </w:tcPr>
          <w:p w14:paraId="4EDE309C" w14:textId="2DF06FEF" w:rsidR="007B2DBB" w:rsidRPr="00E46D40" w:rsidRDefault="00E96860" w:rsidP="00816AD1">
            <w:pPr>
              <w:spacing w:after="0" w:line="240" w:lineRule="auto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1. místopředseda</w:t>
            </w:r>
          </w:p>
        </w:tc>
        <w:tc>
          <w:tcPr>
            <w:tcW w:w="4470" w:type="dxa"/>
          </w:tcPr>
          <w:p w14:paraId="3CFBA770" w14:textId="2426C332" w:rsidR="007B2DBB" w:rsidRPr="00A13C30" w:rsidRDefault="00F25E7A" w:rsidP="00816AD1">
            <w:pPr>
              <w:spacing w:after="0" w:line="240" w:lineRule="auto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místopředseda představenstva</w:t>
            </w:r>
          </w:p>
        </w:tc>
      </w:tr>
    </w:tbl>
    <w:p w14:paraId="21C62F37" w14:textId="2F127BF8" w:rsidR="007B2DBB" w:rsidRDefault="007B2DBB" w:rsidP="007B2DBB">
      <w:pPr>
        <w:spacing w:after="0" w:line="240" w:lineRule="auto"/>
      </w:pPr>
    </w:p>
    <w:p w14:paraId="732A9B41" w14:textId="4492F55D" w:rsidR="001408B0" w:rsidRDefault="001408B0" w:rsidP="007B2DBB">
      <w:pPr>
        <w:spacing w:after="0" w:line="240" w:lineRule="auto"/>
      </w:pPr>
    </w:p>
    <w:p w14:paraId="15A2CA80" w14:textId="28F1C8C7" w:rsidR="0044298A" w:rsidRDefault="00ED5D36" w:rsidP="007A3720">
      <w:pPr>
        <w:spacing w:line="240" w:lineRule="auto"/>
        <w:rPr>
          <w:rFonts w:ascii="Garamond" w:hAnsi="Garamond"/>
          <w:b/>
          <w:bCs/>
        </w:rPr>
      </w:pPr>
      <w:r>
        <w:br/>
      </w:r>
      <w:r>
        <w:br/>
      </w:r>
    </w:p>
    <w:p w14:paraId="19F1B608" w14:textId="213F5BE1" w:rsidR="001408B0" w:rsidRPr="00324B59" w:rsidRDefault="001408B0" w:rsidP="001408B0">
      <w:pPr>
        <w:rPr>
          <w:rFonts w:ascii="Garamond" w:hAnsi="Garamond"/>
          <w:b/>
          <w:bCs/>
        </w:rPr>
      </w:pPr>
      <w:r w:rsidRPr="00324B59">
        <w:rPr>
          <w:rFonts w:ascii="Garamond" w:hAnsi="Garamond"/>
          <w:b/>
          <w:bCs/>
        </w:rPr>
        <w:lastRenderedPageBreak/>
        <w:t>Příloha č. 1 – Technická specifikace reklamních plakátů na stožáry VO a do CLV na městském mobiliáři</w:t>
      </w:r>
    </w:p>
    <w:p w14:paraId="77DE432D" w14:textId="77777777" w:rsidR="001408B0" w:rsidRPr="00324B59" w:rsidRDefault="001408B0" w:rsidP="001408B0">
      <w:pPr>
        <w:pStyle w:val="Odstavecseseznamem"/>
        <w:numPr>
          <w:ilvl w:val="0"/>
          <w:numId w:val="3"/>
        </w:numPr>
        <w:rPr>
          <w:rFonts w:ascii="Garamond" w:hAnsi="Garamond"/>
        </w:rPr>
      </w:pPr>
      <w:r w:rsidRPr="00324B59">
        <w:rPr>
          <w:rFonts w:ascii="Garamond" w:hAnsi="Garamond"/>
        </w:rPr>
        <w:t xml:space="preserve">Plakáty do CLV městského mobiliáře </w:t>
      </w:r>
    </w:p>
    <w:p w14:paraId="61AC556C" w14:textId="77777777" w:rsidR="00515B83" w:rsidRPr="00324B59" w:rsidRDefault="00515B83" w:rsidP="00515B83">
      <w:pPr>
        <w:pStyle w:val="Odstavecseseznamem"/>
        <w:ind w:left="360"/>
        <w:rPr>
          <w:rFonts w:ascii="Garamond" w:hAnsi="Garamond"/>
        </w:rPr>
      </w:pPr>
    </w:p>
    <w:p w14:paraId="1F154B60" w14:textId="07582173" w:rsidR="001408B0" w:rsidRPr="00324B59" w:rsidRDefault="001408B0" w:rsidP="00515B83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>Formát:</w:t>
      </w:r>
    </w:p>
    <w:p w14:paraId="0EF95C66" w14:textId="77777777" w:rsidR="001408B0" w:rsidRPr="00324B59" w:rsidRDefault="001408B0" w:rsidP="00515B83">
      <w:pPr>
        <w:spacing w:after="0" w:line="240" w:lineRule="auto"/>
        <w:ind w:left="698"/>
        <w:rPr>
          <w:rFonts w:ascii="Garamond" w:hAnsi="Garamond"/>
        </w:rPr>
      </w:pPr>
      <w:r w:rsidRPr="00324B59">
        <w:rPr>
          <w:rFonts w:ascii="Garamond" w:hAnsi="Garamond"/>
        </w:rPr>
        <w:t>• šířka: 1185 mm</w:t>
      </w:r>
    </w:p>
    <w:p w14:paraId="0F5A6337" w14:textId="77777777" w:rsidR="001408B0" w:rsidRPr="00324B59" w:rsidRDefault="001408B0" w:rsidP="00515B83">
      <w:pPr>
        <w:spacing w:after="0" w:line="240" w:lineRule="auto"/>
        <w:ind w:left="698"/>
        <w:rPr>
          <w:rFonts w:ascii="Garamond" w:hAnsi="Garamond"/>
        </w:rPr>
      </w:pPr>
      <w:r w:rsidRPr="00324B59">
        <w:rPr>
          <w:rFonts w:ascii="Garamond" w:hAnsi="Garamond"/>
        </w:rPr>
        <w:t>• výška: 1750 mm</w:t>
      </w:r>
    </w:p>
    <w:p w14:paraId="785D98DA" w14:textId="77777777" w:rsidR="00515B83" w:rsidRPr="00324B59" w:rsidRDefault="001408B0" w:rsidP="00515B83">
      <w:pPr>
        <w:spacing w:after="0" w:line="240" w:lineRule="auto"/>
        <w:ind w:left="698"/>
        <w:rPr>
          <w:rFonts w:ascii="Garamond" w:hAnsi="Garamond"/>
        </w:rPr>
      </w:pPr>
      <w:r w:rsidRPr="00324B59">
        <w:rPr>
          <w:rFonts w:ascii="Garamond" w:hAnsi="Garamond"/>
        </w:rPr>
        <w:t>• maximální viditelná plocha: 1100 x 1685 mm</w:t>
      </w:r>
    </w:p>
    <w:p w14:paraId="40CFFF95" w14:textId="77777777" w:rsidR="00515B83" w:rsidRPr="00324B59" w:rsidRDefault="00515B83" w:rsidP="00515B83">
      <w:pPr>
        <w:spacing w:after="0" w:line="240" w:lineRule="auto"/>
        <w:ind w:left="698"/>
        <w:rPr>
          <w:rFonts w:ascii="Garamond" w:hAnsi="Garamond"/>
        </w:rPr>
      </w:pPr>
    </w:p>
    <w:p w14:paraId="32EDA96B" w14:textId="23B2B4ED" w:rsidR="001408B0" w:rsidRPr="00324B59" w:rsidRDefault="001408B0" w:rsidP="00515B83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>Kvalita papíru:</w:t>
      </w:r>
    </w:p>
    <w:p w14:paraId="628947DC" w14:textId="77777777" w:rsidR="001408B0" w:rsidRPr="00324B59" w:rsidRDefault="001408B0" w:rsidP="00515B83">
      <w:p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>• 150 g/m2</w:t>
      </w:r>
    </w:p>
    <w:p w14:paraId="4796A288" w14:textId="77777777" w:rsidR="001408B0" w:rsidRPr="00324B59" w:rsidRDefault="001408B0" w:rsidP="00515B83">
      <w:p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>• bezdřevý</w:t>
      </w:r>
    </w:p>
    <w:p w14:paraId="78E60C8D" w14:textId="77777777" w:rsidR="001408B0" w:rsidRPr="00324B59" w:rsidRDefault="001408B0" w:rsidP="00515B83">
      <w:p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>• matný nátěr</w:t>
      </w:r>
    </w:p>
    <w:p w14:paraId="2C7C7290" w14:textId="77777777" w:rsidR="001408B0" w:rsidRPr="00324B59" w:rsidRDefault="001408B0" w:rsidP="00515B83">
      <w:p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>• tisk na spad</w:t>
      </w:r>
    </w:p>
    <w:p w14:paraId="44493BED" w14:textId="77777777" w:rsidR="00515B83" w:rsidRPr="00324B59" w:rsidRDefault="00515B83" w:rsidP="00515B83">
      <w:pPr>
        <w:spacing w:after="0" w:line="240" w:lineRule="auto"/>
        <w:ind w:left="709"/>
        <w:rPr>
          <w:rFonts w:ascii="Garamond" w:hAnsi="Garamond"/>
        </w:rPr>
      </w:pPr>
    </w:p>
    <w:p w14:paraId="5CF520FA" w14:textId="29A89EA2" w:rsidR="00515B83" w:rsidRPr="00324B59" w:rsidRDefault="001408B0" w:rsidP="00515B83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>Ostatní parametry a podmínky:</w:t>
      </w:r>
    </w:p>
    <w:p w14:paraId="793CB7DF" w14:textId="5E7C99DE" w:rsidR="00515B83" w:rsidRPr="00324B59" w:rsidRDefault="00515B83" w:rsidP="00515B83">
      <w:p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 xml:space="preserve">• </w:t>
      </w:r>
      <w:r w:rsidR="001408B0" w:rsidRPr="00324B59">
        <w:rPr>
          <w:rFonts w:ascii="Garamond" w:hAnsi="Garamond"/>
        </w:rPr>
        <w:t>Motiv tisknout na celou plochu papíru, nedávat do rámečku</w:t>
      </w:r>
    </w:p>
    <w:p w14:paraId="4E9D74EA" w14:textId="6D27BF19" w:rsidR="001408B0" w:rsidRPr="00324B59" w:rsidRDefault="00515B83" w:rsidP="00515B83">
      <w:p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 xml:space="preserve">• </w:t>
      </w:r>
      <w:r w:rsidR="001408B0" w:rsidRPr="00324B59">
        <w:rPr>
          <w:rFonts w:ascii="Garamond" w:hAnsi="Garamond"/>
        </w:rPr>
        <w:t>Rezerva počtu plakátů navíc min. 15-20 %</w:t>
      </w:r>
    </w:p>
    <w:p w14:paraId="1210EA32" w14:textId="370DF9C2" w:rsidR="001712E8" w:rsidRPr="00324B59" w:rsidRDefault="001712E8" w:rsidP="001408B0">
      <w:pPr>
        <w:rPr>
          <w:rFonts w:ascii="Garamond" w:hAnsi="Garamond"/>
        </w:rPr>
      </w:pPr>
    </w:p>
    <w:p w14:paraId="4BE2060D" w14:textId="0AABC9E7" w:rsidR="001408B0" w:rsidRPr="00324B59" w:rsidRDefault="001408B0" w:rsidP="001408B0">
      <w:pPr>
        <w:pStyle w:val="Odstavecseseznamem"/>
        <w:numPr>
          <w:ilvl w:val="0"/>
          <w:numId w:val="3"/>
        </w:numPr>
        <w:rPr>
          <w:rFonts w:ascii="Garamond" w:hAnsi="Garamond"/>
        </w:rPr>
      </w:pPr>
      <w:r w:rsidRPr="00324B59">
        <w:rPr>
          <w:rFonts w:ascii="Garamond" w:hAnsi="Garamond"/>
        </w:rPr>
        <w:t xml:space="preserve">Plakáty na stožáry VO </w:t>
      </w:r>
    </w:p>
    <w:p w14:paraId="771239C6" w14:textId="77777777" w:rsidR="00515B83" w:rsidRPr="00324B59" w:rsidRDefault="00515B83" w:rsidP="00515B83">
      <w:pPr>
        <w:pStyle w:val="Odstavecseseznamem"/>
        <w:ind w:left="360"/>
        <w:rPr>
          <w:rFonts w:ascii="Garamond" w:hAnsi="Garamond"/>
        </w:rPr>
      </w:pPr>
    </w:p>
    <w:p w14:paraId="390F00C8" w14:textId="3F7482A3" w:rsidR="001408B0" w:rsidRPr="00324B59" w:rsidRDefault="001408B0" w:rsidP="00515B83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24B59">
        <w:rPr>
          <w:rFonts w:ascii="Garamond" w:hAnsi="Garamond"/>
        </w:rPr>
        <w:t>Formát</w:t>
      </w:r>
      <w:r w:rsidR="005B510B" w:rsidRPr="00324B59">
        <w:rPr>
          <w:rFonts w:ascii="Garamond" w:hAnsi="Garamond"/>
        </w:rPr>
        <w:t xml:space="preserve"> A1</w:t>
      </w:r>
      <w:r w:rsidRPr="00324B59">
        <w:rPr>
          <w:rFonts w:ascii="Garamond" w:hAnsi="Garamond"/>
        </w:rPr>
        <w:t>:</w:t>
      </w:r>
    </w:p>
    <w:p w14:paraId="0F9DDAE4" w14:textId="515D9072" w:rsidR="001408B0" w:rsidRPr="00324B59" w:rsidRDefault="001408B0" w:rsidP="00515B83">
      <w:p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 xml:space="preserve">• šířka: </w:t>
      </w:r>
      <w:r w:rsidR="005B510B" w:rsidRPr="00324B59">
        <w:rPr>
          <w:rFonts w:ascii="Garamond" w:hAnsi="Garamond"/>
        </w:rPr>
        <w:t>594</w:t>
      </w:r>
      <w:r w:rsidR="00697B74">
        <w:rPr>
          <w:rFonts w:ascii="Garamond" w:hAnsi="Garamond"/>
        </w:rPr>
        <w:t xml:space="preserve"> </w:t>
      </w:r>
      <w:r w:rsidRPr="00324B59">
        <w:rPr>
          <w:rFonts w:ascii="Garamond" w:hAnsi="Garamond"/>
        </w:rPr>
        <w:t>mm</w:t>
      </w:r>
    </w:p>
    <w:p w14:paraId="35E31553" w14:textId="6DAE447C" w:rsidR="001408B0" w:rsidRPr="00324B59" w:rsidRDefault="001408B0" w:rsidP="00515B83">
      <w:p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 xml:space="preserve">• výška: </w:t>
      </w:r>
      <w:r w:rsidR="005B510B" w:rsidRPr="00324B59">
        <w:rPr>
          <w:rFonts w:ascii="Garamond" w:hAnsi="Garamond"/>
        </w:rPr>
        <w:t>841</w:t>
      </w:r>
      <w:r w:rsidRPr="00324B59">
        <w:rPr>
          <w:rFonts w:ascii="Garamond" w:hAnsi="Garamond"/>
        </w:rPr>
        <w:t xml:space="preserve"> mm</w:t>
      </w:r>
    </w:p>
    <w:p w14:paraId="776934F2" w14:textId="77777777" w:rsidR="00515B83" w:rsidRPr="00324B59" w:rsidRDefault="001408B0" w:rsidP="00515B83">
      <w:pPr>
        <w:spacing w:after="0" w:line="240" w:lineRule="auto"/>
        <w:ind w:left="709"/>
        <w:rPr>
          <w:rFonts w:ascii="Garamond" w:hAnsi="Garamond"/>
        </w:rPr>
      </w:pPr>
      <w:r w:rsidRPr="00324B59">
        <w:rPr>
          <w:rFonts w:ascii="Garamond" w:hAnsi="Garamond"/>
        </w:rPr>
        <w:t xml:space="preserve">• maximální viditelná plocha: </w:t>
      </w:r>
      <w:r w:rsidR="005B510B" w:rsidRPr="00324B59">
        <w:rPr>
          <w:rFonts w:ascii="Garamond" w:hAnsi="Garamond"/>
        </w:rPr>
        <w:t>š. 575</w:t>
      </w:r>
      <w:r w:rsidRPr="00324B59">
        <w:rPr>
          <w:rFonts w:ascii="Garamond" w:hAnsi="Garamond"/>
        </w:rPr>
        <w:t xml:space="preserve"> x </w:t>
      </w:r>
      <w:r w:rsidR="005B510B" w:rsidRPr="00324B59">
        <w:rPr>
          <w:rFonts w:ascii="Garamond" w:hAnsi="Garamond"/>
        </w:rPr>
        <w:t>v. 820</w:t>
      </w:r>
      <w:r w:rsidRPr="00324B59">
        <w:rPr>
          <w:rFonts w:ascii="Garamond" w:hAnsi="Garamond"/>
        </w:rPr>
        <w:t xml:space="preserve"> mm</w:t>
      </w:r>
    </w:p>
    <w:p w14:paraId="066E68D1" w14:textId="77777777" w:rsidR="00515B83" w:rsidRPr="00324B59" w:rsidRDefault="00515B83" w:rsidP="00515B83">
      <w:pPr>
        <w:spacing w:after="0" w:line="240" w:lineRule="auto"/>
        <w:ind w:left="709"/>
        <w:rPr>
          <w:rFonts w:ascii="Garamond" w:hAnsi="Garamond"/>
        </w:rPr>
      </w:pPr>
    </w:p>
    <w:p w14:paraId="7E0C1E9C" w14:textId="204BF503" w:rsidR="001408B0" w:rsidRPr="00324B59" w:rsidRDefault="001408B0" w:rsidP="00515B83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24B59">
        <w:rPr>
          <w:rFonts w:ascii="Garamond" w:hAnsi="Garamond"/>
        </w:rPr>
        <w:t>Rezerva počtu plakátů navíc min. 10 %</w:t>
      </w:r>
    </w:p>
    <w:p w14:paraId="0964FE99" w14:textId="77777777" w:rsidR="00515B83" w:rsidRPr="00324B59" w:rsidRDefault="00515B83" w:rsidP="00515B83">
      <w:pPr>
        <w:pStyle w:val="Odstavecseseznamem"/>
        <w:spacing w:after="0" w:line="240" w:lineRule="auto"/>
        <w:rPr>
          <w:rFonts w:ascii="Garamond" w:hAnsi="Garamond"/>
        </w:rPr>
      </w:pPr>
    </w:p>
    <w:p w14:paraId="4633F088" w14:textId="7D95FFA2" w:rsidR="001408B0" w:rsidRPr="00324B59" w:rsidRDefault="00515B83" w:rsidP="00324B59">
      <w:pPr>
        <w:spacing w:after="0" w:line="240" w:lineRule="auto"/>
        <w:rPr>
          <w:rFonts w:ascii="Garamond" w:hAnsi="Garamond"/>
          <w:b/>
          <w:bCs/>
        </w:rPr>
      </w:pPr>
      <w:r w:rsidRPr="00324B59">
        <w:rPr>
          <w:rFonts w:ascii="Garamond" w:hAnsi="Garamond"/>
        </w:rPr>
        <w:br w:type="page"/>
      </w:r>
      <w:r w:rsidR="001408B0" w:rsidRPr="00324B59">
        <w:rPr>
          <w:rFonts w:ascii="Garamond" w:hAnsi="Garamond"/>
          <w:b/>
          <w:bCs/>
        </w:rPr>
        <w:lastRenderedPageBreak/>
        <w:t>Příloha č. 2 - Specifikace bannerové kampaně a banneru v newsletteru</w:t>
      </w:r>
    </w:p>
    <w:p w14:paraId="668534FE" w14:textId="1F4ED768" w:rsidR="00ED5D36" w:rsidRPr="00324B59" w:rsidRDefault="00515B83">
      <w:pPr>
        <w:spacing w:after="0" w:line="240" w:lineRule="auto"/>
        <w:rPr>
          <w:rFonts w:ascii="Garamond" w:hAnsi="Garamond"/>
        </w:rPr>
      </w:pPr>
      <w:r w:rsidRPr="00324B59">
        <w:rPr>
          <w:rFonts w:ascii="Garamond" w:hAnsi="Garamond"/>
        </w:rPr>
        <w:t xml:space="preserve">Realizace </w:t>
      </w:r>
      <w:r w:rsidR="00036C0A" w:rsidRPr="00324B59">
        <w:rPr>
          <w:rFonts w:ascii="Garamond" w:hAnsi="Garamond"/>
        </w:rPr>
        <w:t>2x týdenní bannerov</w:t>
      </w:r>
      <w:r w:rsidRPr="00324B59">
        <w:rPr>
          <w:rFonts w:ascii="Garamond" w:hAnsi="Garamond"/>
        </w:rPr>
        <w:t>é</w:t>
      </w:r>
      <w:r w:rsidR="00036C0A" w:rsidRPr="00324B59">
        <w:rPr>
          <w:rFonts w:ascii="Garamond" w:hAnsi="Garamond"/>
        </w:rPr>
        <w:t xml:space="preserve"> kampa</w:t>
      </w:r>
      <w:r w:rsidRPr="00324B59">
        <w:rPr>
          <w:rFonts w:ascii="Garamond" w:hAnsi="Garamond"/>
        </w:rPr>
        <w:t>ně</w:t>
      </w:r>
    </w:p>
    <w:p w14:paraId="0E0F52C2" w14:textId="77777777" w:rsidR="00515B83" w:rsidRPr="00324B59" w:rsidRDefault="00515B83">
      <w:pPr>
        <w:spacing w:after="0" w:line="240" w:lineRule="auto"/>
        <w:rPr>
          <w:rFonts w:ascii="Garamond" w:hAnsi="Garamond"/>
        </w:rPr>
      </w:pPr>
    </w:p>
    <w:p w14:paraId="5AB6E9F5" w14:textId="40D8ED73" w:rsidR="00036C0A" w:rsidRPr="00324B59" w:rsidRDefault="00515B83">
      <w:pPr>
        <w:spacing w:after="0" w:line="240" w:lineRule="auto"/>
        <w:rPr>
          <w:rFonts w:ascii="Garamond" w:hAnsi="Garamond"/>
        </w:rPr>
      </w:pPr>
      <w:r w:rsidRPr="00324B59">
        <w:rPr>
          <w:rFonts w:ascii="Garamond" w:hAnsi="Garamond"/>
        </w:rPr>
        <w:t>K</w:t>
      </w:r>
      <w:r w:rsidR="00036C0A" w:rsidRPr="00324B59">
        <w:rPr>
          <w:rFonts w:ascii="Garamond" w:hAnsi="Garamond"/>
        </w:rPr>
        <w:t>ombinace bannerů na desktopové a mobilní verzi</w:t>
      </w:r>
    </w:p>
    <w:p w14:paraId="11CA7E89" w14:textId="5D1A2BFE" w:rsidR="00036C0A" w:rsidRPr="00324B59" w:rsidRDefault="00036C0A" w:rsidP="00515B83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324B59">
        <w:rPr>
          <w:rFonts w:ascii="Garamond" w:hAnsi="Garamond"/>
        </w:rPr>
        <w:t xml:space="preserve">1 banner v rámci desktopové verze webu, na výběr z formátů 640x360 </w:t>
      </w:r>
      <w:proofErr w:type="spellStart"/>
      <w:r w:rsidRPr="00324B59">
        <w:rPr>
          <w:rFonts w:ascii="Garamond" w:hAnsi="Garamond"/>
        </w:rPr>
        <w:t>px</w:t>
      </w:r>
      <w:proofErr w:type="spellEnd"/>
      <w:r w:rsidRPr="00324B59">
        <w:rPr>
          <w:rFonts w:ascii="Garamond" w:hAnsi="Garamond"/>
        </w:rPr>
        <w:t xml:space="preserve">, 970x90 </w:t>
      </w:r>
      <w:proofErr w:type="spellStart"/>
      <w:r w:rsidRPr="00324B59">
        <w:rPr>
          <w:rFonts w:ascii="Garamond" w:hAnsi="Garamond"/>
        </w:rPr>
        <w:t>px</w:t>
      </w:r>
      <w:proofErr w:type="spellEnd"/>
      <w:r w:rsidRPr="00324B59">
        <w:rPr>
          <w:rFonts w:ascii="Garamond" w:hAnsi="Garamond"/>
        </w:rPr>
        <w:t xml:space="preserve">, </w:t>
      </w:r>
      <w:r w:rsidR="00515B83" w:rsidRPr="00324B59">
        <w:rPr>
          <w:rFonts w:ascii="Garamond" w:hAnsi="Garamond"/>
        </w:rPr>
        <w:br/>
      </w:r>
      <w:r w:rsidRPr="00324B59">
        <w:rPr>
          <w:rFonts w:ascii="Garamond" w:hAnsi="Garamond"/>
        </w:rPr>
        <w:t xml:space="preserve">nebo 160x600 </w:t>
      </w:r>
      <w:proofErr w:type="spellStart"/>
      <w:r w:rsidRPr="00324B59">
        <w:rPr>
          <w:rFonts w:ascii="Garamond" w:hAnsi="Garamond"/>
        </w:rPr>
        <w:t>px</w:t>
      </w:r>
      <w:proofErr w:type="spellEnd"/>
    </w:p>
    <w:p w14:paraId="5B9E1516" w14:textId="77777777" w:rsidR="00ED5D36" w:rsidRPr="00324B59" w:rsidRDefault="00036C0A" w:rsidP="00515B83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324B59">
        <w:rPr>
          <w:rFonts w:ascii="Garamond" w:hAnsi="Garamond"/>
        </w:rPr>
        <w:t xml:space="preserve">1 banner v rámci mobilní verze webu, formátů 1200x600 </w:t>
      </w:r>
      <w:proofErr w:type="spellStart"/>
      <w:r w:rsidRPr="00324B59">
        <w:rPr>
          <w:rFonts w:ascii="Garamond" w:hAnsi="Garamond"/>
        </w:rPr>
        <w:t>px</w:t>
      </w:r>
      <w:proofErr w:type="spellEnd"/>
    </w:p>
    <w:p w14:paraId="06703BCA" w14:textId="77777777" w:rsidR="00ED5D36" w:rsidRPr="00324B59" w:rsidRDefault="00ED5D36" w:rsidP="00ED5D36">
      <w:pPr>
        <w:spacing w:after="0" w:line="240" w:lineRule="auto"/>
        <w:rPr>
          <w:rFonts w:ascii="Garamond" w:hAnsi="Garamond"/>
        </w:rPr>
      </w:pPr>
    </w:p>
    <w:p w14:paraId="1026062B" w14:textId="77777777" w:rsidR="00ED5D36" w:rsidRPr="00324B59" w:rsidRDefault="00ED5D36" w:rsidP="00ED5D36">
      <w:pPr>
        <w:spacing w:after="0" w:line="240" w:lineRule="auto"/>
        <w:rPr>
          <w:rFonts w:ascii="Garamond" w:hAnsi="Garamond"/>
        </w:rPr>
      </w:pPr>
      <w:r w:rsidRPr="00324B59">
        <w:rPr>
          <w:rFonts w:ascii="Garamond" w:hAnsi="Garamond"/>
        </w:rPr>
        <w:t xml:space="preserve">Termíny: </w:t>
      </w:r>
    </w:p>
    <w:p w14:paraId="411312D0" w14:textId="3FE041C9" w:rsidR="00ED5D36" w:rsidRPr="007A3720" w:rsidRDefault="00ED5D36" w:rsidP="007A3720">
      <w:pPr>
        <w:pStyle w:val="Odstavecseseznamem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324B59">
        <w:rPr>
          <w:rFonts w:ascii="Garamond" w:hAnsi="Garamond"/>
        </w:rPr>
        <w:t>1</w:t>
      </w:r>
      <w:r w:rsidRPr="007A3720">
        <w:rPr>
          <w:rFonts w:ascii="Garamond" w:hAnsi="Garamond"/>
        </w:rPr>
        <w:t xml:space="preserve"> týden květen 2023</w:t>
      </w:r>
      <w:r w:rsidR="007A3720">
        <w:rPr>
          <w:rFonts w:ascii="Garamond" w:hAnsi="Garamond"/>
        </w:rPr>
        <w:t xml:space="preserve"> (případně dle dohody stran možný posun)</w:t>
      </w:r>
    </w:p>
    <w:p w14:paraId="2E334631" w14:textId="672F31B1" w:rsidR="007A6925" w:rsidRPr="00324B59" w:rsidRDefault="00ED5D36" w:rsidP="00ED5D36">
      <w:pPr>
        <w:pStyle w:val="Odstavecseseznamem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324B59">
        <w:rPr>
          <w:rFonts w:ascii="Garamond" w:hAnsi="Garamond"/>
        </w:rPr>
        <w:t>1 týden září 2023</w:t>
      </w:r>
      <w:r w:rsidR="007A3720">
        <w:rPr>
          <w:rFonts w:ascii="Garamond" w:hAnsi="Garamond"/>
        </w:rPr>
        <w:t xml:space="preserve"> (případně dle dohody stran možný posun)</w:t>
      </w:r>
      <w:r w:rsidR="007A6925" w:rsidRPr="00324B59">
        <w:rPr>
          <w:rFonts w:ascii="Garamond" w:hAnsi="Garamond"/>
        </w:rPr>
        <w:br w:type="page"/>
      </w:r>
    </w:p>
    <w:p w14:paraId="5205C53B" w14:textId="573985E1" w:rsidR="00324B59" w:rsidRPr="00324B59" w:rsidRDefault="007A6925" w:rsidP="00324B59">
      <w:pPr>
        <w:jc w:val="both"/>
        <w:rPr>
          <w:rFonts w:ascii="Garamond" w:hAnsi="Garamond"/>
          <w:b/>
          <w:bCs/>
        </w:rPr>
      </w:pPr>
      <w:r w:rsidRPr="00324B59">
        <w:rPr>
          <w:rFonts w:ascii="Garamond" w:hAnsi="Garamond"/>
          <w:b/>
          <w:bCs/>
        </w:rPr>
        <w:lastRenderedPageBreak/>
        <w:t xml:space="preserve">Příloha č. 3 - Konkrétní seznam </w:t>
      </w:r>
      <w:r w:rsidR="00324B59" w:rsidRPr="00324B59">
        <w:rPr>
          <w:rFonts w:ascii="Garamond" w:hAnsi="Garamond"/>
          <w:b/>
          <w:bCs/>
        </w:rPr>
        <w:t xml:space="preserve">čísel stožárů a </w:t>
      </w:r>
      <w:r w:rsidRPr="00324B59">
        <w:rPr>
          <w:rFonts w:ascii="Garamond" w:hAnsi="Garamond"/>
          <w:b/>
          <w:bCs/>
        </w:rPr>
        <w:t>lokalit CLV pro umístění reklamních ploch FAČR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280"/>
        <w:gridCol w:w="1780"/>
      </w:tblGrid>
      <w:tr w:rsidR="00324B59" w:rsidRPr="00324B59" w14:paraId="36EDB01C" w14:textId="77777777" w:rsidTr="00324B59">
        <w:trPr>
          <w:trHeight w:val="2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2F4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cs-CZ"/>
              </w:rPr>
              <w:t>ID stožáru VO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C7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CD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</w:tr>
      <w:tr w:rsidR="00324B59" w:rsidRPr="00324B59" w14:paraId="55CC82D4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E58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500594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778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8B0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32821CC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F7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500596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0FD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63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370D4F9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5ED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501191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56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836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B2375AB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F4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501192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499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633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1C34FEA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E84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617077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C13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Evropská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373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8102F6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B0A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617097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DF3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Evropská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43A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1E88D004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AFC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617109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0B6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Evropská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664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5D2F37F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DB5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617121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0AD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Evropská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0A0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81DDAC9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007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617125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B67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Evropská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45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2DC4083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362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617147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181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Evropská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151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8C4689F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D90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617151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9B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Evropská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0EC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88ED05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84A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617157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2C9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Evropská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B8C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1F191E96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609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619251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74C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835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D5DB961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17A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619253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C6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73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F1E722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9D3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619255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600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430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A471D7B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4F3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619257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4BD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8D4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86400BA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ED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704332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138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Milady Horákové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FE4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DD4858B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CC3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101797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425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Jana Palacha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77D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6CE2981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160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101835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0E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Jana Palacha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9A0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716D578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E71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101837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5F0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Jana Palacha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CC4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91ABE21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402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101841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12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Jana Palacha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02D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59DEB583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64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103174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D79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1D2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EFFC9A3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59F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103175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6A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2E2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7AE8167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5DE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103176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B37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D81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135B57E3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30F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103178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12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770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93646D4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65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103179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37B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BAC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EBE644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10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106746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AE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59C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0A75888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3BE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106755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C7F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náměstí Republiky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2D6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5A7C817D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0EE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A84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AF5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A4116B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782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E8B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2E8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2F7EC7C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34F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B01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541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7642508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48D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E47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43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5FDAB09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7AD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BF1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91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1E97C5D0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C0F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454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A4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45A356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55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C9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5FA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B6C4A63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B9A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3FB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451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CD858FA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94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D09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7AA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3C118FB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3AA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C54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050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B6659EC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4DA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816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E01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FD34684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99D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7E2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A9F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5195098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FC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235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AE5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8BA225A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CE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20E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00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54EF087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6C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5E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30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7FC922D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69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102851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80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607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F24645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780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106466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85E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Senovážné náměstí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743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1A4EDB1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ACE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000661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F15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Strašnická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F4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389BA85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87E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003619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7DB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Strašnická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86D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58FE22D7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BC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003620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BF5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Strašnická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F7E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94BC6F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837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003621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8BF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Strašnická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D98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FE9D01C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F72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001989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ACA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Slavie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E36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E33EAD7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B42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001990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873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Slavie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2E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32F7853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173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001991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6E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Slavie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131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EE15E71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D97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EDB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Slavie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5BC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153E81E7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190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001993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E9E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Slavie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C85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1EEA810D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306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001994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46E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Slavie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B63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B3E639D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891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001995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22F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Slavie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E44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9A3DE73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667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lastRenderedPageBreak/>
              <w:t>001996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4F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Slavie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542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EF449B4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99A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001997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48A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Slavie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18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01B981B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5C6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700837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9D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Výstaviště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8C1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ED4BCB3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308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700838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9A7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Výstaviště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7E9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8FE5B77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084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700848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53C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Výstaviště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EE9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80C4E58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60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700878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60D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Výstaviště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700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99D7551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B9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700889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D40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Výstaviště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4B9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5C791AFB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6F8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702746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81D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Výstaviště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67C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5FD3732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048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702796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4D6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Výstaviště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BE7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1C610BA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B70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702803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023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Výstaviště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228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4E2E6A8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10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703666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F1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U Výstaviště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298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A4FC42C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8C2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203550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FB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Vinohradská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17C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F225F8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CEB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203552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DAB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Vinohradská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5ED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2C28C19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C4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203572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8A2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Vinohradská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E6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282F8B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76A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203574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706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Vinohradská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9B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70CCECC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AC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002175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D69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Vladivostocká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2E1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A141864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228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002177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F2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Vladivostocká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6B7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F858C8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6B7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002178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F52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Vladivostocká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684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4595C8A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28F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002179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252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Vladivostocká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52E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F40EE9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D91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301659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778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Votická + Želivského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71B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404A2B6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F04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303403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953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Votická + Želivského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DBA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3CE84A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0DB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303404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DB9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Votická + Želivského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C25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AD6A044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63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303406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6FB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Votická + Želivského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C43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9B67467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175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303417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094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Votická + Želivského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AF0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1E290D89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98B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303418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83B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Votická + Želivského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D82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A56B81C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118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106384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D3F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Vrchlického sady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909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502CC48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006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106386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87B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Vrchlického sady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8EC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8D620C8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831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106392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D3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Vrchlického sady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A0F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282C326B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9F0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106394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B71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Vrchlického sady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C88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5106BF4D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EAC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106398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4E6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Vrchlického sady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854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1B83642C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CF2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106423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FCE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Vrchlického sady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00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AEFA6E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B07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106427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630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Vrchlického sady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C3B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143D591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0C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106431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12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Vrchlického sady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D93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F1687A0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C1E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13B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259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5FC5CB53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B47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A4B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6FE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29FF42C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1F0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E3E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E2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61CF2D78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2E8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A6B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66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73E27F9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EC4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CDC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13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7717EBF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6C2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F5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62C1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3179FDB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504F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C855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325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EC75610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37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639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4E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4446EE5E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85F8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52FC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69DD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0710DF72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76FE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001493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F3B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4EC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7FAF4DC5" w14:textId="77777777" w:rsidTr="00324B59">
        <w:trPr>
          <w:trHeight w:val="2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CB6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020382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0C57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469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24B59" w:rsidRPr="00324B59" w14:paraId="38D54BB0" w14:textId="77777777" w:rsidTr="00324B59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77E1" w14:textId="77777777" w:rsidR="00324B59" w:rsidRPr="00324B59" w:rsidRDefault="00324B59" w:rsidP="00324B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A936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587A" w14:textId="77777777" w:rsidR="00324B59" w:rsidRPr="00324B59" w:rsidRDefault="00324B59" w:rsidP="00324B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4B5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</w:tbl>
    <w:p w14:paraId="34FCADB5" w14:textId="77777777" w:rsidR="00324B59" w:rsidRPr="00324B59" w:rsidRDefault="00324B59" w:rsidP="00324B59">
      <w:pPr>
        <w:jc w:val="both"/>
        <w:rPr>
          <w:rFonts w:ascii="Garamond" w:hAnsi="Garamond" w:cstheme="minorHAnsi"/>
          <w:sz w:val="18"/>
          <w:szCs w:val="18"/>
        </w:rPr>
      </w:pPr>
    </w:p>
    <w:sectPr w:rsidR="00324B59" w:rsidRPr="00324B59" w:rsidSect="0070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CEC9" w14:textId="77777777" w:rsidR="00ED4C9D" w:rsidRDefault="00ED4C9D">
      <w:pPr>
        <w:spacing w:after="0" w:line="240" w:lineRule="auto"/>
      </w:pPr>
      <w:r>
        <w:separator/>
      </w:r>
    </w:p>
  </w:endnote>
  <w:endnote w:type="continuationSeparator" w:id="0">
    <w:p w14:paraId="0630E538" w14:textId="77777777" w:rsidR="00ED4C9D" w:rsidRDefault="00ED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1768" w14:textId="77777777" w:rsidR="00ED4C9D" w:rsidRDefault="00ED4C9D">
      <w:pPr>
        <w:spacing w:after="0" w:line="240" w:lineRule="auto"/>
      </w:pPr>
      <w:r>
        <w:separator/>
      </w:r>
    </w:p>
  </w:footnote>
  <w:footnote w:type="continuationSeparator" w:id="0">
    <w:p w14:paraId="4DA9438E" w14:textId="77777777" w:rsidR="00ED4C9D" w:rsidRDefault="00ED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445"/>
    <w:multiLevelType w:val="hybridMultilevel"/>
    <w:tmpl w:val="2C5060FA"/>
    <w:lvl w:ilvl="0" w:tplc="C36A37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0AF"/>
    <w:multiLevelType w:val="hybridMultilevel"/>
    <w:tmpl w:val="D4BEF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B31A6"/>
    <w:multiLevelType w:val="hybridMultilevel"/>
    <w:tmpl w:val="9978FF32"/>
    <w:lvl w:ilvl="0" w:tplc="DAA6BC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theme="minorHAnsi" w:hint="default"/>
        <w:b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F1829"/>
    <w:multiLevelType w:val="hybridMultilevel"/>
    <w:tmpl w:val="E04C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204"/>
    <w:multiLevelType w:val="hybridMultilevel"/>
    <w:tmpl w:val="F3D82F44"/>
    <w:lvl w:ilvl="0" w:tplc="951A7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759C"/>
    <w:multiLevelType w:val="hybridMultilevel"/>
    <w:tmpl w:val="77E40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4112"/>
    <w:multiLevelType w:val="hybridMultilevel"/>
    <w:tmpl w:val="8EA86A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96D79"/>
    <w:multiLevelType w:val="hybridMultilevel"/>
    <w:tmpl w:val="07746DCC"/>
    <w:lvl w:ilvl="0" w:tplc="B5389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13B"/>
    <w:multiLevelType w:val="hybridMultilevel"/>
    <w:tmpl w:val="9292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34B94"/>
    <w:multiLevelType w:val="hybridMultilevel"/>
    <w:tmpl w:val="75EC4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55CC"/>
    <w:multiLevelType w:val="hybridMultilevel"/>
    <w:tmpl w:val="FEEC4E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11C81"/>
    <w:multiLevelType w:val="multilevel"/>
    <w:tmpl w:val="2EC2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D259E0"/>
    <w:multiLevelType w:val="hybridMultilevel"/>
    <w:tmpl w:val="04E4E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B7D15"/>
    <w:multiLevelType w:val="hybridMultilevel"/>
    <w:tmpl w:val="A83EC4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91478">
    <w:abstractNumId w:val="12"/>
  </w:num>
  <w:num w:numId="2" w16cid:durableId="1577131674">
    <w:abstractNumId w:val="3"/>
  </w:num>
  <w:num w:numId="3" w16cid:durableId="1356730850">
    <w:abstractNumId w:val="11"/>
  </w:num>
  <w:num w:numId="4" w16cid:durableId="795872191">
    <w:abstractNumId w:val="13"/>
  </w:num>
  <w:num w:numId="5" w16cid:durableId="662512564">
    <w:abstractNumId w:val="10"/>
  </w:num>
  <w:num w:numId="6" w16cid:durableId="456142342">
    <w:abstractNumId w:val="8"/>
  </w:num>
  <w:num w:numId="7" w16cid:durableId="951210361">
    <w:abstractNumId w:val="9"/>
  </w:num>
  <w:num w:numId="8" w16cid:durableId="318507546">
    <w:abstractNumId w:val="6"/>
  </w:num>
  <w:num w:numId="9" w16cid:durableId="201795568">
    <w:abstractNumId w:val="1"/>
  </w:num>
  <w:num w:numId="10" w16cid:durableId="259337295">
    <w:abstractNumId w:val="14"/>
  </w:num>
  <w:num w:numId="11" w16cid:durableId="552539948">
    <w:abstractNumId w:val="5"/>
  </w:num>
  <w:num w:numId="12" w16cid:durableId="446631176">
    <w:abstractNumId w:val="7"/>
  </w:num>
  <w:num w:numId="13" w16cid:durableId="1098479688">
    <w:abstractNumId w:val="2"/>
  </w:num>
  <w:num w:numId="14" w16cid:durableId="1032926727">
    <w:abstractNumId w:val="4"/>
  </w:num>
  <w:num w:numId="15" w16cid:durableId="138709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BB"/>
    <w:rsid w:val="00036C0A"/>
    <w:rsid w:val="00074D15"/>
    <w:rsid w:val="00083CA8"/>
    <w:rsid w:val="000B4C3A"/>
    <w:rsid w:val="000F7F2B"/>
    <w:rsid w:val="00121298"/>
    <w:rsid w:val="001408B0"/>
    <w:rsid w:val="001712E8"/>
    <w:rsid w:val="001B4A7C"/>
    <w:rsid w:val="001B5BAB"/>
    <w:rsid w:val="00324B59"/>
    <w:rsid w:val="003C7194"/>
    <w:rsid w:val="0044298A"/>
    <w:rsid w:val="0044607B"/>
    <w:rsid w:val="00461EE8"/>
    <w:rsid w:val="004F5D6B"/>
    <w:rsid w:val="00515B83"/>
    <w:rsid w:val="00542319"/>
    <w:rsid w:val="00551218"/>
    <w:rsid w:val="005B510B"/>
    <w:rsid w:val="005B60C5"/>
    <w:rsid w:val="0066033B"/>
    <w:rsid w:val="00697B74"/>
    <w:rsid w:val="006B13EF"/>
    <w:rsid w:val="006E22E3"/>
    <w:rsid w:val="0070473F"/>
    <w:rsid w:val="007169A3"/>
    <w:rsid w:val="007648B2"/>
    <w:rsid w:val="007A3720"/>
    <w:rsid w:val="007A6925"/>
    <w:rsid w:val="007B15A5"/>
    <w:rsid w:val="007B2DBB"/>
    <w:rsid w:val="007C13E2"/>
    <w:rsid w:val="007D2BE9"/>
    <w:rsid w:val="008157F3"/>
    <w:rsid w:val="008451B1"/>
    <w:rsid w:val="008A06FD"/>
    <w:rsid w:val="008C7481"/>
    <w:rsid w:val="008C78B0"/>
    <w:rsid w:val="00935921"/>
    <w:rsid w:val="00996AE8"/>
    <w:rsid w:val="00A607CA"/>
    <w:rsid w:val="00A8507B"/>
    <w:rsid w:val="00AA7205"/>
    <w:rsid w:val="00B34556"/>
    <w:rsid w:val="00B37122"/>
    <w:rsid w:val="00C97DBD"/>
    <w:rsid w:val="00D01D9F"/>
    <w:rsid w:val="00D770BB"/>
    <w:rsid w:val="00DE3D14"/>
    <w:rsid w:val="00E46E10"/>
    <w:rsid w:val="00E96860"/>
    <w:rsid w:val="00ED4C9D"/>
    <w:rsid w:val="00ED5D36"/>
    <w:rsid w:val="00F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43AD"/>
  <w15:chartTrackingRefBased/>
  <w15:docId w15:val="{77D14FAE-CA84-8F4C-AD99-F8FFC4B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925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C7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DBB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7B2DB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DBB"/>
    <w:rPr>
      <w:kern w:val="0"/>
      <w:sz w:val="22"/>
      <w:szCs w:val="22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B2DB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C719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45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51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51B1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51B1"/>
    <w:rPr>
      <w:b/>
      <w:bCs/>
      <w:kern w:val="0"/>
      <w:sz w:val="20"/>
      <w:szCs w:val="2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9A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93592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B60C5"/>
    <w:rPr>
      <w:kern w:val="0"/>
      <w:sz w:val="22"/>
      <w:szCs w:val="22"/>
      <w14:ligatures w14:val="none"/>
    </w:rPr>
  </w:style>
  <w:style w:type="paragraph" w:styleId="Revize">
    <w:name w:val="Revision"/>
    <w:hidden/>
    <w:uiPriority w:val="99"/>
    <w:semiHidden/>
    <w:rsid w:val="00036C0A"/>
    <w:rPr>
      <w:kern w:val="0"/>
      <w:sz w:val="22"/>
      <w:szCs w:val="22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70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73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fotba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tbal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8A110FE88AC4F9FFD63CA161763CA" ma:contentTypeVersion="3" ma:contentTypeDescription="Vytvoří nový dokument" ma:contentTypeScope="" ma:versionID="b2559420d4df9b75018cbd0c51df5e3a">
  <xsd:schema xmlns:xsd="http://www.w3.org/2001/XMLSchema" xmlns:xs="http://www.w3.org/2001/XMLSchema" xmlns:p="http://schemas.microsoft.com/office/2006/metadata/properties" xmlns:ns3="55838c34-8a8b-4571-92f7-e224447dca29" targetNamespace="http://schemas.microsoft.com/office/2006/metadata/properties" ma:root="true" ma:fieldsID="ded04fb474a9dfba43d2af6056046790" ns3:_="">
    <xsd:import namespace="55838c34-8a8b-4571-92f7-e224447dc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38c34-8a8b-4571-92f7-e224447dc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B60CE-3977-4795-9E68-1448C741A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9CB11-D36D-4ECF-96D2-E192F3DEA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CF201-E60E-4259-9623-14791DCEB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38c34-8a8b-4571-92f7-e224447dc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518A7-E3AA-C34C-A997-F28BD93A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1875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jarovsky</dc:creator>
  <cp:keywords/>
  <dc:description/>
  <cp:lastModifiedBy>Vítová Petra</cp:lastModifiedBy>
  <cp:revision>3</cp:revision>
  <dcterms:created xsi:type="dcterms:W3CDTF">2023-06-13T11:40:00Z</dcterms:created>
  <dcterms:modified xsi:type="dcterms:W3CDTF">2023-06-13T11:58:00Z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2023-05-17T11:28:06Z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e7747de9-a3e9-48fd-be66-b36e9e56b737</vt:lpwstr>
  </property>
  <property fmtid="{D5CDD505-2E9C-101B-9397-08002B2CF9AE}" pid="8" name="MSIP_Label_53b2c928-728b-4698-a3fd-c5d03555aa71_ContentBits">
    <vt:lpwstr>0</vt:lpwstr>
  </property>
  <property fmtid="{D5CDD505-2E9C-101B-9397-08002B2CF9AE}" pid="9" name="ContentTypeId">
    <vt:lpwstr>0x01010050A8A110FE88AC4F9FFD63CA161763CA</vt:lpwstr>
  </property>
</Properties>
</file>