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53" w:rsidRPr="006A33D4" w:rsidRDefault="00BB3253" w:rsidP="00BB3253">
      <w:pPr>
        <w:spacing w:after="0"/>
        <w:jc w:val="center"/>
        <w:rPr>
          <w:rFonts w:cstheme="minorHAnsi"/>
          <w:b/>
          <w:sz w:val="24"/>
          <w:szCs w:val="20"/>
        </w:rPr>
      </w:pPr>
      <w:bookmarkStart w:id="0" w:name="_GoBack"/>
      <w:bookmarkEnd w:id="0"/>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se rozumí jakýkoliv průkaz ISIC, ISIC Scholar,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Revalidační známka </w:t>
      </w:r>
      <w:r w:rsidRPr="00E003D7">
        <w:rPr>
          <w:rFonts w:cstheme="minorHAnsi"/>
          <w:sz w:val="20"/>
          <w:szCs w:val="20"/>
        </w:rPr>
        <w:t>je samodestruktivní holografická samolepka opatřená tištěnou dobou platnosti Průkazu, která je určena k nalepení na příslušné místo na Průkazu za účelem umožnění vizuální verifikace platnosti Průkazu. Existují dva druhy Revalidačních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 Scholar</w:t>
      </w:r>
      <w:r w:rsidRPr="00E003D7">
        <w:rPr>
          <w:rFonts w:cstheme="minorHAnsi"/>
          <w:sz w:val="20"/>
          <w:szCs w:val="20"/>
        </w:rPr>
        <w:t xml:space="preserve"> (ISIC Školák) je mezinárodním studentským průkazem, který je používán k potvrzení statusu žáka a k uplatnění příslušných výhod a slev. ISIC Scholar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Alive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Alive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1" w:name="_Ref472356407"/>
      <w:r w:rsidRPr="00E003D7">
        <w:rPr>
          <w:rFonts w:cstheme="minorHAnsi"/>
          <w:sz w:val="20"/>
          <w:szCs w:val="20"/>
        </w:rPr>
        <w:t>Pro vytvoření závazné objednávky je povinna Škola:</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Platnost Průkazů (vyjma ISIC Scholar)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Platnost průkazu ISIC Scholar začíná 1.9. daného školního roku a trvá po dobu studia žáka na škole, která průkaz vystavila, maximálně však do 31.12. pátého roku po začátku platnosti průkazu. Platnost průkazu ISIC Scholar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není oprávněna užívat Průkazy vydané jinou školou nebo třetí osobou. U takových Průkazů není Škola zároveň oprávněna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může platnost Průkazu (vyjma ISIC Scholar)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Revalidační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Revalidační známky, a Škola se zavazuje uhradit Odměnu za prodloužení Průkazů ve výši dle Potvrzené objednávky. Platnost Průkazu je účinně prodloužena pouze provedením prodloužení platnosti u jednotlivých Subjektů v Systému NCBD a zároveň nalepením Revalidační známky na tělo Průkazu. Škola se zavazuje vydat Revalidační známky k nalepení na tělo Průkazu jen příslušným držitelům Průkazů, jejichž prodloužení Škola postupem dle odstavce 4.4 Podmínek výše objednala. Škola není oprávněna užít na tělo Průkazu Revalidační známku dříve, než dojde k prodloužení platnosti Průkazu u daného Subjektu v Systému NCBD. Při prodlužování platnosti Průkazu může být použita pouze originální Revalidační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Revalidační známky a hospodařit s nimi v souladu se Smlouvou a s pokyny GTS, pokyny GTS mohou být také uvedeny na webových stránkách GTS. Škola bude k Revalidačním známkám přistupovat jako k ceninám, přijme potřebná opatření k tomu, aby zamezila jejich ztrátě a nakládání s nimi neoprávněnými osobami. Škola odpovídá za zničení, ztrátu či poškození Revalidačních známek, které jí byly doručeny. GTS Škole doručí Revalidační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Revalidační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Revalidační známka ve výše uvedené lhůtě vrácena. Zrušení prodloužení platnosti Průkazu a vrácení Revalidačních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Revalidační známky předem v počtu objednaném Školou v souladu s pokyny GTS. Škola bude Revalidační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Revalidační známky na základě prodloužení platnosti Průkazů, je povinna zbylé Revalidační známky GTS vrátit, a to nejpozději do patnácti (15) dnů po skončení příslušného školního roku, tedy do 15. 7. Pokud Škola ve shora uvedené lhůtě nevrátí některé Revalidační známky, ač podle systému NCBD tyto známky neměly být vydány za účelem prodloužení platnosti Průkazů, má GTS právo účtovat Škole cenu za každou takovou nevrácenou Revalidační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Duplikát je možné v případě uvedeném v odstavce 8.1.1 výše vystavit i k neplatnému Průkazu (s výjimkou ISIC Scholar),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(ii) po dobu studia Subjektu ve Škole a/nebo (ii)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46"/>
      <w:r w:rsidRPr="00E003D7">
        <w:rPr>
          <w:rFonts w:cstheme="minorHAnsi"/>
          <w:sz w:val="20"/>
          <w:szCs w:val="20"/>
        </w:rPr>
        <w:t>Rozsah zpracovávaných Osobních údajů Subjektů pro Účel Školy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3" w:name="_Ref472406253"/>
      <w:r w:rsidRPr="00E003D7">
        <w:rPr>
          <w:rFonts w:cstheme="minorHAnsi"/>
          <w:sz w:val="20"/>
          <w:szCs w:val="20"/>
        </w:rPr>
        <w:t>Rozsah zpracovávaných Osobních údajů Subjektů pro účel GTS je následující:</w:t>
      </w:r>
      <w:bookmarkEnd w:id="3"/>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číslo licence, platnost, čísla čipů v Průkazu a v případě Průkazu ISIC Scholar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souhlasí, že GTS je oprávněno pověřit zpracováním Osobních údajů dílčího zpracovatele ve smyslu příslušných ustanovení Předpisu. Dílčím zpracovatelem je mimo jiné společnosti (i) GTS Alive Services, se sídlem Letenská 118/1, Malá Strana, 118 00 Praha 1, IČ: 28233662, (ii) Orchitech Solutions, s.r.o., se sídlem Koněvova 2660/141, Žižkov, 130 00 Praha, IČ: 28246764, (iii) ISIC Global Office se sídlem Keizersgracht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w:t>
      </w:r>
      <w:r w:rsidRPr="00E003D7">
        <w:rPr>
          <w:rFonts w:cstheme="minorHAnsi"/>
          <w:sz w:val="20"/>
          <w:szCs w:val="20"/>
        </w:rPr>
        <w:lastRenderedPageBreak/>
        <w:t>případně jakékoliv 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p>
    <w:sectPr w:rsidR="00D77A40" w:rsidRPr="00E003D7" w:rsidSect="00BB3253">
      <w:headerReference w:type="default" r:id="rId9"/>
      <w:footerReference w:type="default" r:id="rId10"/>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42" w:rsidRDefault="00D63742" w:rsidP="00295825">
      <w:pPr>
        <w:spacing w:after="0" w:line="240" w:lineRule="auto"/>
      </w:pPr>
      <w:r>
        <w:separator/>
      </w:r>
    </w:p>
  </w:endnote>
  <w:endnote w:type="continuationSeparator" w:id="0">
    <w:p w:rsidR="00D63742" w:rsidRDefault="00D63742"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42" w:rsidRDefault="00D63742" w:rsidP="00295825">
      <w:pPr>
        <w:spacing w:after="0" w:line="240" w:lineRule="auto"/>
      </w:pPr>
      <w:r>
        <w:separator/>
      </w:r>
    </w:p>
  </w:footnote>
  <w:footnote w:type="continuationSeparator" w:id="0">
    <w:p w:rsidR="00D63742" w:rsidRDefault="00D63742" w:rsidP="00295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53"/>
    <w:rsid w:val="000320B2"/>
    <w:rsid w:val="001A7B1D"/>
    <w:rsid w:val="002947A0"/>
    <w:rsid w:val="00295825"/>
    <w:rsid w:val="003A2301"/>
    <w:rsid w:val="00431C47"/>
    <w:rsid w:val="00457EBC"/>
    <w:rsid w:val="005364EE"/>
    <w:rsid w:val="005D0064"/>
    <w:rsid w:val="00963D8C"/>
    <w:rsid w:val="00B13782"/>
    <w:rsid w:val="00BB3253"/>
    <w:rsid w:val="00BB7423"/>
    <w:rsid w:val="00C43F17"/>
    <w:rsid w:val="00D02235"/>
    <w:rsid w:val="00D63742"/>
    <w:rsid w:val="00D77A40"/>
    <w:rsid w:val="00DD5B2B"/>
    <w:rsid w:val="00E003D7"/>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20ALIVE%20TEAM%20-%20DOKUMENTY%20!\GRAFICK&#201;%20PODKLADY%20PRO%20T&#221;M\GTS%20Hlavi&#269;kov&#253;%20pap&#237;r\GTS%20hlavi&#269;kov&#253;%20pap&#237;r%20bez%20globu.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5C0D-8665-4B30-A2E0-A78519E2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GTS hlavičkový papír bez globu</Template>
  <TotalTime>0</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Josefina Bayerová</cp:lastModifiedBy>
  <cp:revision>2</cp:revision>
  <dcterms:created xsi:type="dcterms:W3CDTF">2017-06-09T09:18:00Z</dcterms:created>
  <dcterms:modified xsi:type="dcterms:W3CDTF">2017-06-09T09:18:00Z</dcterms:modified>
</cp:coreProperties>
</file>