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FCD3" w14:textId="5216E318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5946EFCE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 xml:space="preserve">č. </w:t>
      </w:r>
      <w:r w:rsidR="006A3BB7" w:rsidRPr="006A3BB7">
        <w:rPr>
          <w:rFonts w:cs="Arial"/>
          <w:b/>
        </w:rPr>
        <w:t>D/3644/2023/KUL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Pr="00A35E3A" w:rsidRDefault="002827BA" w:rsidP="002827BA">
            <w:pPr>
              <w:pStyle w:val="Bezmezer"/>
              <w:spacing w:line="276" w:lineRule="auto"/>
              <w:rPr>
                <w:b/>
              </w:rPr>
            </w:pPr>
            <w:r w:rsidRPr="00A35E3A">
              <w:rPr>
                <w:b/>
              </w:rP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C924CAB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A63716" w:rsidRPr="00A63716">
              <w:t>Ing. Mgr. Zuzana Fišerová, Ph.D., členka Rady Zlínského kraje, na základě pověření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238FF03A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A63716" w:rsidRPr="00B35FE6">
              <w:rPr>
                <w:rFonts w:cs="Arial"/>
              </w:rPr>
              <w:t>Č</w:t>
            </w:r>
            <w:r w:rsidR="00A63716">
              <w:rPr>
                <w:rFonts w:cs="Arial"/>
              </w:rPr>
              <w:t xml:space="preserve">eská spořitelna, a.s. Zlín, č. </w:t>
            </w:r>
            <w:proofErr w:type="spellStart"/>
            <w:r w:rsidR="00A63716">
              <w:rPr>
                <w:rFonts w:cs="Arial"/>
              </w:rPr>
              <w:t>ú.</w:t>
            </w:r>
            <w:proofErr w:type="spellEnd"/>
            <w:r w:rsidR="00A63716" w:rsidRPr="00B35FE6">
              <w:rPr>
                <w:rFonts w:cs="Arial"/>
              </w:rPr>
              <w:t>: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E8B477D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0926F55" w:rsidR="002827BA" w:rsidRDefault="002827BA" w:rsidP="00A105AA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60D326A1" w14:textId="77777777" w:rsidR="00A35E3A" w:rsidRPr="00A35E3A" w:rsidRDefault="00A35E3A" w:rsidP="00A35E3A">
            <w:pPr>
              <w:pStyle w:val="Bezmezer"/>
              <w:spacing w:line="276" w:lineRule="auto"/>
              <w:rPr>
                <w:b/>
                <w:i/>
                <w:color w:val="5B9BD5" w:themeColor="accent1"/>
                <w:sz w:val="16"/>
                <w:szCs w:val="16"/>
              </w:rPr>
            </w:pPr>
            <w:r w:rsidRPr="00A35E3A">
              <w:rPr>
                <w:b/>
              </w:rPr>
              <w:t>Dům kultury v Kroměříži, příspěvková organizace</w:t>
            </w:r>
          </w:p>
          <w:p w14:paraId="2CD022D2" w14:textId="3E5930C9" w:rsidR="002827BA" w:rsidRPr="00BC0BE0" w:rsidRDefault="002827BA" w:rsidP="002827BA">
            <w:pPr>
              <w:pStyle w:val="Bezmezer"/>
              <w:spacing w:line="276" w:lineRule="auto"/>
            </w:pPr>
            <w:r w:rsidRPr="00BC0BE0">
              <w:t>sídlo:</w:t>
            </w:r>
            <w:r w:rsidR="006E3B58">
              <w:t> </w:t>
            </w:r>
            <w:r w:rsidR="00A35E3A" w:rsidRPr="00CB625B">
              <w:t>Tovačovského 2828/22, 767</w:t>
            </w:r>
            <w:r w:rsidR="00A35E3A">
              <w:t xml:space="preserve"> </w:t>
            </w:r>
            <w:r w:rsidR="00A35E3A" w:rsidRPr="00CB625B">
              <w:t>01 Kroměříž</w:t>
            </w:r>
            <w:r w:rsidRPr="00BC0BE0">
              <w:t xml:space="preserve"> </w:t>
            </w:r>
          </w:p>
          <w:p w14:paraId="47D49E0B" w14:textId="19D24668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A35E3A">
              <w:t>právnická osoba – příspěvková organizace</w:t>
            </w:r>
          </w:p>
          <w:p w14:paraId="42BFD7F9" w14:textId="0F867C88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A35E3A" w:rsidRPr="00CB625B">
              <w:t>70962642</w:t>
            </w:r>
          </w:p>
          <w:p w14:paraId="54CD4C57" w14:textId="70CF2CF9" w:rsidR="002827BA" w:rsidRPr="00BC0BE0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A35E3A">
              <w:t> </w:t>
            </w:r>
            <w:r w:rsidR="00A35E3A" w:rsidRPr="00CB625B">
              <w:t>Komerční banka, a.s.</w:t>
            </w:r>
            <w:r w:rsidR="00A35E3A">
              <w:t xml:space="preserve">, č. </w:t>
            </w:r>
            <w:proofErr w:type="spellStart"/>
            <w:r w:rsidR="00A35E3A">
              <w:t>ú.</w:t>
            </w:r>
            <w:proofErr w:type="spellEnd"/>
            <w:r w:rsidR="00A35E3A">
              <w:t xml:space="preserve"> </w:t>
            </w:r>
            <w:r w:rsidR="00A35E3A" w:rsidRPr="00CB625B">
              <w:t>14636691/0100</w:t>
            </w:r>
          </w:p>
          <w:p w14:paraId="62F67A1F" w14:textId="44FE2F8C" w:rsidR="002827BA" w:rsidRDefault="00A35E3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zapsaný</w:t>
            </w:r>
            <w:r w:rsidR="002827BA" w:rsidRPr="00BC0BE0">
              <w:t xml:space="preserve"> </w:t>
            </w:r>
            <w:r w:rsidRPr="00A35E3A">
              <w:t xml:space="preserve">u KS v Brně, oddíl </w:t>
            </w:r>
            <w:proofErr w:type="spellStart"/>
            <w:r w:rsidRPr="00A35E3A">
              <w:t>Pr</w:t>
            </w:r>
            <w:proofErr w:type="spellEnd"/>
            <w:r w:rsidRPr="00A35E3A">
              <w:t>, vložka 1604</w:t>
            </w:r>
          </w:p>
          <w:p w14:paraId="24B7F345" w14:textId="7517F8FE" w:rsidR="002827BA" w:rsidRPr="00E82920" w:rsidRDefault="002827BA" w:rsidP="002827BA">
            <w:pPr>
              <w:pStyle w:val="Bezmezer"/>
              <w:spacing w:line="276" w:lineRule="auto"/>
            </w:pPr>
            <w:r>
              <w:t>zastoupen:</w:t>
            </w:r>
            <w:r w:rsidR="006E3B58">
              <w:t> </w:t>
            </w:r>
            <w:r w:rsidR="00A35E3A" w:rsidRPr="00041D9D">
              <w:t>Mgr. Pavel Sedláček</w:t>
            </w:r>
            <w:r w:rsidR="00A35E3A">
              <w:t>, ředitel</w:t>
            </w:r>
          </w:p>
          <w:p w14:paraId="4B8A65FE" w14:textId="77777777" w:rsidR="00A35E3A" w:rsidRDefault="002827BA" w:rsidP="00A35E3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zřizovatel:</w:t>
            </w:r>
            <w:r w:rsidR="006E3B58">
              <w:t> </w:t>
            </w:r>
            <w:r w:rsidR="00A35E3A" w:rsidRPr="00CB625B">
              <w:t>Město Kroměříž</w:t>
            </w:r>
            <w:r w:rsidR="00A35E3A">
              <w:t>, IČO 00</w:t>
            </w:r>
            <w:r w:rsidR="00A35E3A" w:rsidRPr="00CB625B">
              <w:t>287351</w:t>
            </w:r>
            <w:r w:rsidR="00A35E3A">
              <w:t xml:space="preserve">, </w:t>
            </w:r>
            <w:r w:rsidR="00A35E3A" w:rsidRPr="00CB625B">
              <w:t>Velké náměstí 1151, 767</w:t>
            </w:r>
            <w:r w:rsidR="00A35E3A">
              <w:t xml:space="preserve"> </w:t>
            </w:r>
            <w:r w:rsidR="00A35E3A" w:rsidRPr="00CB625B">
              <w:t>01 Kroměříž</w:t>
            </w:r>
          </w:p>
          <w:p w14:paraId="515A8A6E" w14:textId="4E7C5A6B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bankovní spojení zřizovatele:</w:t>
            </w:r>
            <w:r w:rsidR="006E3B58">
              <w:t> </w:t>
            </w:r>
            <w:r w:rsidR="00A35E3A" w:rsidRPr="00CB625B">
              <w:t>Komerční banka, a.s.</w:t>
            </w:r>
            <w:r w:rsidR="00A35E3A">
              <w:t xml:space="preserve">, č. </w:t>
            </w:r>
            <w:proofErr w:type="spellStart"/>
            <w:r w:rsidR="00A35E3A">
              <w:t>ú.</w:t>
            </w:r>
            <w:proofErr w:type="spellEnd"/>
            <w:r w:rsidR="00A35E3A">
              <w:t xml:space="preserve"> </w:t>
            </w:r>
            <w:r w:rsidR="00A35E3A" w:rsidRPr="00CB625B">
              <w:t>8326340247/0100</w:t>
            </w:r>
          </w:p>
          <w:p w14:paraId="4D96ABA3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  <w:p w14:paraId="2621FCEF" w14:textId="7DC6C594" w:rsidR="00814BAD" w:rsidRDefault="00814BAD" w:rsidP="002827BA">
            <w:pPr>
              <w:pStyle w:val="Bezmezer"/>
              <w:spacing w:line="276" w:lineRule="auto"/>
            </w:pP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0B6E2E99" w:rsidR="0077026D" w:rsidRDefault="0077026D" w:rsidP="00A105AA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A105AA">
        <w:t xml:space="preserve"> </w:t>
      </w:r>
      <w:r w:rsidR="00A105AA" w:rsidRPr="00A105AA">
        <w:rPr>
          <w:b/>
        </w:rPr>
        <w:t>200.000</w:t>
      </w:r>
      <w:r w:rsidRPr="00A105AA">
        <w:rPr>
          <w:b/>
        </w:rPr>
        <w:t xml:space="preserve"> Kč</w:t>
      </w:r>
      <w:r w:rsidRPr="0013520D">
        <w:t>, (slovy:</w:t>
      </w:r>
      <w:r w:rsidR="006E3B58">
        <w:t> </w:t>
      </w:r>
      <w:r w:rsidR="00A105AA">
        <w:t>dvě sta tisíc korun 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A105AA">
        <w:rPr>
          <w:b/>
        </w:rPr>
        <w:t>20,41 </w:t>
      </w:r>
      <w:r w:rsidRPr="003D6A1A">
        <w:rPr>
          <w:b/>
        </w:rPr>
        <w:t>% celkových způsobilých výdajů</w:t>
      </w:r>
      <w:r w:rsidR="00A105AA">
        <w:t xml:space="preserve"> akce na realizaci </w:t>
      </w:r>
      <w:r w:rsidRPr="0013520D">
        <w:t>akce</w:t>
      </w:r>
      <w:r>
        <w:t>:</w:t>
      </w:r>
      <w:r w:rsidR="006E3B58">
        <w:t> </w:t>
      </w:r>
      <w:r w:rsidR="00A105AA" w:rsidRPr="00A105AA">
        <w:rPr>
          <w:b/>
        </w:rPr>
        <w:t>HUDBA V</w:t>
      </w:r>
      <w:r w:rsidR="00A105AA">
        <w:rPr>
          <w:b/>
        </w:rPr>
        <w:t> </w:t>
      </w:r>
      <w:r w:rsidR="00A105AA" w:rsidRPr="00A105AA">
        <w:rPr>
          <w:b/>
        </w:rPr>
        <w:t>ZAHRADÁCH A ZÁMKU KROMĚŘÍŽ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A105AA">
        <w:t xml:space="preserve"> </w:t>
      </w:r>
      <w:r w:rsidR="00A105AA" w:rsidRPr="00A105AA">
        <w:rPr>
          <w:b/>
        </w:rPr>
        <w:t>KUL06-23/007</w:t>
      </w:r>
      <w:r w:rsidRPr="0013520D">
        <w:t xml:space="preserve">, který </w:t>
      </w:r>
      <w:r w:rsidR="00FE4470" w:rsidRPr="0013520D">
        <w:t>je blíže popsán v žádosti o poskytnutí dotace</w:t>
      </w:r>
      <w:r w:rsidRPr="0013520D">
        <w:t>, a</w:t>
      </w:r>
      <w:r w:rsidR="006E3B58">
        <w:t> </w:t>
      </w:r>
      <w:r w:rsidR="00A105AA">
        <w:t xml:space="preserve">který se bude konat </w:t>
      </w:r>
      <w:r w:rsidRPr="0013520D">
        <w:t>ve dnech</w:t>
      </w:r>
      <w:r w:rsidR="00A105AA">
        <w:t xml:space="preserve"> 12. 6. 2023 – 30. 7. 2023.</w:t>
      </w:r>
    </w:p>
    <w:p w14:paraId="5DF40922" w14:textId="4CB8F368" w:rsidR="0077026D" w:rsidRDefault="00E14143" w:rsidP="00A63716">
      <w:pPr>
        <w:pStyle w:val="2rove"/>
      </w:pPr>
      <w:r w:rsidRPr="00E14143">
        <w:t xml:space="preserve">Dotace je poskytována na základě </w:t>
      </w:r>
      <w:r w:rsidR="00A63716">
        <w:t>P</w:t>
      </w:r>
      <w:r w:rsidR="00A63716" w:rsidRPr="00E14143">
        <w:t>rogramu</w:t>
      </w:r>
      <w:r w:rsidR="00A63716">
        <w:t> </w:t>
      </w:r>
      <w:r w:rsidR="00A63716" w:rsidRPr="008554A9">
        <w:t xml:space="preserve">na podporu kulturních aktivit a akcí </w:t>
      </w:r>
      <w:r w:rsidR="00A63716">
        <w:t>nad</w:t>
      </w:r>
      <w:r w:rsidR="00A63716" w:rsidRPr="008554A9">
        <w:t>regionálního významu</w:t>
      </w:r>
      <w:r w:rsidR="00A63716" w:rsidRPr="00E14143">
        <w:t>, schválenéh</w:t>
      </w:r>
      <w:r w:rsidR="00A63716">
        <w:t xml:space="preserve">o Radou Zlínského kraje dne 16. 1. 2023 </w:t>
      </w:r>
      <w:r w:rsidR="00A63716" w:rsidRPr="00E14143">
        <w:t>usnesením č.</w:t>
      </w:r>
      <w:r w:rsidR="00A63716">
        <w:t xml:space="preserve"> </w:t>
      </w:r>
      <w:r w:rsidR="00A63716" w:rsidRPr="00A63716">
        <w:t>0018/R02/23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E82920">
      <w:pPr>
        <w:pStyle w:val="2rove"/>
        <w:spacing w:line="276" w:lineRule="auto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5D24C24F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814BAD">
        <w:t xml:space="preserve"> 1. 1. 2023.</w:t>
      </w:r>
    </w:p>
    <w:p w14:paraId="4BA5A893" w14:textId="7FCE56C2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r>
        <w:t>končí dnem</w:t>
      </w:r>
      <w:r w:rsidR="006E3B58">
        <w:t> </w:t>
      </w:r>
      <w:r w:rsidR="00814BAD">
        <w:t>31. 1. 2024.</w:t>
      </w:r>
    </w:p>
    <w:p w14:paraId="07DE0DEA" w14:textId="135A58F1" w:rsidR="00444289" w:rsidRDefault="002B4723" w:rsidP="00B007CA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lastRenderedPageBreak/>
        <w:t>Monitorovací indikátory</w:t>
      </w:r>
    </w:p>
    <w:p w14:paraId="50F1FF48" w14:textId="1A67E0EF" w:rsidR="008E7B6E" w:rsidRPr="008E7B6E" w:rsidRDefault="008E7B6E" w:rsidP="00E82920">
      <w:pPr>
        <w:pStyle w:val="2rove"/>
        <w:spacing w:line="276" w:lineRule="auto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B4088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A105AA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1D176CE0" w14:textId="77777777" w:rsidTr="00A105AA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2714BA" w14:textId="338B6D33" w:rsidR="008E7B6E" w:rsidRPr="001426D2" w:rsidRDefault="00A105AA" w:rsidP="008C7C18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352D7B8" w14:textId="374B749C" w:rsidR="008E7B6E" w:rsidRPr="001426D2" w:rsidRDefault="00A105AA" w:rsidP="002E2196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koncert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C2A97DF" w14:textId="471B8F98" w:rsidR="008E7B6E" w:rsidRPr="001426D2" w:rsidRDefault="00A105AA" w:rsidP="00A105A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akce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791105C6" w14:textId="6E2D7458" w:rsidR="008E7B6E" w:rsidRPr="001426D2" w:rsidRDefault="00A105AA" w:rsidP="00A105A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6</w:t>
            </w:r>
          </w:p>
        </w:tc>
      </w:tr>
    </w:tbl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69AEBD85" w14:textId="0DDE6B34" w:rsidR="00530D1A" w:rsidRPr="00814BAD" w:rsidRDefault="00530D1A" w:rsidP="00814BAD">
      <w:pPr>
        <w:pStyle w:val="2rove"/>
        <w:spacing w:line="276" w:lineRule="auto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="00F575F2" w:rsidRPr="00814BAD">
        <w:rPr>
          <w:b/>
        </w:rPr>
        <w:t>do 30 pracovních dnů po schválení Závěrečné zprávy</w:t>
      </w:r>
      <w:r w:rsidR="00F575F2" w:rsidRPr="0013520D">
        <w:t xml:space="preserve"> s vyúčtováním dotace předložené </w:t>
      </w:r>
      <w:r w:rsidR="00F575F2" w:rsidRPr="00F120BA">
        <w:t>příjemcem</w:t>
      </w:r>
      <w:r w:rsidR="00F575F2" w:rsidRPr="0013520D">
        <w:t xml:space="preserve"> dle </w:t>
      </w:r>
      <w:r w:rsidR="00F575F2">
        <w:t>čl. 4.4</w:t>
      </w:r>
      <w:r w:rsidR="00F575F2" w:rsidRPr="0013520D">
        <w:t>.</w:t>
      </w:r>
      <w:r w:rsidRPr="0013520D">
        <w:t xml:space="preserve"> </w:t>
      </w:r>
    </w:p>
    <w:p w14:paraId="555ADB30" w14:textId="17CBABD9" w:rsidR="00CB78A2" w:rsidRDefault="00CB78A2" w:rsidP="00E82920">
      <w:pPr>
        <w:pStyle w:val="2rove"/>
        <w:spacing w:line="276" w:lineRule="auto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6E3B58">
        <w:t> </w:t>
      </w:r>
      <w:r w:rsidR="00A105AA" w:rsidRPr="00A105AA">
        <w:rPr>
          <w:b/>
        </w:rPr>
        <w:t>980.000</w:t>
      </w:r>
      <w:r w:rsidR="002C00E2" w:rsidRPr="00A105AA">
        <w:rPr>
          <w:b/>
        </w:rPr>
        <w:t xml:space="preserve"> Kč</w:t>
      </w:r>
      <w:r w:rsidR="002C00E2">
        <w:t>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</w:p>
    <w:p w14:paraId="1997B69A" w14:textId="74D5506A" w:rsidR="00CB78A2" w:rsidRDefault="00CB78A2" w:rsidP="00E82920">
      <w:pPr>
        <w:pStyle w:val="2rove"/>
        <w:spacing w:line="276" w:lineRule="auto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</w:t>
      </w:r>
      <w:r w:rsidR="00184DB8">
        <w:t xml:space="preserve">h výdajů. </w:t>
      </w:r>
    </w:p>
    <w:p w14:paraId="6C44F694" w14:textId="6E779857" w:rsidR="00CB78A2" w:rsidRDefault="00CB78A2" w:rsidP="00E82920">
      <w:pPr>
        <w:pStyle w:val="2rove"/>
        <w:spacing w:line="276" w:lineRule="auto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6E3B58">
        <w:t> </w:t>
      </w:r>
      <w:r w:rsidR="00184DB8">
        <w:t>kultury a památkové péče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>zprávu, a to nejpozději do</w:t>
      </w:r>
      <w:r w:rsidR="00184DB8">
        <w:rPr>
          <w:b/>
        </w:rPr>
        <w:t> 15. 2. 2024.</w:t>
      </w:r>
    </w:p>
    <w:p w14:paraId="1A41EA89" w14:textId="3B14D20E" w:rsidR="00A439DD" w:rsidRDefault="00A439DD" w:rsidP="004065D5">
      <w:pPr>
        <w:pStyle w:val="2rove"/>
        <w:spacing w:line="276" w:lineRule="auto"/>
      </w:pPr>
      <w:r w:rsidRPr="00C557DB">
        <w:t xml:space="preserve">Závěrečnou zprávou se rozumí předložení </w:t>
      </w:r>
      <w:r w:rsidRPr="00184DB8">
        <w:rPr>
          <w:u w:val="single"/>
        </w:rPr>
        <w:t>formuláře</w:t>
      </w:r>
      <w:r w:rsidRPr="00C557DB">
        <w:t xml:space="preserve"> s vyplněnou tabulkou </w:t>
      </w:r>
      <w:r w:rsidRPr="00184DB8">
        <w:rPr>
          <w:u w:val="single"/>
        </w:rPr>
        <w:t>s výčtem všech celkových způsobilých výdajů projektu</w:t>
      </w:r>
      <w:r w:rsidRPr="00C557DB">
        <w:t xml:space="preserve">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184DB8">
        <w:rPr>
          <w:b/>
        </w:rPr>
        <w:t>formuláři závěrečné zprávy</w:t>
      </w:r>
      <w:r>
        <w:t xml:space="preserve"> </w:t>
      </w:r>
      <w:r w:rsidRPr="004065D5">
        <w:rPr>
          <w:u w:val="single"/>
        </w:rPr>
        <w:t>ve výši dotace</w:t>
      </w:r>
      <w:r>
        <w:t xml:space="preserve"> a </w:t>
      </w:r>
      <w:r w:rsidRPr="004065D5">
        <w:rPr>
          <w:u w:val="single"/>
        </w:rPr>
        <w:t>dokladů prokazujících jejich úhradu</w:t>
      </w:r>
      <w:r>
        <w:t xml:space="preserve"> </w:t>
      </w:r>
      <w:r w:rsidRPr="00C557DB">
        <w:t>(tj. výpisy z bankovního účtu, výdajové a příjmové pokladní doklady)</w:t>
      </w:r>
      <w:r w:rsidR="004065D5">
        <w:t xml:space="preserve">, </w:t>
      </w:r>
      <w:r w:rsidR="004065D5" w:rsidRPr="00292DF3">
        <w:t xml:space="preserve">také předložení </w:t>
      </w:r>
      <w:r w:rsidR="004065D5" w:rsidRPr="00292DF3">
        <w:rPr>
          <w:u w:val="single"/>
        </w:rPr>
        <w:t>dokladů o naplnění monitorovacích indikátorů</w:t>
      </w:r>
      <w:r w:rsidR="004065D5" w:rsidRPr="00292DF3">
        <w:t xml:space="preserve"> a rovněž </w:t>
      </w:r>
      <w:r w:rsidR="004065D5" w:rsidRPr="00292DF3">
        <w:rPr>
          <w:u w:val="single"/>
        </w:rPr>
        <w:t>dokladů o splnění prezentace poskytovatele</w:t>
      </w:r>
      <w:r w:rsidR="004065D5" w:rsidRPr="00292DF3">
        <w:t xml:space="preserve"> dle čl. 6.5.</w:t>
      </w:r>
      <w:r w:rsidR="004065D5">
        <w:t xml:space="preserve"> Doložení všech uvedených </w:t>
      </w:r>
      <w:r w:rsidR="004065D5" w:rsidRPr="008554A9">
        <w:t>dokladů se považuje za nedílnou součást vyúčtování</w:t>
      </w:r>
      <w:r>
        <w:t>.</w:t>
      </w:r>
    </w:p>
    <w:p w14:paraId="6DCF458F" w14:textId="5D40AE6F" w:rsidR="00CD2022" w:rsidRDefault="00A439DD" w:rsidP="00983080">
      <w:pPr>
        <w:pStyle w:val="2rove"/>
        <w:numPr>
          <w:ilvl w:val="0"/>
          <w:numId w:val="0"/>
        </w:numPr>
        <w:spacing w:line="276" w:lineRule="auto"/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nejpozději do</w:t>
      </w:r>
      <w:r w:rsidR="006E3B58">
        <w:t> </w:t>
      </w:r>
      <w:r w:rsidR="0069023B">
        <w:t>60 kalendářních dnů po podpisu smluv ze strany poskytovatele dotace na e-mail uvedený v Žádosti o poskytnutí dotace.</w:t>
      </w:r>
      <w:r>
        <w:t xml:space="preserve"> </w:t>
      </w:r>
    </w:p>
    <w:p w14:paraId="5EB47DE6" w14:textId="254DD9DF" w:rsidR="005B1088" w:rsidRDefault="00357941" w:rsidP="00E82920">
      <w:pPr>
        <w:pStyle w:val="2rove"/>
        <w:spacing w:line="276" w:lineRule="auto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40194C35" w14:textId="0DBEC5AD" w:rsidR="009514A5" w:rsidRDefault="002B1861" w:rsidP="00E82920">
      <w:pPr>
        <w:pStyle w:val="2rove"/>
        <w:spacing w:line="276" w:lineRule="auto"/>
      </w:pPr>
      <w:r>
        <w:t xml:space="preserve">V souladu s § 28 odst. 15 zákona č. 250/2000 Sb., o rozpočtových pravidlech územních rozpočtů, ve znění pozdějších předpisů bude dotace převedena na účet zřizovatele příjemce.  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1DAD2A62" w14:textId="731F7A3A" w:rsidR="00D143CD" w:rsidRPr="00B007CA" w:rsidRDefault="00D64AB1" w:rsidP="00B8374B">
      <w:pPr>
        <w:pStyle w:val="2rove"/>
        <w:spacing w:line="276" w:lineRule="auto"/>
      </w:pPr>
      <w:r w:rsidRPr="0069023B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</w:t>
      </w:r>
      <w:r w:rsidRPr="00D64AB1">
        <w:lastRenderedPageBreak/>
        <w:t>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69023B">
        <w:t xml:space="preserve"> </w:t>
      </w:r>
      <w:r w:rsidR="00D143CD" w:rsidRPr="00B007CA">
        <w:t>být jím v </w:t>
      </w:r>
      <w:r w:rsidR="00D143CD" w:rsidRPr="00983080">
        <w:t>této</w:t>
      </w:r>
      <w:r w:rsidR="00D143CD" w:rsidRPr="00B007CA">
        <w:t xml:space="preserve"> době i uhrazeny.</w:t>
      </w:r>
    </w:p>
    <w:p w14:paraId="619907A1" w14:textId="77777777" w:rsidR="0069023B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</w:p>
    <w:p w14:paraId="4C937576" w14:textId="77777777" w:rsidR="0069023B" w:rsidRPr="00780E37" w:rsidRDefault="00C93792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="0069023B" w:rsidRPr="00780E37">
        <w:rPr>
          <w:rFonts w:ascii="Arial" w:hAnsi="Arial" w:cs="Arial"/>
          <w:sz w:val="20"/>
          <w:szCs w:val="20"/>
        </w:rPr>
        <w:t>dlužný úrok, pokuty a finanční sankce</w:t>
      </w:r>
    </w:p>
    <w:p w14:paraId="500E10C0" w14:textId="77777777" w:rsidR="0069023B" w:rsidRPr="00780E37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80E37">
        <w:rPr>
          <w:rFonts w:ascii="Arial" w:hAnsi="Arial" w:cs="Arial"/>
          <w:sz w:val="20"/>
          <w:szCs w:val="20"/>
        </w:rPr>
        <w:t>výdaje na publicitu Zlínského kraje</w:t>
      </w:r>
    </w:p>
    <w:p w14:paraId="46A56A45" w14:textId="77777777" w:rsidR="0069023B" w:rsidRPr="00780E37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80E37">
        <w:rPr>
          <w:rFonts w:ascii="Arial" w:hAnsi="Arial" w:cs="Arial"/>
          <w:sz w:val="20"/>
          <w:szCs w:val="20"/>
        </w:rPr>
        <w:t>účetně nedoložitelné výdaje</w:t>
      </w:r>
    </w:p>
    <w:p w14:paraId="52EAAEB5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mzdy a platy</w:t>
      </w:r>
    </w:p>
    <w:p w14:paraId="103D4733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</w:t>
      </w:r>
    </w:p>
    <w:p w14:paraId="19E12328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 </w:t>
      </w:r>
      <w:r w:rsidRPr="00840111">
        <w:rPr>
          <w:rFonts w:ascii="Arial" w:hAnsi="Arial" w:cs="Arial"/>
          <w:sz w:val="18"/>
          <w:szCs w:val="18"/>
        </w:rPr>
        <w:t> </w:t>
      </w:r>
    </w:p>
    <w:p w14:paraId="6D0E6EC6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 xml:space="preserve">výdaje na pořádání </w:t>
      </w:r>
      <w:proofErr w:type="spellStart"/>
      <w:r w:rsidRPr="00840111">
        <w:rPr>
          <w:rFonts w:ascii="Arial" w:hAnsi="Arial" w:cs="Arial"/>
          <w:sz w:val="20"/>
          <w:szCs w:val="20"/>
        </w:rPr>
        <w:t>teambuild</w:t>
      </w:r>
      <w:r>
        <w:rPr>
          <w:rFonts w:ascii="Arial" w:hAnsi="Arial" w:cs="Arial"/>
          <w:sz w:val="20"/>
          <w:szCs w:val="20"/>
        </w:rPr>
        <w:t>ingů</w:t>
      </w:r>
      <w:proofErr w:type="spellEnd"/>
      <w:r>
        <w:rPr>
          <w:rFonts w:ascii="Arial" w:hAnsi="Arial" w:cs="Arial"/>
          <w:sz w:val="20"/>
          <w:szCs w:val="20"/>
        </w:rPr>
        <w:t>, výjezdních zasedání apod.</w:t>
      </w:r>
    </w:p>
    <w:p w14:paraId="5DBC9970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školení, kurzy a pořádání workshopů, které nesouvisí s účelem,</w:t>
      </w:r>
      <w:r>
        <w:rPr>
          <w:rFonts w:ascii="Arial" w:hAnsi="Arial" w:cs="Arial"/>
          <w:sz w:val="20"/>
          <w:szCs w:val="20"/>
        </w:rPr>
        <w:t xml:space="preserve"> na který je dotace poskytována</w:t>
      </w:r>
    </w:p>
    <w:p w14:paraId="2757531A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přípravné studie nebo jiné přípravné činnosti včetně zpracování Žádosti o</w:t>
      </w:r>
      <w:r>
        <w:rPr>
          <w:rFonts w:ascii="Arial" w:hAnsi="Arial" w:cs="Arial"/>
          <w:sz w:val="20"/>
          <w:szCs w:val="20"/>
        </w:rPr>
        <w:t> poskytnutí dotace</w:t>
      </w:r>
    </w:p>
    <w:p w14:paraId="5C1BD81F" w14:textId="77777777" w:rsidR="0069023B" w:rsidRPr="00E76E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 xml:space="preserve">pořízení nebo technické zhodnocení dlouhodobého hmotného a nehmotného majetku (dlouhodobým hmotným majetkem se rozumí majetek, jehož doba použitelnosti je delší než jeden rok </w:t>
      </w:r>
      <w:r w:rsidRPr="00E76E11">
        <w:rPr>
          <w:rFonts w:ascii="Arial" w:hAnsi="Arial" w:cs="Arial"/>
          <w:sz w:val="20"/>
          <w:szCs w:val="20"/>
        </w:rPr>
        <w:t>a jehož ocenění převyšuje částku 40 000 Kč; dlouhodobým nehmotným majetkem se rozumí majetek, jehož doba použitelnosti je delší než jeden rok a jehož ocenění převyšuje částku 60 000 Kč)</w:t>
      </w:r>
    </w:p>
    <w:p w14:paraId="333F08A3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</w:t>
      </w:r>
      <w:r>
        <w:rPr>
          <w:rFonts w:ascii="Arial" w:hAnsi="Arial" w:cs="Arial"/>
          <w:sz w:val="20"/>
          <w:szCs w:val="20"/>
        </w:rPr>
        <w:t>)</w:t>
      </w:r>
    </w:p>
    <w:p w14:paraId="143B13DC" w14:textId="77777777" w:rsidR="0069023B" w:rsidRPr="0048690C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>
        <w:rPr>
          <w:rFonts w:ascii="Arial" w:hAnsi="Arial" w:cs="Arial"/>
          <w:sz w:val="20"/>
          <w:szCs w:val="20"/>
        </w:rPr>
        <w:t>oprava majetku</w:t>
      </w:r>
    </w:p>
    <w:p w14:paraId="39758CB4" w14:textId="77777777" w:rsidR="0069023B" w:rsidRPr="000F24D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9F5BDE">
        <w:rPr>
          <w:rFonts w:ascii="Arial" w:hAnsi="Arial" w:cs="Arial"/>
          <w:sz w:val="20"/>
          <w:szCs w:val="20"/>
        </w:rPr>
        <w:t xml:space="preserve">výdaje na </w:t>
      </w:r>
      <w:proofErr w:type="spellStart"/>
      <w:r w:rsidRPr="009F5BDE">
        <w:rPr>
          <w:rFonts w:ascii="Arial" w:hAnsi="Arial" w:cs="Arial"/>
          <w:sz w:val="20"/>
          <w:szCs w:val="20"/>
        </w:rPr>
        <w:t>streamování</w:t>
      </w:r>
      <w:proofErr w:type="spellEnd"/>
      <w:r w:rsidRPr="009F5BDE">
        <w:rPr>
          <w:rFonts w:ascii="Arial" w:hAnsi="Arial" w:cs="Arial"/>
          <w:sz w:val="20"/>
          <w:szCs w:val="20"/>
        </w:rPr>
        <w:t>, videopřenosy a jiné zprostředkované způsoby přenosů</w:t>
      </w:r>
    </w:p>
    <w:p w14:paraId="6DA3AE8E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840111">
        <w:rPr>
          <w:rFonts w:ascii="Arial" w:hAnsi="Arial" w:cs="Arial"/>
          <w:sz w:val="20"/>
          <w:szCs w:val="20"/>
        </w:rPr>
        <w:t xml:space="preserve">pořízení CD, DVD </w:t>
      </w:r>
      <w:r>
        <w:rPr>
          <w:rFonts w:ascii="Arial" w:hAnsi="Arial" w:cs="Arial"/>
          <w:sz w:val="20"/>
          <w:szCs w:val="20"/>
        </w:rPr>
        <w:t xml:space="preserve">aj. </w:t>
      </w:r>
      <w:r w:rsidRPr="00840111">
        <w:rPr>
          <w:rFonts w:ascii="Arial" w:hAnsi="Arial" w:cs="Arial"/>
          <w:sz w:val="20"/>
          <w:szCs w:val="20"/>
        </w:rPr>
        <w:t>záznamu a fotodokumentace z projektu/akce</w:t>
      </w:r>
    </w:p>
    <w:p w14:paraId="3B6C5D45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9F5BDE">
        <w:rPr>
          <w:rFonts w:ascii="Arial" w:hAnsi="Arial" w:cs="Arial"/>
          <w:sz w:val="20"/>
          <w:szCs w:val="20"/>
        </w:rPr>
        <w:t>pronájem dětských aj. zábavných atr</w:t>
      </w:r>
      <w:r>
        <w:rPr>
          <w:rFonts w:ascii="Arial" w:hAnsi="Arial" w:cs="Arial"/>
          <w:sz w:val="20"/>
          <w:szCs w:val="20"/>
        </w:rPr>
        <w:t>akcí (např. skákací hrady atd.)</w:t>
      </w:r>
    </w:p>
    <w:p w14:paraId="4742F842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9F5BDE">
        <w:rPr>
          <w:rFonts w:ascii="Arial" w:hAnsi="Arial" w:cs="Arial"/>
          <w:sz w:val="20"/>
          <w:szCs w:val="20"/>
        </w:rPr>
        <w:t>výdaje na pohoštění, občers</w:t>
      </w:r>
      <w:r>
        <w:rPr>
          <w:rFonts w:ascii="Arial" w:hAnsi="Arial" w:cs="Arial"/>
          <w:sz w:val="20"/>
          <w:szCs w:val="20"/>
        </w:rPr>
        <w:t>tvení a stravování, pitný režim</w:t>
      </w:r>
    </w:p>
    <w:p w14:paraId="6F3ACDCC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9F5BDE">
        <w:rPr>
          <w:rFonts w:ascii="Arial" w:hAnsi="Arial" w:cs="Arial"/>
          <w:sz w:val="20"/>
          <w:szCs w:val="20"/>
        </w:rPr>
        <w:t>upomínkové a dárkové předměty (květiny, poháry, trofeje atd.), c</w:t>
      </w:r>
      <w:r>
        <w:rPr>
          <w:rFonts w:ascii="Arial" w:hAnsi="Arial" w:cs="Arial"/>
          <w:sz w:val="20"/>
          <w:szCs w:val="20"/>
        </w:rPr>
        <w:t>eny pro účastníky projektu/akce</w:t>
      </w:r>
    </w:p>
    <w:p w14:paraId="3DF5F270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nákup pyrote</w:t>
      </w:r>
      <w:r>
        <w:rPr>
          <w:rFonts w:ascii="Arial" w:hAnsi="Arial" w:cs="Arial"/>
          <w:sz w:val="20"/>
          <w:szCs w:val="20"/>
        </w:rPr>
        <w:t>chniky a pyrotechnických služeb</w:t>
      </w:r>
    </w:p>
    <w:p w14:paraId="1F6278BF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nákup a opravy hudebních nástrojů, krojů, triček a jiných</w:t>
      </w:r>
      <w:r>
        <w:rPr>
          <w:rFonts w:ascii="Arial" w:hAnsi="Arial" w:cs="Arial"/>
          <w:sz w:val="20"/>
          <w:szCs w:val="20"/>
        </w:rPr>
        <w:t xml:space="preserve"> oděvů</w:t>
      </w:r>
    </w:p>
    <w:p w14:paraId="1FBF0ADC" w14:textId="77777777" w:rsidR="0069023B" w:rsidRPr="00AD0DAB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pronájem hy</w:t>
      </w:r>
      <w:r>
        <w:rPr>
          <w:rFonts w:ascii="Arial" w:hAnsi="Arial" w:cs="Arial"/>
          <w:sz w:val="20"/>
          <w:szCs w:val="20"/>
        </w:rPr>
        <w:t>gienického zařízení (TOI, TOI)</w:t>
      </w:r>
    </w:p>
    <w:p w14:paraId="7F105ABB" w14:textId="77777777" w:rsidR="0069023B" w:rsidRPr="00AD0DAB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vedení a zpracování účetnictví projektu, administrativní práce</w:t>
      </w:r>
    </w:p>
    <w:p w14:paraId="3175BCB5" w14:textId="77777777" w:rsidR="0069023B" w:rsidRPr="00AD0DAB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 xml:space="preserve">výdaje na úhradu provozních výdajů: </w:t>
      </w:r>
    </w:p>
    <w:p w14:paraId="0CD54080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14:paraId="6C1832AF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telefonní účty, internet, bankovní poplatky, kurzové ztráty</w:t>
      </w:r>
      <w:r>
        <w:rPr>
          <w:rFonts w:ascii="Arial" w:hAnsi="Arial" w:cs="Arial"/>
          <w:sz w:val="20"/>
          <w:szCs w:val="20"/>
        </w:rPr>
        <w:t>,</w:t>
      </w:r>
    </w:p>
    <w:p w14:paraId="775D48A6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nákup poštovních známek, obálek, poštovné,</w:t>
      </w:r>
    </w:p>
    <w:p w14:paraId="71BD75F8" w14:textId="5A5D4F50" w:rsidR="006033A0" w:rsidRPr="0069023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kancelářský materiál.</w:t>
      </w:r>
      <w:r w:rsidRPr="00AD0DAB">
        <w:rPr>
          <w:rFonts w:ascii="Arial" w:hAnsi="Arial" w:cs="Arial"/>
          <w:sz w:val="20"/>
          <w:szCs w:val="20"/>
        </w:rPr>
        <w:tab/>
      </w:r>
    </w:p>
    <w:p w14:paraId="0C639C3D" w14:textId="2EA39DB0" w:rsidR="00EF3631" w:rsidRDefault="00B24D28" w:rsidP="00E82920">
      <w:pPr>
        <w:pStyle w:val="2rove"/>
        <w:spacing w:line="276" w:lineRule="auto"/>
      </w:pPr>
      <w:r w:rsidRPr="00A103DD">
        <w:t xml:space="preserve">Příjemce je povinen </w:t>
      </w:r>
      <w:r w:rsidR="003B7019">
        <w:t xml:space="preserve">v době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E82920">
      <w:pPr>
        <w:pStyle w:val="2rove"/>
        <w:spacing w:line="276" w:lineRule="auto"/>
      </w:pPr>
      <w:r w:rsidRPr="00A103DD">
        <w:lastRenderedPageBreak/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765E8A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8E5BB6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516FE2B5" w:rsidR="00B24D28" w:rsidRDefault="00B24D28" w:rsidP="008E5BB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67614859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07E24B73" w14:textId="56C7F37A" w:rsidR="00B24D28" w:rsidRDefault="00B24D28" w:rsidP="008E5BB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77777777" w:rsidR="00B64E1E" w:rsidRDefault="00CD2C76" w:rsidP="00496893">
      <w:pPr>
        <w:pStyle w:val="2rove"/>
        <w:spacing w:line="276" w:lineRule="auto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181C50E1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 w:rsidR="001A3592"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77777777" w:rsidR="00FC2E44" w:rsidRDefault="00FC2E44" w:rsidP="00E86D26">
      <w:pPr>
        <w:pStyle w:val="2rove"/>
        <w:spacing w:after="0" w:line="276" w:lineRule="auto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19FF5982" w14:textId="364B80A8" w:rsidR="00A233FD" w:rsidRDefault="00A233FD" w:rsidP="005A3060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specifikace jednotlivých výdajů,</w:t>
      </w:r>
    </w:p>
    <w:p w14:paraId="272B88FC" w14:textId="2F9B1B8B" w:rsidR="00A233FD" w:rsidRDefault="00A233FD" w:rsidP="00FB2DC8">
      <w:pPr>
        <w:pStyle w:val="2rove"/>
        <w:spacing w:line="276" w:lineRule="auto"/>
      </w:pPr>
      <w:r>
        <w:t>Příjemce bere na vědomí, že dotace poskytnutá dle této smlouvy je</w:t>
      </w:r>
      <w:r w:rsidR="00EE22E1">
        <w:t xml:space="preserve"> </w:t>
      </w:r>
      <w:r w:rsidR="005269E1" w:rsidRPr="00EE22E1">
        <w:rPr>
          <w:b/>
        </w:rPr>
        <w:t>p</w:t>
      </w:r>
      <w:r w:rsidRPr="00EE22E1">
        <w:rPr>
          <w:b/>
        </w:rPr>
        <w:t xml:space="preserve">odporou de </w:t>
      </w:r>
      <w:proofErr w:type="spellStart"/>
      <w:r w:rsidRPr="00EE22E1">
        <w:rPr>
          <w:b/>
        </w:rPr>
        <w:t>minimis</w:t>
      </w:r>
      <w:proofErr w:type="spellEnd"/>
      <w:r>
        <w:t xml:space="preserve"> ve 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 xml:space="preserve">2013, o použití článků 107 a 108 Smlouvy o fungování Evropské unie na podporu de </w:t>
      </w:r>
      <w:proofErr w:type="spellStart"/>
      <w:r w:rsidRPr="00A233FD">
        <w:t>minimis</w:t>
      </w:r>
      <w:proofErr w:type="spellEnd"/>
      <w:r w:rsidRPr="00A233FD">
        <w:t xml:space="preserve"> (zveřejněno v Úředním věstníku L</w:t>
      </w:r>
      <w:r w:rsidR="002E2196">
        <w:t> </w:t>
      </w:r>
      <w:r w:rsidRPr="00A233FD">
        <w:t>352/1 dne 24. 12. 2013</w:t>
      </w:r>
      <w:r w:rsidRPr="0099201B">
        <w:t>).</w:t>
      </w:r>
      <w:r w:rsidR="00D87383" w:rsidRPr="0099201B">
        <w:t xml:space="preserve"> V souvislosti s</w:t>
      </w:r>
      <w:r w:rsidR="006E3B58">
        <w:t> </w:t>
      </w:r>
      <w:r w:rsidR="00D87383" w:rsidRPr="0099201B">
        <w:t xml:space="preserve">podporou de </w:t>
      </w:r>
      <w:proofErr w:type="spellStart"/>
      <w:r w:rsidR="00D87383" w:rsidRPr="0099201B">
        <w:t>min</w:t>
      </w:r>
      <w:r w:rsidR="002E2196">
        <w:t>imis</w:t>
      </w:r>
      <w:proofErr w:type="spellEnd"/>
      <w:r w:rsidR="002E2196">
        <w:t xml:space="preserve"> se příjemce zavazuje, že v </w:t>
      </w:r>
      <w:r w:rsidR="00D87383" w:rsidRPr="0099201B">
        <w:t>případě, že v období tří účetních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</w:t>
      </w:r>
      <w:r w:rsidR="002E2196">
        <w:t> </w:t>
      </w:r>
      <w:r w:rsidR="00D87383" w:rsidRPr="0099201B">
        <w:t>této skutečnosti a</w:t>
      </w:r>
      <w:r w:rsidR="006E3B58">
        <w:t> </w:t>
      </w:r>
      <w:r w:rsidR="00D87383" w:rsidRPr="0099201B">
        <w:t xml:space="preserve">poskytnout mu informace nezbytné pro úpravu záznamu podpory de </w:t>
      </w:r>
      <w:proofErr w:type="spellStart"/>
      <w:r w:rsidR="00D87383" w:rsidRPr="0099201B">
        <w:t>minimis</w:t>
      </w:r>
      <w:proofErr w:type="spellEnd"/>
      <w:r w:rsidR="00D87383" w:rsidRPr="0099201B">
        <w:t xml:space="preserve"> poskytnuté dle této smlouvy v centrálním registru podpor malého rozsahu.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392BBF70" w14:textId="77777777" w:rsidR="00703656" w:rsidRDefault="00703656" w:rsidP="00E82920">
      <w:pPr>
        <w:pStyle w:val="2rove"/>
        <w:spacing w:line="276" w:lineRule="auto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E82920">
      <w:pPr>
        <w:pStyle w:val="2rove"/>
        <w:spacing w:line="276" w:lineRule="auto"/>
      </w:pPr>
      <w:r>
        <w:lastRenderedPageBreak/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6D73B170" w:rsidR="00703656" w:rsidRDefault="00703656" w:rsidP="00E82920">
      <w:pPr>
        <w:pStyle w:val="2rove"/>
        <w:spacing w:line="276" w:lineRule="auto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595EDB">
        <w:t xml:space="preserve">adrese </w:t>
      </w:r>
      <w:hyperlink r:id="rId11" w:history="1">
        <w:r w:rsidR="00595EDB" w:rsidRPr="009850B2">
          <w:rPr>
            <w:rStyle w:val="Hypertextovodkaz"/>
          </w:rPr>
          <w:t>https://www.kr-zlinsky.cz/logo-zlinskeho-kraje-ke-stazeni-cl-3386.html</w:t>
        </w:r>
      </w:hyperlink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E82920">
      <w:pPr>
        <w:pStyle w:val="2rove"/>
        <w:spacing w:line="276" w:lineRule="auto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5D16A0E0" w14:textId="7BB7362F" w:rsidR="00C92705" w:rsidRDefault="00C92705" w:rsidP="00EE22E1">
      <w:pPr>
        <w:pStyle w:val="2rove"/>
        <w:spacing w:line="276" w:lineRule="auto"/>
      </w:pPr>
      <w:r>
        <w:t>Příjemce je dále povinen prezentovat poskytovatele s</w:t>
      </w:r>
      <w:r w:rsidR="00EE22E1">
        <w:t> </w:t>
      </w:r>
      <w:r>
        <w:t>využitím</w:t>
      </w:r>
      <w:r w:rsidR="00EE22E1">
        <w:t xml:space="preserve"> </w:t>
      </w:r>
      <w:r>
        <w:t xml:space="preserve">alespoň 1 prostředku komunikace, který doloží v Závěrečné </w:t>
      </w:r>
      <w:r w:rsidR="00FB265A">
        <w:t>zprávě:</w:t>
      </w:r>
    </w:p>
    <w:p w14:paraId="4826970D" w14:textId="77777777" w:rsidR="000228C3" w:rsidRDefault="000228C3" w:rsidP="004C3F28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77777777" w:rsidR="000228C3" w:rsidRDefault="000228C3" w:rsidP="004C3F28">
      <w:pPr>
        <w:pStyle w:val="3rove-trval"/>
      </w:pPr>
      <w:r w:rsidRPr="00A960B0">
        <w:t>informační tabule (nástěnky,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4C3F28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4C3F28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4C3F28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2414864C" w:rsidR="000228C3" w:rsidRDefault="000228C3" w:rsidP="004C3F28">
      <w:pPr>
        <w:pStyle w:val="3rove-trval"/>
      </w:pPr>
      <w:r w:rsidRPr="00A960B0">
        <w:t xml:space="preserve">propagační </w:t>
      </w:r>
      <w:r w:rsidR="00EE22E1">
        <w:t xml:space="preserve">materiály nebo </w:t>
      </w:r>
      <w:r w:rsidRPr="00A960B0">
        <w:t xml:space="preserve">předměty (doloží se předložením propagačního </w:t>
      </w:r>
      <w:r w:rsidR="00EE22E1">
        <w:t xml:space="preserve">materiálu nebo </w:t>
      </w:r>
      <w:r w:rsidRPr="00A960B0">
        <w:t>předmětu)</w:t>
      </w:r>
      <w:r>
        <w:t>,</w:t>
      </w:r>
    </w:p>
    <w:p w14:paraId="03A1BCCE" w14:textId="77777777" w:rsidR="000228C3" w:rsidRDefault="000228C3" w:rsidP="004C3F28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15456A24" w:rsidR="000228C3" w:rsidRDefault="000228C3" w:rsidP="004C3F28">
      <w:pPr>
        <w:pStyle w:val="3rove-trval"/>
      </w:pPr>
      <w:r w:rsidRPr="00A960B0">
        <w:t>rozhlas – obecní či regionální/celoplošné vysílání (doloží se přepisem hlášeného textu a</w:t>
      </w:r>
      <w:r w:rsidR="006E3B58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4C3F28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4C3F28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4C3F28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798998D9" w14:textId="7BD072B7" w:rsidR="001E5A62" w:rsidRPr="005A3060" w:rsidRDefault="000228C3" w:rsidP="00EE22E1">
      <w:pPr>
        <w:pStyle w:val="3rove-trval"/>
      </w:pPr>
      <w:r w:rsidRPr="00A960B0">
        <w:t>webové stránky (doloží se odkazem na příslušné stránky s uvedením, kdy byla informace uveřejněna)</w:t>
      </w:r>
      <w:r w:rsidR="00EE22E1">
        <w:t>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B6058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4C3F28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4C3F28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4B27AD48" w:rsidR="002D215A" w:rsidRPr="00D11E31" w:rsidRDefault="00980B8C" w:rsidP="004C3F28">
      <w:pPr>
        <w:pStyle w:val="3rove-trval"/>
      </w:pPr>
      <w:r w:rsidRPr="00980B8C">
        <w:t>dojde k nenaplnění monitorov</w:t>
      </w:r>
      <w:r>
        <w:t>acího indikátoru dle čl. 3.1</w:t>
      </w:r>
      <w:r w:rsidR="006F0458">
        <w:t>,</w:t>
      </w:r>
    </w:p>
    <w:p w14:paraId="2AE1B240" w14:textId="77777777" w:rsidR="002D215A" w:rsidRPr="00D11E31" w:rsidRDefault="002D215A" w:rsidP="004C3F28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4C3F28">
      <w:pPr>
        <w:pStyle w:val="3rove-trval"/>
      </w:pPr>
      <w:r w:rsidRPr="00D11E31">
        <w:t>příjemce poruší povinnost dle čl. 5.7 nebo 5.8,</w:t>
      </w:r>
    </w:p>
    <w:p w14:paraId="5D26BADC" w14:textId="13453D29" w:rsidR="002D215A" w:rsidRPr="00B60582" w:rsidRDefault="002D215A" w:rsidP="004C3F28">
      <w:pPr>
        <w:pStyle w:val="3rove-trval"/>
      </w:pPr>
      <w:r>
        <w:t xml:space="preserve"> </w:t>
      </w:r>
      <w:r w:rsidRPr="00D11E31">
        <w:t xml:space="preserve">příjemce poruší pravidla veřejné podpory dle čl. 5.9. </w:t>
      </w:r>
    </w:p>
    <w:p w14:paraId="1E26630F" w14:textId="7896F6F8" w:rsidR="00B60582" w:rsidRPr="00D11E31" w:rsidRDefault="00B60582" w:rsidP="00B6058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279AF70" w:rsidR="002D215A" w:rsidRDefault="002D215A" w:rsidP="004C3F28">
      <w:pPr>
        <w:pStyle w:val="3rove-trval"/>
        <w:rPr>
          <w:i/>
        </w:rPr>
      </w:pPr>
      <w:r>
        <w:lastRenderedPageBreak/>
        <w:t xml:space="preserve">příjemce neodstraní nedostatky v předložené </w:t>
      </w:r>
      <w:r w:rsidR="00595EDB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214A9909" w:rsidR="002D215A" w:rsidRPr="00C61735" w:rsidRDefault="000D31A2" w:rsidP="004C3F28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EE22E1">
        <w:t xml:space="preserve"> </w:t>
      </w:r>
      <w:r w:rsidR="002D215A" w:rsidRPr="00FB0E5C">
        <w:t xml:space="preserve"> </w:t>
      </w:r>
    </w:p>
    <w:p w14:paraId="04347229" w14:textId="3704F823" w:rsidR="00357941" w:rsidRDefault="00357941" w:rsidP="00D11E31">
      <w:pPr>
        <w:pStyle w:val="2rove"/>
        <w:spacing w:line="276" w:lineRule="auto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4C3F28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4C3F28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D11E31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4C3F28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3C99512C" w:rsidR="004F1656" w:rsidRDefault="004F1656" w:rsidP="004C3F28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595EDB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5B3156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6D931BB0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>
        <w:t xml:space="preserve"> </w:t>
      </w:r>
      <w:r w:rsidR="00D9597D" w:rsidRPr="00A960B0">
        <w:t>/zřizovatele</w:t>
      </w:r>
      <w:r w:rsidR="00D9597D">
        <w:t>,</w:t>
      </w:r>
      <w:r>
        <w:t xml:space="preserve"> </w:t>
      </w:r>
      <w:r w:rsidRPr="00EB1154">
        <w:t xml:space="preserve"> </w:t>
      </w:r>
    </w:p>
    <w:p w14:paraId="28901192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515EC086" w:rsidR="00D9597D" w:rsidRPr="00EB1154" w:rsidRDefault="00747C54" w:rsidP="00501F8C">
      <w:pPr>
        <w:pStyle w:val="3rove-trval"/>
      </w:pPr>
      <w:r>
        <w:t>změna názvu příjemce /</w:t>
      </w:r>
      <w:r w:rsidR="00D9597D" w:rsidRPr="00A960B0">
        <w:t>zřizovatele</w:t>
      </w:r>
      <w:r w:rsidR="00D9597D">
        <w:t>,</w:t>
      </w:r>
      <w:r w:rsidRPr="00747C54">
        <w:t xml:space="preserve"> </w:t>
      </w:r>
    </w:p>
    <w:p w14:paraId="02717BA8" w14:textId="77777777" w:rsidR="00747C54" w:rsidRDefault="00747C54" w:rsidP="00501F8C">
      <w:pPr>
        <w:pStyle w:val="3rove-trval"/>
      </w:pPr>
      <w:r>
        <w:t>změna názvu akce/projektu při zachování účelu a všech ostatních parametrů akce/projektu,</w:t>
      </w:r>
    </w:p>
    <w:p w14:paraId="0F10FFA5" w14:textId="77777777" w:rsidR="00D9597D" w:rsidRDefault="00D9597D" w:rsidP="00501F8C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1A2C1EBB" w14:textId="74BF5588" w:rsidR="007A3EEB" w:rsidRDefault="007A3EEB" w:rsidP="00501F8C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9E67EA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 w:rsidR="00017E3A">
        <w:t>.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lastRenderedPageBreak/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00923547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6EC6B722" w14:textId="0DFC8C2F" w:rsidR="00504796" w:rsidRDefault="00504796" w:rsidP="00501F8C">
      <w:pPr>
        <w:pStyle w:val="3rove-trval"/>
      </w:pPr>
      <w:r>
        <w:t>poruší pravidla veřejné podpory</w:t>
      </w:r>
      <w:r w:rsidR="00506961">
        <w:t xml:space="preserve"> zejména dle čl. 5.9</w:t>
      </w:r>
      <w:r>
        <w:t>,</w:t>
      </w:r>
      <w:r w:rsidR="006A3349">
        <w:t xml:space="preserve"> </w:t>
      </w:r>
    </w:p>
    <w:p w14:paraId="3CCBCD73" w14:textId="7BB48CE9" w:rsidR="00F50470" w:rsidRDefault="00F50470" w:rsidP="00501F8C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7A2579CB" w:rsidR="00504796" w:rsidRDefault="00BD0327" w:rsidP="00BD0327">
      <w:pPr>
        <w:pStyle w:val="3rove-trval"/>
      </w:pPr>
      <w:r>
        <w:t>nenaplní</w:t>
      </w:r>
      <w:r w:rsidRPr="00980B8C">
        <w:t xml:space="preserve"> monitorov</w:t>
      </w:r>
      <w:r>
        <w:t>ací indikátor dle čl. 3.1</w:t>
      </w:r>
      <w:r w:rsidR="006F0458">
        <w:t>,</w:t>
      </w:r>
    </w:p>
    <w:p w14:paraId="6075BEBF" w14:textId="00F406C6" w:rsidR="001C6112" w:rsidRPr="001C6112" w:rsidRDefault="001C6112" w:rsidP="00501F8C">
      <w:pPr>
        <w:pStyle w:val="3rove-trval"/>
      </w:pPr>
      <w:r w:rsidRPr="00BC32A3">
        <w:t>v důsledku pochybení na straně příjemce došlo v průběhu akce k těžké újmě na zdraví, případně smrti účastníka této akce</w:t>
      </w:r>
      <w:r w:rsidR="00D70B07">
        <w:t>.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E82920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E82920">
      <w:pPr>
        <w:pStyle w:val="2rove"/>
        <w:spacing w:line="276" w:lineRule="auto"/>
      </w:pPr>
      <w:r w:rsidRPr="00BC32A3">
        <w:t xml:space="preserve">Při ukončení smlouvy dohodou je příjemce povinen vrátit bezhotovostním převodem na účet poskytovatele poskytnutou částku dotace, která mu již byla vyplacena, a to bez zbytečného </w:t>
      </w:r>
      <w:r w:rsidRPr="00BC32A3">
        <w:lastRenderedPageBreak/>
        <w:t>odkladu, nejpozději do 30 dnů ode dne doručení dohody podepsané oběma smluvními stranami, nedohodnou-li se smluvní strany jinak.</w:t>
      </w:r>
    </w:p>
    <w:p w14:paraId="2BA535EB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31FD7866" w:rsidR="00EC4D55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D70B07">
        <w:t xml:space="preserve">kultury a památkové péče, Ing. Blanka Herzanová, tel.: 577 043 611, e-mail: blanka.herzanova@kr-zlinsky.cz. </w:t>
      </w:r>
      <w:r w:rsidR="00D70B07" w:rsidRPr="00EC4D55">
        <w:t xml:space="preserve"> </w:t>
      </w:r>
    </w:p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5F977E89" w:rsidR="00EC4D55" w:rsidRDefault="00EC4D55" w:rsidP="00E82920">
      <w:pPr>
        <w:pStyle w:val="2rove"/>
        <w:spacing w:line="276" w:lineRule="auto"/>
      </w:pPr>
      <w:r w:rsidRPr="00BC32A3">
        <w:t>Smlouva je vyhotovena ve</w:t>
      </w:r>
      <w:r w:rsidR="006E3B58">
        <w:t> </w:t>
      </w:r>
      <w:r w:rsidR="001A3592">
        <w:t xml:space="preserve">čtyřech </w:t>
      </w:r>
      <w:r w:rsidRPr="00BC32A3">
        <w:t>stejnopisech, z nichž každý má platnost originálu.</w:t>
      </w:r>
      <w:r w:rsidR="006E3B58">
        <w:t> </w:t>
      </w:r>
      <w:r w:rsidR="001A3592" w:rsidRPr="0036174F">
        <w:rPr>
          <w:rFonts w:eastAsiaTheme="minorEastAsia" w:cs="Arial"/>
          <w:szCs w:val="20"/>
          <w:lang w:eastAsia="cs-CZ"/>
        </w:rPr>
        <w:t>Dvě vyhotovení obdrží poskytovatel, jedno vyhotovení obdrží příjemce a jedno vyhotovení zřizovatel příjemce.</w:t>
      </w:r>
    </w:p>
    <w:p w14:paraId="197971F9" w14:textId="0B25B1BB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63160ED5" w14:textId="675C9B07" w:rsidR="00F75253" w:rsidRDefault="00F75253" w:rsidP="00E82920">
      <w:pPr>
        <w:pStyle w:val="2rove"/>
        <w:spacing w:line="276" w:lineRule="auto"/>
      </w:pPr>
      <w:r w:rsidRPr="00BC32A3">
        <w:t xml:space="preserve">Tato smlouva nabývá účinnosti dnem zveřejnění v registru smluv. </w:t>
      </w: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715E04D4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3517B">
        <w:rPr>
          <w:rFonts w:cs="Arial"/>
          <w:szCs w:val="20"/>
        </w:rPr>
        <w:t> Zastupitelstvo Zlínského kraje</w:t>
      </w:r>
    </w:p>
    <w:p w14:paraId="4F7A8297" w14:textId="567C9E5D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3517B">
        <w:rPr>
          <w:rFonts w:cs="Arial"/>
          <w:szCs w:val="20"/>
        </w:rPr>
        <w:t> 24. 4. 2023, 0532/Z17/23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71C0EB6B" w14:textId="77777777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7061D703" w14:textId="77777777" w:rsidR="009E67EA" w:rsidRPr="00F75253" w:rsidRDefault="009E67EA" w:rsidP="00E82920">
      <w:pPr>
        <w:pStyle w:val="2rove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413E7546" w:rsidR="006A4FA0" w:rsidRDefault="006A4FA0" w:rsidP="00E82920">
            <w:pPr>
              <w:spacing w:line="276" w:lineRule="auto"/>
            </w:pPr>
            <w:r>
              <w:t>Ve Zlíně dne</w:t>
            </w:r>
            <w:r w:rsidR="00BA02AD">
              <w:t> 5. 6. 2023</w:t>
            </w:r>
          </w:p>
        </w:tc>
        <w:tc>
          <w:tcPr>
            <w:tcW w:w="4531" w:type="dxa"/>
            <w:vAlign w:val="center"/>
          </w:tcPr>
          <w:p w14:paraId="6BD02E02" w14:textId="5A1671D2" w:rsidR="006A4FA0" w:rsidRDefault="006A4FA0" w:rsidP="00B049C6">
            <w:pPr>
              <w:spacing w:line="276" w:lineRule="auto"/>
            </w:pPr>
            <w:r>
              <w:t>V</w:t>
            </w:r>
            <w:r w:rsidR="006E3B58">
              <w:t> </w:t>
            </w:r>
            <w:r w:rsidR="00BA02AD">
              <w:t>Kroměříži</w:t>
            </w:r>
            <w:r>
              <w:t xml:space="preserve"> dne</w:t>
            </w:r>
            <w:r w:rsidR="006E3B58">
              <w:t> </w:t>
            </w:r>
            <w:r w:rsidR="00BA02AD">
              <w:t>1</w:t>
            </w:r>
            <w:r w:rsidR="00B049C6">
              <w:t>9</w:t>
            </w:r>
            <w:bookmarkStart w:id="0" w:name="_GoBack"/>
            <w:bookmarkEnd w:id="0"/>
            <w:r w:rsidR="00BA02AD">
              <w:t>. 5. 2023</w:t>
            </w:r>
          </w:p>
        </w:tc>
      </w:tr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0B03C875" w14:textId="77777777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1592F844" w:rsidR="006A4FA0" w:rsidRDefault="00BA02AD" w:rsidP="009A3333">
            <w:pPr>
              <w:spacing w:line="276" w:lineRule="auto"/>
            </w:pPr>
            <w:r>
              <w:t>XXXXXXX</w:t>
            </w:r>
          </w:p>
          <w:p w14:paraId="2EDC7A34" w14:textId="0598D406" w:rsidR="006A4FA0" w:rsidRDefault="009A3333" w:rsidP="009A3333">
            <w:pPr>
              <w:spacing w:line="276" w:lineRule="auto"/>
            </w:pPr>
            <w:r>
              <w:t>Ing. Mgr. Zuzana Fišerová</w:t>
            </w:r>
            <w:r w:rsidRPr="0065397E">
              <w:t>, Ph.D.</w:t>
            </w:r>
            <w:r>
              <w:t xml:space="preserve">  </w:t>
            </w:r>
          </w:p>
        </w:tc>
        <w:tc>
          <w:tcPr>
            <w:tcW w:w="4531" w:type="dxa"/>
            <w:vAlign w:val="center"/>
          </w:tcPr>
          <w:p w14:paraId="5B48F8E7" w14:textId="33F70329" w:rsidR="006A4FA0" w:rsidRDefault="00BA02AD" w:rsidP="009A3333">
            <w:pPr>
              <w:pStyle w:val="Bezmezer"/>
              <w:spacing w:line="276" w:lineRule="auto"/>
            </w:pPr>
            <w:r>
              <w:t>XXXXXXX</w:t>
            </w:r>
          </w:p>
          <w:p w14:paraId="198191DC" w14:textId="4DA0B5A7" w:rsidR="006A4FA0" w:rsidRDefault="007A3819" w:rsidP="009A3333">
            <w:pPr>
              <w:spacing w:line="276" w:lineRule="auto"/>
            </w:pPr>
            <w:r w:rsidRPr="00041D9D">
              <w:t>Mgr. Pavel Sedláček</w:t>
            </w:r>
          </w:p>
        </w:tc>
      </w:tr>
    </w:tbl>
    <w:p w14:paraId="7F436010" w14:textId="1F92CBA5" w:rsidR="008E7B6E" w:rsidRDefault="009A3333" w:rsidP="00501F8C">
      <w:pPr>
        <w:pStyle w:val="2rove"/>
        <w:numPr>
          <w:ilvl w:val="0"/>
          <w:numId w:val="0"/>
        </w:numPr>
        <w:spacing w:line="276" w:lineRule="auto"/>
      </w:pPr>
      <w:r>
        <w:t xml:space="preserve">  členka Rady Zlínského kraje</w:t>
      </w:r>
      <w:r w:rsidR="007A3819">
        <w:tab/>
      </w:r>
      <w:r w:rsidR="007A3819">
        <w:tab/>
      </w:r>
      <w:r w:rsidR="007A3819">
        <w:tab/>
        <w:t xml:space="preserve">       ředitel</w:t>
      </w:r>
    </w:p>
    <w:sectPr w:rsidR="008E7B6E" w:rsidSect="00340B3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12FF4" w14:textId="77777777" w:rsidR="000A39B0" w:rsidRDefault="000A39B0" w:rsidP="00324D78">
      <w:pPr>
        <w:spacing w:after="0" w:line="240" w:lineRule="auto"/>
      </w:pPr>
      <w:r>
        <w:separator/>
      </w:r>
    </w:p>
  </w:endnote>
  <w:endnote w:type="continuationSeparator" w:id="0">
    <w:p w14:paraId="03D4A202" w14:textId="77777777" w:rsidR="000A39B0" w:rsidRDefault="000A39B0" w:rsidP="00324D78">
      <w:pPr>
        <w:spacing w:after="0" w:line="240" w:lineRule="auto"/>
      </w:pPr>
      <w:r>
        <w:continuationSeparator/>
      </w:r>
    </w:p>
  </w:endnote>
  <w:endnote w:type="continuationNotice" w:id="1">
    <w:p w14:paraId="3647067D" w14:textId="77777777" w:rsidR="000A39B0" w:rsidRDefault="000A39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DB62A" w14:textId="5076D768" w:rsidR="00C50D92" w:rsidRDefault="000A39B0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B049C6">
          <w:rPr>
            <w:b/>
            <w:bCs/>
            <w:noProof/>
          </w:rPr>
          <w:t>8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B049C6">
          <w:rPr>
            <w:b/>
            <w:bCs/>
            <w:noProof/>
          </w:rPr>
          <w:t>8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EC585" w14:textId="77777777" w:rsidR="000A39B0" w:rsidRDefault="000A39B0" w:rsidP="00324D78">
      <w:pPr>
        <w:spacing w:after="0" w:line="240" w:lineRule="auto"/>
      </w:pPr>
      <w:r>
        <w:separator/>
      </w:r>
    </w:p>
  </w:footnote>
  <w:footnote w:type="continuationSeparator" w:id="0">
    <w:p w14:paraId="06EF8AD3" w14:textId="77777777" w:rsidR="000A39B0" w:rsidRDefault="000A39B0" w:rsidP="00324D78">
      <w:pPr>
        <w:spacing w:after="0" w:line="240" w:lineRule="auto"/>
      </w:pPr>
      <w:r>
        <w:continuationSeparator/>
      </w:r>
    </w:p>
  </w:footnote>
  <w:footnote w:type="continuationNotice" w:id="1">
    <w:p w14:paraId="4FBA22BF" w14:textId="77777777" w:rsidR="000A39B0" w:rsidRDefault="000A39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529"/>
    <w:multiLevelType w:val="multilevel"/>
    <w:tmpl w:val="1F6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4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32A3"/>
    <w:rsid w:val="00013EEE"/>
    <w:rsid w:val="00017E3A"/>
    <w:rsid w:val="000228C3"/>
    <w:rsid w:val="0003487A"/>
    <w:rsid w:val="000417D8"/>
    <w:rsid w:val="0005319A"/>
    <w:rsid w:val="0005501A"/>
    <w:rsid w:val="00077168"/>
    <w:rsid w:val="00083923"/>
    <w:rsid w:val="00090713"/>
    <w:rsid w:val="00095DF0"/>
    <w:rsid w:val="000A39B0"/>
    <w:rsid w:val="000A6E68"/>
    <w:rsid w:val="000B0AC2"/>
    <w:rsid w:val="000B11E0"/>
    <w:rsid w:val="000B7FE5"/>
    <w:rsid w:val="000C5740"/>
    <w:rsid w:val="000D31A2"/>
    <w:rsid w:val="000E7D0E"/>
    <w:rsid w:val="000F686B"/>
    <w:rsid w:val="00114376"/>
    <w:rsid w:val="00116E6A"/>
    <w:rsid w:val="00123AD3"/>
    <w:rsid w:val="00126170"/>
    <w:rsid w:val="00141F9B"/>
    <w:rsid w:val="001422DD"/>
    <w:rsid w:val="0014635F"/>
    <w:rsid w:val="001575B6"/>
    <w:rsid w:val="001633E8"/>
    <w:rsid w:val="00165E3A"/>
    <w:rsid w:val="00184DB8"/>
    <w:rsid w:val="00185DE1"/>
    <w:rsid w:val="00186F11"/>
    <w:rsid w:val="001A3592"/>
    <w:rsid w:val="001C4D9E"/>
    <w:rsid w:val="001C6112"/>
    <w:rsid w:val="001E11F1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81988"/>
    <w:rsid w:val="002827BA"/>
    <w:rsid w:val="00282F08"/>
    <w:rsid w:val="00287043"/>
    <w:rsid w:val="002A0530"/>
    <w:rsid w:val="002A56F2"/>
    <w:rsid w:val="002B1861"/>
    <w:rsid w:val="002B1A10"/>
    <w:rsid w:val="002B4723"/>
    <w:rsid w:val="002C00E2"/>
    <w:rsid w:val="002C5090"/>
    <w:rsid w:val="002D215A"/>
    <w:rsid w:val="002E2196"/>
    <w:rsid w:val="002F1FE4"/>
    <w:rsid w:val="003042E9"/>
    <w:rsid w:val="00306C0D"/>
    <w:rsid w:val="0030743E"/>
    <w:rsid w:val="00313590"/>
    <w:rsid w:val="00324D78"/>
    <w:rsid w:val="00340702"/>
    <w:rsid w:val="00340B35"/>
    <w:rsid w:val="00357941"/>
    <w:rsid w:val="0036448F"/>
    <w:rsid w:val="003659F7"/>
    <w:rsid w:val="00373C3D"/>
    <w:rsid w:val="00374AE6"/>
    <w:rsid w:val="00376A53"/>
    <w:rsid w:val="00381A8A"/>
    <w:rsid w:val="003A2B2E"/>
    <w:rsid w:val="003A399C"/>
    <w:rsid w:val="003B4183"/>
    <w:rsid w:val="003B4F68"/>
    <w:rsid w:val="003B7019"/>
    <w:rsid w:val="003C4D8A"/>
    <w:rsid w:val="003D40FC"/>
    <w:rsid w:val="003D4418"/>
    <w:rsid w:val="003D6684"/>
    <w:rsid w:val="003D6A1A"/>
    <w:rsid w:val="003D7EC4"/>
    <w:rsid w:val="003E3BE0"/>
    <w:rsid w:val="003E3DF1"/>
    <w:rsid w:val="003F1035"/>
    <w:rsid w:val="004054E1"/>
    <w:rsid w:val="004065D5"/>
    <w:rsid w:val="00412219"/>
    <w:rsid w:val="00415855"/>
    <w:rsid w:val="00420BFF"/>
    <w:rsid w:val="004272E4"/>
    <w:rsid w:val="00430948"/>
    <w:rsid w:val="00432A5A"/>
    <w:rsid w:val="004340C5"/>
    <w:rsid w:val="00444289"/>
    <w:rsid w:val="00463EEE"/>
    <w:rsid w:val="00477791"/>
    <w:rsid w:val="00485683"/>
    <w:rsid w:val="004872A7"/>
    <w:rsid w:val="004942FC"/>
    <w:rsid w:val="00496893"/>
    <w:rsid w:val="004A3A15"/>
    <w:rsid w:val="004A4040"/>
    <w:rsid w:val="004B6331"/>
    <w:rsid w:val="004C3F28"/>
    <w:rsid w:val="004D67D0"/>
    <w:rsid w:val="004D7E38"/>
    <w:rsid w:val="004E4E47"/>
    <w:rsid w:val="004F068F"/>
    <w:rsid w:val="004F1656"/>
    <w:rsid w:val="00501F8C"/>
    <w:rsid w:val="00504796"/>
    <w:rsid w:val="00506961"/>
    <w:rsid w:val="005143BA"/>
    <w:rsid w:val="005160EE"/>
    <w:rsid w:val="00516C51"/>
    <w:rsid w:val="005269E1"/>
    <w:rsid w:val="00530D1A"/>
    <w:rsid w:val="00535F16"/>
    <w:rsid w:val="005405D6"/>
    <w:rsid w:val="00552A30"/>
    <w:rsid w:val="0056114B"/>
    <w:rsid w:val="005651A6"/>
    <w:rsid w:val="00567CAC"/>
    <w:rsid w:val="005764B2"/>
    <w:rsid w:val="005803A9"/>
    <w:rsid w:val="0058284A"/>
    <w:rsid w:val="00584FAF"/>
    <w:rsid w:val="00586C8E"/>
    <w:rsid w:val="00592774"/>
    <w:rsid w:val="00595EDB"/>
    <w:rsid w:val="005A3060"/>
    <w:rsid w:val="005B1088"/>
    <w:rsid w:val="005B3156"/>
    <w:rsid w:val="005B3FE5"/>
    <w:rsid w:val="005C0FC8"/>
    <w:rsid w:val="005C3F37"/>
    <w:rsid w:val="005C5366"/>
    <w:rsid w:val="005E7ABA"/>
    <w:rsid w:val="005F4571"/>
    <w:rsid w:val="005F5EF1"/>
    <w:rsid w:val="006033A0"/>
    <w:rsid w:val="00603571"/>
    <w:rsid w:val="00610168"/>
    <w:rsid w:val="006120A4"/>
    <w:rsid w:val="006137BD"/>
    <w:rsid w:val="00626FA3"/>
    <w:rsid w:val="0063517B"/>
    <w:rsid w:val="00663A3B"/>
    <w:rsid w:val="00664E5A"/>
    <w:rsid w:val="00674C5D"/>
    <w:rsid w:val="0069023B"/>
    <w:rsid w:val="006A3349"/>
    <w:rsid w:val="006A3BB7"/>
    <w:rsid w:val="006A4FA0"/>
    <w:rsid w:val="006A7E39"/>
    <w:rsid w:val="006E3B58"/>
    <w:rsid w:val="006E48D9"/>
    <w:rsid w:val="006F0458"/>
    <w:rsid w:val="00703656"/>
    <w:rsid w:val="0071018E"/>
    <w:rsid w:val="007436CA"/>
    <w:rsid w:val="00747C54"/>
    <w:rsid w:val="00760945"/>
    <w:rsid w:val="00765E8A"/>
    <w:rsid w:val="00766DAA"/>
    <w:rsid w:val="0077026D"/>
    <w:rsid w:val="00774B8A"/>
    <w:rsid w:val="00781EA8"/>
    <w:rsid w:val="00794512"/>
    <w:rsid w:val="007A3819"/>
    <w:rsid w:val="007A38F9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4CE9"/>
    <w:rsid w:val="008006D9"/>
    <w:rsid w:val="008024B4"/>
    <w:rsid w:val="00814BAD"/>
    <w:rsid w:val="00826193"/>
    <w:rsid w:val="00836085"/>
    <w:rsid w:val="008366B8"/>
    <w:rsid w:val="00846F07"/>
    <w:rsid w:val="00860737"/>
    <w:rsid w:val="008640B1"/>
    <w:rsid w:val="00867936"/>
    <w:rsid w:val="00870EEC"/>
    <w:rsid w:val="008861B6"/>
    <w:rsid w:val="00887BFA"/>
    <w:rsid w:val="00890E4B"/>
    <w:rsid w:val="008A5D70"/>
    <w:rsid w:val="008A6407"/>
    <w:rsid w:val="008B3CAE"/>
    <w:rsid w:val="008C55EA"/>
    <w:rsid w:val="008C7C18"/>
    <w:rsid w:val="008D0B91"/>
    <w:rsid w:val="008D1EBC"/>
    <w:rsid w:val="008D374D"/>
    <w:rsid w:val="008E03AA"/>
    <w:rsid w:val="008E5BB6"/>
    <w:rsid w:val="008E75C2"/>
    <w:rsid w:val="008E7B6E"/>
    <w:rsid w:val="009021DC"/>
    <w:rsid w:val="009139D6"/>
    <w:rsid w:val="00927879"/>
    <w:rsid w:val="00930026"/>
    <w:rsid w:val="009465C0"/>
    <w:rsid w:val="00950166"/>
    <w:rsid w:val="009514A5"/>
    <w:rsid w:val="009554B4"/>
    <w:rsid w:val="009609DE"/>
    <w:rsid w:val="009631A7"/>
    <w:rsid w:val="00971B6C"/>
    <w:rsid w:val="009726C2"/>
    <w:rsid w:val="00980B8C"/>
    <w:rsid w:val="00983080"/>
    <w:rsid w:val="00990D91"/>
    <w:rsid w:val="0099201B"/>
    <w:rsid w:val="00994345"/>
    <w:rsid w:val="009954FF"/>
    <w:rsid w:val="009968D7"/>
    <w:rsid w:val="009A2212"/>
    <w:rsid w:val="009A3333"/>
    <w:rsid w:val="009A7B68"/>
    <w:rsid w:val="009B7C70"/>
    <w:rsid w:val="009C62B9"/>
    <w:rsid w:val="009D1F61"/>
    <w:rsid w:val="009D6548"/>
    <w:rsid w:val="009E1DBD"/>
    <w:rsid w:val="009E67EA"/>
    <w:rsid w:val="00A105AA"/>
    <w:rsid w:val="00A20D53"/>
    <w:rsid w:val="00A233FD"/>
    <w:rsid w:val="00A35B90"/>
    <w:rsid w:val="00A35E3A"/>
    <w:rsid w:val="00A439DD"/>
    <w:rsid w:val="00A517D6"/>
    <w:rsid w:val="00A60925"/>
    <w:rsid w:val="00A63716"/>
    <w:rsid w:val="00A64E56"/>
    <w:rsid w:val="00A66CDB"/>
    <w:rsid w:val="00A75A68"/>
    <w:rsid w:val="00A954DB"/>
    <w:rsid w:val="00A96CAC"/>
    <w:rsid w:val="00AB0C43"/>
    <w:rsid w:val="00AB4AFB"/>
    <w:rsid w:val="00AB7406"/>
    <w:rsid w:val="00AC1210"/>
    <w:rsid w:val="00AD41BD"/>
    <w:rsid w:val="00AF403C"/>
    <w:rsid w:val="00B007CA"/>
    <w:rsid w:val="00B036EE"/>
    <w:rsid w:val="00B049C6"/>
    <w:rsid w:val="00B06852"/>
    <w:rsid w:val="00B21DB2"/>
    <w:rsid w:val="00B24D28"/>
    <w:rsid w:val="00B4088C"/>
    <w:rsid w:val="00B43670"/>
    <w:rsid w:val="00B56AC2"/>
    <w:rsid w:val="00B57038"/>
    <w:rsid w:val="00B572AA"/>
    <w:rsid w:val="00B60582"/>
    <w:rsid w:val="00B64E1E"/>
    <w:rsid w:val="00B7467E"/>
    <w:rsid w:val="00B779C7"/>
    <w:rsid w:val="00B86775"/>
    <w:rsid w:val="00BA02AD"/>
    <w:rsid w:val="00BD0327"/>
    <w:rsid w:val="00BD1A8B"/>
    <w:rsid w:val="00BD2867"/>
    <w:rsid w:val="00BE049C"/>
    <w:rsid w:val="00BE1FEE"/>
    <w:rsid w:val="00BE451E"/>
    <w:rsid w:val="00BF1BAB"/>
    <w:rsid w:val="00C057C8"/>
    <w:rsid w:val="00C069A0"/>
    <w:rsid w:val="00C201D2"/>
    <w:rsid w:val="00C23F57"/>
    <w:rsid w:val="00C276DF"/>
    <w:rsid w:val="00C3329E"/>
    <w:rsid w:val="00C3703E"/>
    <w:rsid w:val="00C41132"/>
    <w:rsid w:val="00C50D92"/>
    <w:rsid w:val="00C64D04"/>
    <w:rsid w:val="00C70342"/>
    <w:rsid w:val="00C736EB"/>
    <w:rsid w:val="00C81F2E"/>
    <w:rsid w:val="00C92705"/>
    <w:rsid w:val="00C93792"/>
    <w:rsid w:val="00C9772B"/>
    <w:rsid w:val="00CA6054"/>
    <w:rsid w:val="00CB1B5B"/>
    <w:rsid w:val="00CB40FE"/>
    <w:rsid w:val="00CB78A2"/>
    <w:rsid w:val="00CC6CBC"/>
    <w:rsid w:val="00CD15CD"/>
    <w:rsid w:val="00CD2022"/>
    <w:rsid w:val="00CD2C76"/>
    <w:rsid w:val="00CD6632"/>
    <w:rsid w:val="00CD6741"/>
    <w:rsid w:val="00CE1DC5"/>
    <w:rsid w:val="00CF3AEF"/>
    <w:rsid w:val="00D0470B"/>
    <w:rsid w:val="00D067FC"/>
    <w:rsid w:val="00D11E31"/>
    <w:rsid w:val="00D143CD"/>
    <w:rsid w:val="00D24B65"/>
    <w:rsid w:val="00D53684"/>
    <w:rsid w:val="00D62E0E"/>
    <w:rsid w:val="00D62FDD"/>
    <w:rsid w:val="00D64AB1"/>
    <w:rsid w:val="00D65F4F"/>
    <w:rsid w:val="00D70B07"/>
    <w:rsid w:val="00D77279"/>
    <w:rsid w:val="00D81E06"/>
    <w:rsid w:val="00D87383"/>
    <w:rsid w:val="00D9597D"/>
    <w:rsid w:val="00DA3937"/>
    <w:rsid w:val="00DB2509"/>
    <w:rsid w:val="00DC297B"/>
    <w:rsid w:val="00DD47CA"/>
    <w:rsid w:val="00DE1A8D"/>
    <w:rsid w:val="00DE5507"/>
    <w:rsid w:val="00DE64D6"/>
    <w:rsid w:val="00DE6C50"/>
    <w:rsid w:val="00E00200"/>
    <w:rsid w:val="00E11474"/>
    <w:rsid w:val="00E14143"/>
    <w:rsid w:val="00E24859"/>
    <w:rsid w:val="00E2743A"/>
    <w:rsid w:val="00E35B80"/>
    <w:rsid w:val="00E51ADF"/>
    <w:rsid w:val="00E52928"/>
    <w:rsid w:val="00E81330"/>
    <w:rsid w:val="00E82920"/>
    <w:rsid w:val="00E84126"/>
    <w:rsid w:val="00E8594B"/>
    <w:rsid w:val="00E86D26"/>
    <w:rsid w:val="00E917D9"/>
    <w:rsid w:val="00EA1D72"/>
    <w:rsid w:val="00EA26E7"/>
    <w:rsid w:val="00EA63B6"/>
    <w:rsid w:val="00EB1154"/>
    <w:rsid w:val="00EC4D55"/>
    <w:rsid w:val="00EC5183"/>
    <w:rsid w:val="00EE1FAD"/>
    <w:rsid w:val="00EE22E1"/>
    <w:rsid w:val="00EE3182"/>
    <w:rsid w:val="00EF0397"/>
    <w:rsid w:val="00EF3631"/>
    <w:rsid w:val="00EF4D59"/>
    <w:rsid w:val="00F03FF4"/>
    <w:rsid w:val="00F120BA"/>
    <w:rsid w:val="00F13C74"/>
    <w:rsid w:val="00F26AF6"/>
    <w:rsid w:val="00F367F3"/>
    <w:rsid w:val="00F3780D"/>
    <w:rsid w:val="00F40D13"/>
    <w:rsid w:val="00F43D0C"/>
    <w:rsid w:val="00F50470"/>
    <w:rsid w:val="00F54213"/>
    <w:rsid w:val="00F575F2"/>
    <w:rsid w:val="00F63FD3"/>
    <w:rsid w:val="00F71A22"/>
    <w:rsid w:val="00F75253"/>
    <w:rsid w:val="00F8398D"/>
    <w:rsid w:val="00F90976"/>
    <w:rsid w:val="00FB0E5C"/>
    <w:rsid w:val="00FB265A"/>
    <w:rsid w:val="00FC1D25"/>
    <w:rsid w:val="00FC2E44"/>
    <w:rsid w:val="00FD4695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9023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69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zlinsky.cz/logo-zlinskeho-kraje-ke-stazeni-cl-3386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0E20C-2A79-4DAB-9B15-48612758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8</Pages>
  <Words>3672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Herzanová Blanka</cp:lastModifiedBy>
  <cp:revision>4</cp:revision>
  <dcterms:created xsi:type="dcterms:W3CDTF">2023-06-13T08:38:00Z</dcterms:created>
  <dcterms:modified xsi:type="dcterms:W3CDTF">2023-06-13T09:07:00Z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