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4001" w:type="dxa"/>
        <w:tblInd w:w="5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2027"/>
      </w:tblGrid>
      <w:tr w:rsidR="00FA666D" w:rsidTr="003B2ADE">
        <w:trPr>
          <w:trHeight w:val="284"/>
        </w:trPr>
        <w:tc>
          <w:tcPr>
            <w:tcW w:w="1974" w:type="dxa"/>
          </w:tcPr>
          <w:p w:rsidR="00FA666D" w:rsidRDefault="00FA666D" w:rsidP="00FA666D">
            <w:pPr>
              <w:pStyle w:val="YSNormlnZanadpisemiobjektem"/>
            </w:pPr>
            <w:bookmarkStart w:id="0" w:name="_GoBack"/>
            <w:bookmarkEnd w:id="0"/>
            <w:r>
              <w:t>Číslo smlouvy:</w:t>
            </w:r>
          </w:p>
        </w:tc>
        <w:tc>
          <w:tcPr>
            <w:tcW w:w="2027" w:type="dxa"/>
          </w:tcPr>
          <w:p w:rsidR="00FA666D" w:rsidRPr="003B2ADE" w:rsidRDefault="00B91B76" w:rsidP="003B2ADE">
            <w:pPr>
              <w:pStyle w:val="YSNormlnZanadpisemiobjektem"/>
              <w:ind w:right="138"/>
              <w:jc w:val="right"/>
            </w:pPr>
            <w:r w:rsidRPr="003B2ADE">
              <w:t>S-MIMI-</w:t>
            </w:r>
            <w:r w:rsidR="003B2ADE">
              <w:t xml:space="preserve">000102 </w:t>
            </w:r>
          </w:p>
        </w:tc>
      </w:tr>
      <w:tr w:rsidR="00FA666D" w:rsidTr="003B2ADE">
        <w:trPr>
          <w:trHeight w:val="284"/>
        </w:trPr>
        <w:tc>
          <w:tcPr>
            <w:tcW w:w="1974" w:type="dxa"/>
          </w:tcPr>
          <w:p w:rsidR="00FA666D" w:rsidRDefault="003B2ADE" w:rsidP="00FA666D">
            <w:pPr>
              <w:pStyle w:val="YSNormlnZanadpisemiobjektem"/>
            </w:pPr>
            <w:r>
              <w:t>Počet stran</w:t>
            </w:r>
            <w:r w:rsidR="00FA666D">
              <w:t>:</w:t>
            </w:r>
          </w:p>
        </w:tc>
        <w:tc>
          <w:tcPr>
            <w:tcW w:w="2027" w:type="dxa"/>
          </w:tcPr>
          <w:p w:rsidR="00FA666D" w:rsidRPr="003B2ADE" w:rsidRDefault="00157416" w:rsidP="003B2ADE">
            <w:pPr>
              <w:pStyle w:val="YSNormlnZanadpisemiobjektem"/>
              <w:ind w:right="138"/>
              <w:jc w:val="right"/>
            </w:pPr>
            <w:fldSimple w:instr=" NUMPAGES   \* MERGEFORMAT ">
              <w:r w:rsidR="003B2ADE" w:rsidRPr="003B2ADE">
                <w:rPr>
                  <w:noProof/>
                </w:rPr>
                <w:t>14</w:t>
              </w:r>
            </w:fldSimple>
          </w:p>
        </w:tc>
      </w:tr>
      <w:tr w:rsidR="00FA666D" w:rsidTr="003B2ADE">
        <w:trPr>
          <w:trHeight w:val="284"/>
        </w:trPr>
        <w:tc>
          <w:tcPr>
            <w:tcW w:w="1974" w:type="dxa"/>
          </w:tcPr>
          <w:p w:rsidR="00FA666D" w:rsidRDefault="00FA666D" w:rsidP="00FA666D">
            <w:pPr>
              <w:pStyle w:val="YSNormlnZanadpisemiobjektem"/>
            </w:pPr>
            <w:r>
              <w:t>Počet příloh:</w:t>
            </w:r>
          </w:p>
        </w:tc>
        <w:tc>
          <w:tcPr>
            <w:tcW w:w="2027" w:type="dxa"/>
          </w:tcPr>
          <w:p w:rsidR="00FA666D" w:rsidRPr="003B2ADE" w:rsidRDefault="00B91B76" w:rsidP="003B2ADE">
            <w:pPr>
              <w:pStyle w:val="YSNormlnZanadpisemiobjektem"/>
              <w:ind w:right="138"/>
              <w:jc w:val="right"/>
            </w:pPr>
            <w:r w:rsidRPr="003B2ADE">
              <w:t>0</w:t>
            </w:r>
          </w:p>
        </w:tc>
      </w:tr>
    </w:tbl>
    <w:p w:rsidR="00FA666D" w:rsidRDefault="00FA666D" w:rsidP="00FA666D">
      <w:pPr>
        <w:pStyle w:val="YSNormlnZanadpisemiobjektem"/>
      </w:pPr>
    </w:p>
    <w:p w:rsidR="007134AD" w:rsidRDefault="00BC4FF4" w:rsidP="00BC4FF4">
      <w:pPr>
        <w:pStyle w:val="YSNadpis1Neslovan"/>
        <w:spacing w:before="360" w:after="400"/>
        <w:jc w:val="center"/>
      </w:pPr>
      <w:r>
        <w:t>Kupní smlouva</w:t>
      </w:r>
    </w:p>
    <w:p w:rsidR="007134AD" w:rsidRDefault="007134AD" w:rsidP="007134AD">
      <w:pPr>
        <w:rPr>
          <w:lang w:eastAsia="cs-CZ"/>
        </w:rPr>
        <w:sectPr w:rsidR="007134AD">
          <w:headerReference w:type="default" r:id="rId10"/>
          <w:footerReference w:type="default" r:id="rId11"/>
          <w:pgSz w:w="11906" w:h="16838"/>
          <w:pgMar w:top="1417" w:right="1417" w:bottom="1417" w:left="1417" w:header="708" w:footer="708" w:gutter="0"/>
          <w:cols w:space="708"/>
          <w:docGrid w:linePitch="360"/>
        </w:sectPr>
      </w:pPr>
    </w:p>
    <w:p w:rsidR="007134AD" w:rsidRPr="007134AD" w:rsidRDefault="007134AD" w:rsidP="007134AD">
      <w:pPr>
        <w:pStyle w:val="YSNormlnZanadpisemiobjektem"/>
        <w:jc w:val="left"/>
        <w:rPr>
          <w:b/>
        </w:rPr>
      </w:pPr>
      <w:r w:rsidRPr="007134AD">
        <w:rPr>
          <w:b/>
        </w:rPr>
        <w:t>YOUR SYSTEM, spol. s.r.o.</w:t>
      </w:r>
    </w:p>
    <w:p w:rsidR="007134AD" w:rsidRDefault="00204240" w:rsidP="007134AD">
      <w:pPr>
        <w:pStyle w:val="YSNormlnZanadpisemiobjektem"/>
        <w:jc w:val="left"/>
      </w:pPr>
      <w:r>
        <w:t>Se sídlem</w:t>
      </w:r>
      <w:r>
        <w:br/>
      </w:r>
      <w:r w:rsidR="007134AD">
        <w:t>Telefon / fax</w:t>
      </w:r>
      <w:r w:rsidR="007134AD">
        <w:br/>
        <w:t>IČ</w:t>
      </w:r>
      <w:r w:rsidR="007134AD">
        <w:br/>
        <w:t>DIČ</w:t>
      </w:r>
      <w:r w:rsidR="007134AD">
        <w:br/>
        <w:t>Bankovní spojení</w:t>
      </w:r>
      <w:r w:rsidR="007134AD">
        <w:br/>
        <w:t>Číslo účtu</w:t>
      </w:r>
      <w:r w:rsidR="007134AD">
        <w:br/>
        <w:t>Jejímž jménem jedná</w:t>
      </w:r>
    </w:p>
    <w:p w:rsidR="007134AD" w:rsidRDefault="007134AD" w:rsidP="007134AD">
      <w:pPr>
        <w:pStyle w:val="YSNormlnZanadpisemiobjektem"/>
        <w:jc w:val="left"/>
      </w:pPr>
      <w:r>
        <w:br w:type="column"/>
      </w:r>
    </w:p>
    <w:p w:rsidR="007134AD" w:rsidRDefault="007134AD" w:rsidP="007134AD">
      <w:pPr>
        <w:pStyle w:val="YSNormlnZanadpisemiobjektem"/>
        <w:jc w:val="left"/>
        <w:sectPr w:rsidR="007134AD" w:rsidSect="007134AD">
          <w:type w:val="continuous"/>
          <w:pgSz w:w="11906" w:h="16838"/>
          <w:pgMar w:top="1417" w:right="1417" w:bottom="1417" w:left="1417" w:header="708" w:footer="708" w:gutter="0"/>
          <w:cols w:num="2" w:space="708" w:equalWidth="0">
            <w:col w:w="2552" w:space="708"/>
            <w:col w:w="5812"/>
          </w:cols>
          <w:docGrid w:linePitch="360"/>
        </w:sectPr>
      </w:pPr>
      <w:proofErr w:type="spellStart"/>
      <w:r>
        <w:t>Türkova</w:t>
      </w:r>
      <w:proofErr w:type="spellEnd"/>
      <w:r>
        <w:t xml:space="preserve"> 2319/5b, 149 00 Praha 4 – Chodov</w:t>
      </w:r>
      <w:r>
        <w:br/>
        <w:t>+420 277 775 500 / +420 277 775 501</w:t>
      </w:r>
      <w:r>
        <w:br/>
        <w:t>00174939</w:t>
      </w:r>
      <w:r>
        <w:br/>
        <w:t>CZ00174939</w:t>
      </w:r>
      <w:r>
        <w:br/>
        <w:t>UniCredit Bank CZ, a.s.</w:t>
      </w:r>
      <w:r>
        <w:br/>
        <w:t>381610004/2700</w:t>
      </w:r>
      <w:r>
        <w:br/>
      </w:r>
      <w:r w:rsidRPr="00204240">
        <w:rPr>
          <w:b/>
        </w:rPr>
        <w:t>RNDr. Martin Nehasil</w:t>
      </w:r>
      <w:r>
        <w:t>, jednatel společnosti</w:t>
      </w:r>
      <w:r>
        <w:br/>
      </w:r>
    </w:p>
    <w:p w:rsidR="007134AD" w:rsidRDefault="007134AD" w:rsidP="007134AD">
      <w:pPr>
        <w:pStyle w:val="YSNormlnZanadpisemiobjektem"/>
      </w:pPr>
      <w:r>
        <w:t>Společnost zapsaná v obchodním rejstříku vedeném Městským soudem v Praze, oddíl C, vložka 72.</w:t>
      </w:r>
    </w:p>
    <w:p w:rsidR="007134AD" w:rsidRDefault="007134AD" w:rsidP="005030F1">
      <w:pPr>
        <w:pStyle w:val="YSNormlnZanadpisemiobjektem"/>
      </w:pPr>
      <w:r>
        <w:t xml:space="preserve">(dále jen </w:t>
      </w:r>
      <w:r w:rsidRPr="007134AD">
        <w:rPr>
          <w:b/>
        </w:rPr>
        <w:t>“</w:t>
      </w:r>
      <w:r w:rsidR="006A0C53">
        <w:rPr>
          <w:b/>
        </w:rPr>
        <w:t>P</w:t>
      </w:r>
      <w:r w:rsidR="005030F1">
        <w:rPr>
          <w:b/>
        </w:rPr>
        <w:t>rodávající</w:t>
      </w:r>
      <w:r w:rsidRPr="007134AD">
        <w:rPr>
          <w:b/>
        </w:rPr>
        <w:t>”</w:t>
      </w:r>
      <w:r>
        <w:t>)</w:t>
      </w:r>
    </w:p>
    <w:p w:rsidR="007134AD" w:rsidRDefault="007134AD" w:rsidP="005030F1">
      <w:pPr>
        <w:pStyle w:val="YSNormln"/>
        <w:spacing w:before="400" w:after="400"/>
        <w:ind w:firstLine="0"/>
      </w:pPr>
      <w:r>
        <w:t>a</w:t>
      </w:r>
    </w:p>
    <w:p w:rsidR="00EB3BA5" w:rsidRPr="003B2ADE" w:rsidRDefault="00EB3BA5" w:rsidP="00EB3BA5">
      <w:pPr>
        <w:pStyle w:val="YSNormln"/>
        <w:spacing w:line="360" w:lineRule="auto"/>
        <w:ind w:firstLine="0"/>
        <w:rPr>
          <w:b/>
          <w:sz w:val="22"/>
        </w:rPr>
      </w:pPr>
      <w:r w:rsidRPr="003B2ADE">
        <w:rPr>
          <w:b/>
          <w:sz w:val="22"/>
        </w:rPr>
        <w:t>Gymnázium Oty Pavla</w:t>
      </w:r>
    </w:p>
    <w:tbl>
      <w:tblPr>
        <w:tblW w:w="8180" w:type="dxa"/>
        <w:tblInd w:w="-214" w:type="dxa"/>
        <w:tblLayout w:type="fixed"/>
        <w:tblCellMar>
          <w:left w:w="70" w:type="dxa"/>
          <w:right w:w="70" w:type="dxa"/>
        </w:tblCellMar>
        <w:tblLook w:val="0000" w:firstRow="0" w:lastRow="0" w:firstColumn="0" w:lastColumn="0" w:noHBand="0" w:noVBand="0"/>
      </w:tblPr>
      <w:tblGrid>
        <w:gridCol w:w="3333"/>
        <w:gridCol w:w="4847"/>
      </w:tblGrid>
      <w:tr w:rsidR="00EB3BA5" w:rsidRPr="003B2ADE" w:rsidTr="003B2ADE">
        <w:tc>
          <w:tcPr>
            <w:tcW w:w="3333" w:type="dxa"/>
          </w:tcPr>
          <w:p w:rsidR="00EB3BA5" w:rsidRPr="003B2ADE" w:rsidRDefault="003B2ADE" w:rsidP="00EB3BA5">
            <w:pPr>
              <w:pStyle w:val="Textnormln"/>
              <w:spacing w:before="0" w:after="0" w:line="360" w:lineRule="auto"/>
              <w:rPr>
                <w:rFonts w:asciiTheme="minorHAnsi" w:hAnsiTheme="minorHAnsi" w:cstheme="minorHAnsi"/>
                <w:sz w:val="22"/>
              </w:rPr>
            </w:pPr>
            <w:r>
              <w:rPr>
                <w:rFonts w:asciiTheme="minorHAnsi" w:hAnsiTheme="minorHAnsi" w:cstheme="minorHAnsi"/>
                <w:sz w:val="22"/>
              </w:rPr>
              <w:t>S</w:t>
            </w:r>
            <w:r w:rsidR="00EB3BA5" w:rsidRPr="003B2ADE">
              <w:rPr>
                <w:rFonts w:asciiTheme="minorHAnsi" w:hAnsiTheme="minorHAnsi" w:cstheme="minorHAnsi"/>
                <w:sz w:val="22"/>
              </w:rPr>
              <w:t xml:space="preserve">e sídlem </w:t>
            </w:r>
          </w:p>
        </w:tc>
        <w:tc>
          <w:tcPr>
            <w:tcW w:w="4847" w:type="dxa"/>
          </w:tcPr>
          <w:p w:rsidR="00EB3BA5" w:rsidRPr="003B2ADE" w:rsidRDefault="00EB3BA5" w:rsidP="00EB3BA5">
            <w:pPr>
              <w:pStyle w:val="Textnormln"/>
              <w:spacing w:before="0" w:after="0" w:line="360" w:lineRule="auto"/>
              <w:rPr>
                <w:rFonts w:asciiTheme="minorHAnsi" w:hAnsiTheme="minorHAnsi" w:cstheme="minorHAnsi"/>
                <w:sz w:val="22"/>
              </w:rPr>
            </w:pPr>
            <w:r w:rsidRPr="003B2ADE">
              <w:rPr>
                <w:rFonts w:asciiTheme="minorHAnsi" w:hAnsiTheme="minorHAnsi" w:cstheme="minorHAnsi"/>
                <w:sz w:val="22"/>
                <w:lang w:bidi="en-US"/>
              </w:rPr>
              <w:t>Loučanská 520, 153 00 Praha 16 - Radotín</w:t>
            </w:r>
          </w:p>
        </w:tc>
      </w:tr>
      <w:tr w:rsidR="00EB3BA5" w:rsidRPr="003B2ADE" w:rsidTr="003B2ADE">
        <w:tc>
          <w:tcPr>
            <w:tcW w:w="3333" w:type="dxa"/>
          </w:tcPr>
          <w:p w:rsidR="00EB3BA5" w:rsidRPr="003B2ADE" w:rsidRDefault="00EB3BA5" w:rsidP="00EB3BA5">
            <w:pPr>
              <w:pStyle w:val="Textnormln"/>
              <w:spacing w:before="0" w:after="0" w:line="360" w:lineRule="auto"/>
              <w:rPr>
                <w:rFonts w:asciiTheme="minorHAnsi" w:hAnsiTheme="minorHAnsi" w:cstheme="minorHAnsi"/>
                <w:sz w:val="22"/>
              </w:rPr>
            </w:pPr>
            <w:r w:rsidRPr="003B2ADE">
              <w:rPr>
                <w:rFonts w:asciiTheme="minorHAnsi" w:hAnsiTheme="minorHAnsi" w:cstheme="minorHAnsi"/>
                <w:sz w:val="22"/>
              </w:rPr>
              <w:t>telefon / fax</w:t>
            </w:r>
          </w:p>
        </w:tc>
        <w:tc>
          <w:tcPr>
            <w:tcW w:w="4847" w:type="dxa"/>
          </w:tcPr>
          <w:p w:rsidR="00EB3BA5" w:rsidRPr="003B2ADE" w:rsidRDefault="00EB3BA5" w:rsidP="00EB3BA5">
            <w:pPr>
              <w:pStyle w:val="Textnormln"/>
              <w:spacing w:before="0" w:after="0" w:line="360" w:lineRule="auto"/>
              <w:rPr>
                <w:rFonts w:asciiTheme="minorHAnsi" w:hAnsiTheme="minorHAnsi" w:cstheme="minorHAnsi"/>
                <w:sz w:val="22"/>
              </w:rPr>
            </w:pPr>
            <w:r w:rsidRPr="003B2ADE">
              <w:rPr>
                <w:rFonts w:asciiTheme="minorHAnsi" w:hAnsiTheme="minorHAnsi" w:cstheme="minorHAnsi"/>
                <w:sz w:val="22"/>
              </w:rPr>
              <w:t>(+420) 257 911 680</w:t>
            </w:r>
          </w:p>
        </w:tc>
      </w:tr>
      <w:tr w:rsidR="00EB3BA5" w:rsidRPr="003B2ADE" w:rsidTr="003B2ADE">
        <w:tc>
          <w:tcPr>
            <w:tcW w:w="3333" w:type="dxa"/>
          </w:tcPr>
          <w:p w:rsidR="00EB3BA5" w:rsidRPr="003B2ADE" w:rsidRDefault="00EB3BA5" w:rsidP="00EB3BA5">
            <w:pPr>
              <w:pStyle w:val="Textnormln"/>
              <w:spacing w:before="0" w:after="0" w:line="360" w:lineRule="auto"/>
              <w:rPr>
                <w:rFonts w:asciiTheme="minorHAnsi" w:hAnsiTheme="minorHAnsi" w:cstheme="minorHAnsi"/>
                <w:sz w:val="22"/>
              </w:rPr>
            </w:pPr>
            <w:r w:rsidRPr="003B2ADE">
              <w:rPr>
                <w:rFonts w:asciiTheme="minorHAnsi" w:hAnsiTheme="minorHAnsi" w:cstheme="minorHAnsi"/>
                <w:sz w:val="22"/>
              </w:rPr>
              <w:t xml:space="preserve">IČ </w:t>
            </w:r>
          </w:p>
        </w:tc>
        <w:tc>
          <w:tcPr>
            <w:tcW w:w="4847" w:type="dxa"/>
          </w:tcPr>
          <w:p w:rsidR="00EB3BA5" w:rsidRPr="003B2ADE" w:rsidRDefault="00EB3BA5" w:rsidP="00EB3BA5">
            <w:pPr>
              <w:pStyle w:val="Textnormln"/>
              <w:spacing w:before="0" w:after="0" w:line="360" w:lineRule="auto"/>
              <w:rPr>
                <w:rFonts w:asciiTheme="minorHAnsi" w:hAnsiTheme="minorHAnsi" w:cstheme="minorHAnsi"/>
                <w:sz w:val="22"/>
              </w:rPr>
            </w:pPr>
            <w:r w:rsidRPr="003B2ADE">
              <w:rPr>
                <w:rFonts w:asciiTheme="minorHAnsi" w:hAnsiTheme="minorHAnsi" w:cstheme="minorHAnsi"/>
                <w:sz w:val="22"/>
                <w:lang w:bidi="en-US"/>
              </w:rPr>
              <w:t>61384992</w:t>
            </w:r>
          </w:p>
        </w:tc>
      </w:tr>
      <w:tr w:rsidR="00EB3BA5" w:rsidRPr="003B2ADE" w:rsidTr="003B2ADE">
        <w:tc>
          <w:tcPr>
            <w:tcW w:w="3333" w:type="dxa"/>
          </w:tcPr>
          <w:p w:rsidR="00EB3BA5" w:rsidRPr="003B2ADE" w:rsidRDefault="00EB3BA5" w:rsidP="00EB3BA5">
            <w:pPr>
              <w:pStyle w:val="Textnormln"/>
              <w:spacing w:before="0" w:after="0" w:line="360" w:lineRule="auto"/>
              <w:rPr>
                <w:rFonts w:asciiTheme="minorHAnsi" w:hAnsiTheme="minorHAnsi" w:cstheme="minorHAnsi"/>
                <w:sz w:val="22"/>
              </w:rPr>
            </w:pPr>
            <w:r w:rsidRPr="003B2ADE">
              <w:rPr>
                <w:rFonts w:asciiTheme="minorHAnsi" w:hAnsiTheme="minorHAnsi" w:cstheme="minorHAnsi"/>
                <w:sz w:val="22"/>
              </w:rPr>
              <w:t xml:space="preserve">DIČ </w:t>
            </w:r>
          </w:p>
        </w:tc>
        <w:tc>
          <w:tcPr>
            <w:tcW w:w="4847" w:type="dxa"/>
          </w:tcPr>
          <w:p w:rsidR="00EB3BA5" w:rsidRPr="003B2ADE" w:rsidRDefault="00EB3BA5" w:rsidP="00EB3BA5">
            <w:pPr>
              <w:pStyle w:val="Textnormln"/>
              <w:spacing w:before="0" w:after="0" w:line="360" w:lineRule="auto"/>
              <w:rPr>
                <w:rFonts w:asciiTheme="minorHAnsi" w:hAnsiTheme="minorHAnsi" w:cstheme="minorHAnsi"/>
                <w:sz w:val="22"/>
              </w:rPr>
            </w:pPr>
            <w:r w:rsidRPr="003B2ADE">
              <w:rPr>
                <w:rFonts w:asciiTheme="minorHAnsi" w:hAnsiTheme="minorHAnsi" w:cstheme="minorHAnsi"/>
                <w:sz w:val="22"/>
              </w:rPr>
              <w:t>CZ61384992</w:t>
            </w:r>
          </w:p>
        </w:tc>
      </w:tr>
      <w:tr w:rsidR="00EB3BA5" w:rsidRPr="003B2ADE" w:rsidTr="003B2ADE">
        <w:tc>
          <w:tcPr>
            <w:tcW w:w="3333" w:type="dxa"/>
          </w:tcPr>
          <w:p w:rsidR="00EB3BA5" w:rsidRPr="003B2ADE" w:rsidRDefault="00EB3BA5" w:rsidP="00EB3BA5">
            <w:pPr>
              <w:pStyle w:val="Textnormln"/>
              <w:spacing w:before="0" w:after="0" w:line="360" w:lineRule="auto"/>
              <w:rPr>
                <w:rFonts w:asciiTheme="minorHAnsi" w:hAnsiTheme="minorHAnsi" w:cstheme="minorHAnsi"/>
                <w:sz w:val="22"/>
              </w:rPr>
            </w:pPr>
            <w:r w:rsidRPr="003B2ADE">
              <w:rPr>
                <w:rFonts w:asciiTheme="minorHAnsi" w:hAnsiTheme="minorHAnsi" w:cstheme="minorHAnsi"/>
                <w:sz w:val="22"/>
              </w:rPr>
              <w:t>Bankovní spojení</w:t>
            </w:r>
          </w:p>
        </w:tc>
        <w:tc>
          <w:tcPr>
            <w:tcW w:w="4847" w:type="dxa"/>
          </w:tcPr>
          <w:p w:rsidR="00EB3BA5" w:rsidRPr="003B2ADE" w:rsidRDefault="00EB3BA5" w:rsidP="00EB3BA5">
            <w:pPr>
              <w:pStyle w:val="Textnormln"/>
              <w:spacing w:before="0" w:after="0" w:line="360" w:lineRule="auto"/>
              <w:rPr>
                <w:rFonts w:asciiTheme="minorHAnsi" w:hAnsiTheme="minorHAnsi" w:cstheme="minorHAnsi"/>
                <w:sz w:val="22"/>
              </w:rPr>
            </w:pPr>
            <w:r w:rsidRPr="003B2ADE">
              <w:rPr>
                <w:rFonts w:asciiTheme="minorHAnsi" w:hAnsiTheme="minorHAnsi" w:cstheme="minorHAnsi"/>
                <w:sz w:val="22"/>
                <w:lang w:bidi="en-US"/>
              </w:rPr>
              <w:t>PPF Praha 1</w:t>
            </w:r>
          </w:p>
        </w:tc>
      </w:tr>
      <w:tr w:rsidR="00EB3BA5" w:rsidRPr="003B2ADE" w:rsidTr="003B2ADE">
        <w:tc>
          <w:tcPr>
            <w:tcW w:w="3333" w:type="dxa"/>
          </w:tcPr>
          <w:p w:rsidR="00EB3BA5" w:rsidRPr="003B2ADE" w:rsidRDefault="00EB3BA5" w:rsidP="00EB3BA5">
            <w:pPr>
              <w:pStyle w:val="Textnormln"/>
              <w:spacing w:before="0" w:after="0" w:line="360" w:lineRule="auto"/>
              <w:rPr>
                <w:rFonts w:asciiTheme="minorHAnsi" w:hAnsiTheme="minorHAnsi" w:cstheme="minorHAnsi"/>
                <w:sz w:val="22"/>
              </w:rPr>
            </w:pPr>
            <w:r w:rsidRPr="003B2ADE">
              <w:rPr>
                <w:rFonts w:asciiTheme="minorHAnsi" w:hAnsiTheme="minorHAnsi" w:cstheme="minorHAnsi"/>
                <w:sz w:val="22"/>
              </w:rPr>
              <w:t>Číslo účtu</w:t>
            </w:r>
          </w:p>
        </w:tc>
        <w:tc>
          <w:tcPr>
            <w:tcW w:w="4847" w:type="dxa"/>
          </w:tcPr>
          <w:p w:rsidR="00EB3BA5" w:rsidRPr="003B2ADE" w:rsidRDefault="00EB3BA5" w:rsidP="00EB3BA5">
            <w:pPr>
              <w:pStyle w:val="Textnormln"/>
              <w:spacing w:before="0" w:after="0" w:line="360" w:lineRule="auto"/>
              <w:rPr>
                <w:rFonts w:asciiTheme="minorHAnsi" w:hAnsiTheme="minorHAnsi" w:cstheme="minorHAnsi"/>
                <w:sz w:val="22"/>
              </w:rPr>
            </w:pPr>
            <w:r w:rsidRPr="003B2ADE">
              <w:rPr>
                <w:rFonts w:asciiTheme="minorHAnsi" w:hAnsiTheme="minorHAnsi" w:cstheme="minorHAnsi"/>
                <w:sz w:val="22"/>
                <w:lang w:bidi="en-US"/>
              </w:rPr>
              <w:t>2002630021/6000</w:t>
            </w:r>
          </w:p>
        </w:tc>
      </w:tr>
      <w:tr w:rsidR="00EB3BA5" w:rsidRPr="003B2ADE" w:rsidTr="003B2ADE">
        <w:trPr>
          <w:trHeight w:val="271"/>
        </w:trPr>
        <w:tc>
          <w:tcPr>
            <w:tcW w:w="3333" w:type="dxa"/>
          </w:tcPr>
          <w:p w:rsidR="00EB3BA5" w:rsidRPr="003B2ADE" w:rsidRDefault="00EB3BA5" w:rsidP="00EB3BA5">
            <w:pPr>
              <w:pStyle w:val="Textnormln"/>
              <w:spacing w:before="0" w:after="0" w:line="360" w:lineRule="auto"/>
              <w:rPr>
                <w:rFonts w:asciiTheme="minorHAnsi" w:hAnsiTheme="minorHAnsi" w:cstheme="minorHAnsi"/>
                <w:sz w:val="22"/>
              </w:rPr>
            </w:pPr>
            <w:r w:rsidRPr="003B2ADE">
              <w:rPr>
                <w:rFonts w:asciiTheme="minorHAnsi" w:hAnsiTheme="minorHAnsi" w:cstheme="minorHAnsi"/>
                <w:sz w:val="22"/>
                <w:szCs w:val="20"/>
              </w:rPr>
              <w:t>Jejímž jménem jedná</w:t>
            </w:r>
          </w:p>
        </w:tc>
        <w:tc>
          <w:tcPr>
            <w:tcW w:w="4847" w:type="dxa"/>
          </w:tcPr>
          <w:p w:rsidR="00EB3BA5" w:rsidRPr="003B2ADE" w:rsidRDefault="00EB3BA5" w:rsidP="00EB3BA5">
            <w:pPr>
              <w:pStyle w:val="Textnormln"/>
              <w:spacing w:before="0" w:after="0" w:line="360" w:lineRule="auto"/>
              <w:ind w:left="0"/>
              <w:rPr>
                <w:rFonts w:asciiTheme="minorHAnsi" w:hAnsiTheme="minorHAnsi" w:cstheme="minorHAnsi"/>
                <w:sz w:val="22"/>
              </w:rPr>
            </w:pPr>
            <w:r w:rsidRPr="003B2ADE">
              <w:rPr>
                <w:rFonts w:asciiTheme="minorHAnsi" w:hAnsiTheme="minorHAnsi" w:cstheme="minorHAnsi"/>
                <w:b/>
                <w:sz w:val="22"/>
              </w:rPr>
              <w:t xml:space="preserve">   RNDr. Jana Hrkalová, </w:t>
            </w:r>
            <w:r w:rsidRPr="003B2ADE">
              <w:rPr>
                <w:rFonts w:asciiTheme="minorHAnsi" w:hAnsiTheme="minorHAnsi" w:cstheme="minorHAnsi"/>
                <w:sz w:val="22"/>
              </w:rPr>
              <w:t>ředitelka gymnázia</w:t>
            </w:r>
          </w:p>
        </w:tc>
      </w:tr>
    </w:tbl>
    <w:p w:rsidR="00EB3BA5" w:rsidRPr="00EB3BA5" w:rsidRDefault="00EB3BA5" w:rsidP="00EB3BA5">
      <w:pPr>
        <w:pStyle w:val="YSNormln"/>
        <w:ind w:firstLine="0"/>
        <w:sectPr w:rsidR="00EB3BA5" w:rsidRPr="00EB3BA5" w:rsidSect="007134AD">
          <w:type w:val="continuous"/>
          <w:pgSz w:w="11906" w:h="16838"/>
          <w:pgMar w:top="1417" w:right="1417" w:bottom="1417" w:left="1417" w:header="708" w:footer="708" w:gutter="0"/>
          <w:cols w:space="708"/>
          <w:docGrid w:linePitch="360"/>
        </w:sectPr>
      </w:pPr>
    </w:p>
    <w:p w:rsidR="007134AD" w:rsidRDefault="007134AD" w:rsidP="007134AD">
      <w:pPr>
        <w:rPr>
          <w:lang w:eastAsia="cs-CZ"/>
        </w:rPr>
        <w:sectPr w:rsidR="007134AD" w:rsidSect="007134AD">
          <w:type w:val="continuous"/>
          <w:pgSz w:w="11906" w:h="16838"/>
          <w:pgMar w:top="1417" w:right="1417" w:bottom="1417" w:left="1417" w:header="708" w:footer="708" w:gutter="0"/>
          <w:cols w:num="2" w:space="708" w:equalWidth="0">
            <w:col w:w="2552" w:space="708"/>
            <w:col w:w="5812"/>
          </w:cols>
          <w:docGrid w:linePitch="360"/>
        </w:sectPr>
      </w:pPr>
    </w:p>
    <w:p w:rsidR="00EB3BA5" w:rsidRPr="00EB3BA5" w:rsidRDefault="00EB3BA5" w:rsidP="00EB3BA5">
      <w:pPr>
        <w:pStyle w:val="YSNormlnZanadpisemiobjektem"/>
        <w:rPr>
          <w:sz w:val="20"/>
        </w:rPr>
      </w:pPr>
      <w:r w:rsidRPr="00EB3BA5">
        <w:rPr>
          <w:sz w:val="20"/>
        </w:rPr>
        <w:t xml:space="preserve">Škola zapsaná v Rejstříku škol RED-IZO: 600005500, zapsaná v RARIS. </w:t>
      </w:r>
    </w:p>
    <w:p w:rsidR="007134AD" w:rsidRDefault="00EB3BA5" w:rsidP="007134AD">
      <w:pPr>
        <w:pStyle w:val="YSNormlnZanadpisemiobjektem"/>
      </w:pPr>
      <w:r>
        <w:t xml:space="preserve"> </w:t>
      </w:r>
      <w:r w:rsidR="007134AD">
        <w:t xml:space="preserve">(dále jen </w:t>
      </w:r>
      <w:r w:rsidR="007134AD" w:rsidRPr="005E1C33">
        <w:rPr>
          <w:b/>
        </w:rPr>
        <w:t>„</w:t>
      </w:r>
      <w:r w:rsidR="005030F1">
        <w:rPr>
          <w:b/>
        </w:rPr>
        <w:t>Kupující</w:t>
      </w:r>
      <w:r w:rsidR="007134AD" w:rsidRPr="005E1C33">
        <w:rPr>
          <w:b/>
        </w:rPr>
        <w:t>“</w:t>
      </w:r>
      <w:r w:rsidR="007134AD">
        <w:t>)</w:t>
      </w:r>
    </w:p>
    <w:p w:rsidR="006A0C53" w:rsidRDefault="00873C76" w:rsidP="00873C76">
      <w:pPr>
        <w:pStyle w:val="YSNormlnZanadpisemiobjektem"/>
        <w:jc w:val="center"/>
      </w:pPr>
      <w:r>
        <w:lastRenderedPageBreak/>
        <w:t xml:space="preserve">Uzavřeli tuto </w:t>
      </w:r>
      <w:r w:rsidR="00BC4FF4" w:rsidRPr="00BC4FF4">
        <w:rPr>
          <w:b/>
        </w:rPr>
        <w:t xml:space="preserve">kupní </w:t>
      </w:r>
      <w:r>
        <w:rPr>
          <w:b/>
        </w:rPr>
        <w:t>smlouvu</w:t>
      </w:r>
      <w:r w:rsidR="00204240">
        <w:t xml:space="preserve"> v souladu s ustanovením</w:t>
      </w:r>
      <w:r w:rsidR="00204240">
        <w:br/>
      </w:r>
      <w:r w:rsidRPr="00204240">
        <w:rPr>
          <w:i/>
        </w:rPr>
        <w:t xml:space="preserve">§ </w:t>
      </w:r>
      <w:r w:rsidR="00BC4FF4">
        <w:rPr>
          <w:i/>
        </w:rPr>
        <w:t>2079</w:t>
      </w:r>
      <w:r w:rsidRPr="00204240">
        <w:rPr>
          <w:i/>
        </w:rPr>
        <w:t xml:space="preserve"> </w:t>
      </w:r>
      <w:r w:rsidR="00BC4FF4">
        <w:rPr>
          <w:i/>
        </w:rPr>
        <w:t xml:space="preserve">a násl. </w:t>
      </w:r>
      <w:r w:rsidRPr="00204240">
        <w:rPr>
          <w:i/>
        </w:rPr>
        <w:t>zákona č. 89/2012 Sb.</w:t>
      </w:r>
      <w:r>
        <w:t>, občanský zákoník v platném znění</w:t>
      </w:r>
      <w:r>
        <w:br/>
        <w:t>(dále jen „</w:t>
      </w:r>
      <w:r w:rsidR="006A0C53">
        <w:t>Smlouvu“)</w:t>
      </w:r>
    </w:p>
    <w:p w:rsidR="003B2ADE" w:rsidRPr="003B2ADE" w:rsidRDefault="003B2ADE" w:rsidP="003B2ADE">
      <w:pPr>
        <w:pStyle w:val="YSNormln"/>
      </w:pPr>
    </w:p>
    <w:p w:rsidR="00873C76" w:rsidRDefault="00873C76" w:rsidP="00873C76">
      <w:pPr>
        <w:pStyle w:val="YSNormlnZanadpisemiobjektem"/>
        <w:jc w:val="center"/>
        <w:rPr>
          <w:b/>
        </w:rPr>
      </w:pPr>
      <w:r>
        <w:rPr>
          <w:b/>
        </w:rPr>
        <w:t>Smluvní strany, vědomy si svých závazků v této Smlouvě obsažených a s úmyslem být touto Smlouvou vázány, dohodly se na následujícím znění Smlouvy:</w:t>
      </w:r>
    </w:p>
    <w:p w:rsidR="008A7ECE" w:rsidRPr="00EF3249" w:rsidRDefault="005030F1" w:rsidP="004F67E0">
      <w:pPr>
        <w:pStyle w:val="YSNormlnZanadpisemiobjektem"/>
        <w:numPr>
          <w:ilvl w:val="0"/>
          <w:numId w:val="5"/>
        </w:numPr>
        <w:rPr>
          <w:b/>
        </w:rPr>
      </w:pPr>
      <w:r>
        <w:rPr>
          <w:b/>
        </w:rPr>
        <w:t>PROHLÁŠENÍ SMLUVNÍCH STRAN</w:t>
      </w:r>
    </w:p>
    <w:p w:rsidR="005030F1" w:rsidRPr="003A585A" w:rsidRDefault="005030F1" w:rsidP="005030F1">
      <w:pPr>
        <w:pStyle w:val="YSNormlnZanadpisemiobjektem"/>
        <w:numPr>
          <w:ilvl w:val="1"/>
          <w:numId w:val="5"/>
        </w:numPr>
      </w:pPr>
      <w:r w:rsidRPr="003A585A">
        <w:t>Prodávající prohlašuje, že je právnickou osobou řádně založenou a zapsanou podle českého právního řádu a že splňuje veškeré podmínky a požadavky v této Smlouvě stanovené a je oprávněn tuto Smlouvu uzavřít a řádně plnit závazky v ní obsažené.</w:t>
      </w:r>
    </w:p>
    <w:p w:rsidR="005030F1" w:rsidRDefault="005030F1" w:rsidP="005030F1">
      <w:pPr>
        <w:pStyle w:val="YSNormlnZanadpisemiobjektem"/>
        <w:numPr>
          <w:ilvl w:val="1"/>
          <w:numId w:val="5"/>
        </w:numPr>
      </w:pPr>
      <w:r w:rsidRPr="003A585A">
        <w:t xml:space="preserve">Kupující prohlašuje, </w:t>
      </w:r>
      <w:bookmarkStart w:id="1" w:name="_Ref380552770"/>
      <w:r w:rsidRPr="003A585A">
        <w:t xml:space="preserve">že je právnickou osobou řádně založenou a zapsanou podle českého právního řádu </w:t>
      </w:r>
      <w:bookmarkEnd w:id="1"/>
      <w:r w:rsidRPr="003A585A">
        <w:t>a že splňuje veškeré podmínky a požadavky v této Smlouvě stanovené a je oprávněn tuto Smlouvu uzavřít a řádně plnit závazky v ní obsažené.</w:t>
      </w:r>
    </w:p>
    <w:p w:rsidR="008A7ECE" w:rsidRDefault="005030F1" w:rsidP="005030F1">
      <w:pPr>
        <w:pStyle w:val="YSNormln"/>
        <w:numPr>
          <w:ilvl w:val="0"/>
          <w:numId w:val="5"/>
        </w:numPr>
        <w:rPr>
          <w:b/>
        </w:rPr>
      </w:pPr>
      <w:r>
        <w:rPr>
          <w:b/>
        </w:rPr>
        <w:t>PŘEDMĚT SMLOUVY</w:t>
      </w:r>
    </w:p>
    <w:p w:rsidR="005030F1" w:rsidRPr="005030F1" w:rsidRDefault="005030F1" w:rsidP="005030F1">
      <w:pPr>
        <w:pStyle w:val="YSNormln"/>
        <w:numPr>
          <w:ilvl w:val="1"/>
          <w:numId w:val="5"/>
        </w:numPr>
      </w:pPr>
      <w:r w:rsidRPr="005030F1">
        <w:t xml:space="preserve">Prodávající se touto Smlouvou zavazuje dodat Kupujícímu technické vybavení uvedené v příloze č. 1. této Smlouvy (dále jen “hardware”) a převést na Kupujícího vlastnické právo k hardware. </w:t>
      </w:r>
    </w:p>
    <w:p w:rsidR="005030F1" w:rsidRPr="005030F1" w:rsidRDefault="005030F1" w:rsidP="005030F1">
      <w:pPr>
        <w:pStyle w:val="YSNormln"/>
        <w:numPr>
          <w:ilvl w:val="1"/>
          <w:numId w:val="5"/>
        </w:numPr>
      </w:pPr>
      <w:r w:rsidRPr="005030F1">
        <w:t>Kupující se touto Smlouvou zavazuje vyvinout stanovenou součinnost k převzetí hardware a řádně dodaný hardware převzít a dále se zavazuje zaplatit Prodávajícímu dohodnutou kupní cenu.</w:t>
      </w:r>
    </w:p>
    <w:p w:rsidR="005030F1" w:rsidRPr="005030F1" w:rsidRDefault="005030F1" w:rsidP="005030F1">
      <w:pPr>
        <w:pStyle w:val="YSNormln"/>
        <w:numPr>
          <w:ilvl w:val="1"/>
          <w:numId w:val="5"/>
        </w:numPr>
      </w:pPr>
      <w:r w:rsidRPr="005030F1">
        <w:t>Technické parametry hardware jsou uvedeny v příloze č. 1 této Smlouvy.</w:t>
      </w:r>
    </w:p>
    <w:p w:rsidR="005030F1" w:rsidRPr="005030F1" w:rsidRDefault="005030F1" w:rsidP="005030F1">
      <w:pPr>
        <w:pStyle w:val="YSNormln"/>
        <w:numPr>
          <w:ilvl w:val="1"/>
          <w:numId w:val="5"/>
        </w:numPr>
      </w:pPr>
      <w:r w:rsidRPr="005030F1">
        <w:t>Při dodání hardware bude hardware předáno Kupujícímu a o předání a převzetí bude sepsán předávací protokol. V případě, že Kupující nepodepíše při řádném předání hardware předávací protokol a neučiní tak ani v náhradní lhůtě tří (3) dnů, má se zato, že předávací protokol byl podepsán dnem dodání hardware.</w:t>
      </w:r>
    </w:p>
    <w:p w:rsidR="005030F1" w:rsidRDefault="005030F1" w:rsidP="005030F1">
      <w:pPr>
        <w:pStyle w:val="YSNormln"/>
        <w:numPr>
          <w:ilvl w:val="0"/>
          <w:numId w:val="5"/>
        </w:numPr>
        <w:rPr>
          <w:b/>
        </w:rPr>
      </w:pPr>
      <w:r>
        <w:rPr>
          <w:b/>
        </w:rPr>
        <w:t>MÍSTO A TERMÍN DODÁNÍ HARDWARE</w:t>
      </w:r>
    </w:p>
    <w:p w:rsidR="005030F1" w:rsidRPr="005030F1" w:rsidRDefault="005030F1" w:rsidP="005030F1">
      <w:pPr>
        <w:pStyle w:val="YSNormln"/>
        <w:numPr>
          <w:ilvl w:val="1"/>
          <w:numId w:val="5"/>
        </w:numPr>
      </w:pPr>
      <w:r w:rsidRPr="005030F1">
        <w:t>Místem dodání je sídlo Kupujícího, není-li v příloze č. 2 této Smlouvy výslovně stanoveno jinak.</w:t>
      </w:r>
    </w:p>
    <w:p w:rsidR="005030F1" w:rsidRDefault="005030F1" w:rsidP="005030F1">
      <w:pPr>
        <w:pStyle w:val="YSNormln"/>
        <w:numPr>
          <w:ilvl w:val="1"/>
          <w:numId w:val="5"/>
        </w:numPr>
      </w:pPr>
      <w:r w:rsidRPr="005030F1">
        <w:t>Termín dodání hardware je stanoven v příloze č. 3 této Smlouvy v rámci sjednaného harmonogramu plnění, popřípadě je určen pevným datem.</w:t>
      </w:r>
    </w:p>
    <w:p w:rsidR="00E658AE" w:rsidRDefault="00E658AE" w:rsidP="00E658AE">
      <w:pPr>
        <w:pStyle w:val="YSNormln"/>
        <w:numPr>
          <w:ilvl w:val="0"/>
          <w:numId w:val="5"/>
        </w:numPr>
        <w:rPr>
          <w:b/>
        </w:rPr>
      </w:pPr>
      <w:r w:rsidRPr="00E658AE">
        <w:rPr>
          <w:b/>
        </w:rPr>
        <w:t>CENA A PLATEBNÍ PODMÍNKY</w:t>
      </w:r>
    </w:p>
    <w:p w:rsidR="00E658AE" w:rsidRPr="00E658AE" w:rsidRDefault="00E658AE" w:rsidP="00E658AE">
      <w:pPr>
        <w:pStyle w:val="YSNormln"/>
        <w:numPr>
          <w:ilvl w:val="1"/>
          <w:numId w:val="5"/>
        </w:numPr>
      </w:pPr>
      <w:r w:rsidRPr="00E658AE">
        <w:t xml:space="preserve">Cena za poskytnutí hardware byla dohodou smluvních stran stanovena částkou </w:t>
      </w:r>
      <w:r w:rsidR="00EB3BA5">
        <w:t>224.650,- Kč (slovy: dvě-sta-dvacet-čtyři-tisíc-šest-set-padesát</w:t>
      </w:r>
      <w:r w:rsidRPr="00EB3BA5">
        <w:t xml:space="preserve"> k</w:t>
      </w:r>
      <w:r w:rsidRPr="00E658AE">
        <w:t xml:space="preserve">orun českých), bez DPH. </w:t>
      </w:r>
    </w:p>
    <w:p w:rsidR="00E658AE" w:rsidRPr="00E658AE" w:rsidRDefault="00E658AE" w:rsidP="00E658AE">
      <w:pPr>
        <w:pStyle w:val="YSNormln"/>
        <w:numPr>
          <w:ilvl w:val="1"/>
          <w:numId w:val="5"/>
        </w:numPr>
      </w:pPr>
      <w:r w:rsidRPr="00E658AE">
        <w:t xml:space="preserve">Kupující se zavazuje cenu za hardware zaplatit v jednotlivých splátkách dle platebního kalendáře uvedeného v příloze č. 4 této Smlouvy. Cena je splatná v měně stanovené v příloze č. 4 této Smlouvy, a to na základě faktur vystavených poskytovatelem v souladu s platebním </w:t>
      </w:r>
      <w:r w:rsidRPr="00E658AE">
        <w:lastRenderedPageBreak/>
        <w:t>kalendářem; splatnost ceny a jednotlivých splátek však nastává nejpozději v termínu uvedeném ve zmíněném platebním kalendáři.</w:t>
      </w:r>
    </w:p>
    <w:p w:rsidR="00E658AE" w:rsidRPr="00E658AE" w:rsidRDefault="00E658AE" w:rsidP="00E658AE">
      <w:pPr>
        <w:pStyle w:val="YSNormln"/>
        <w:numPr>
          <w:ilvl w:val="1"/>
          <w:numId w:val="5"/>
        </w:numPr>
      </w:pPr>
      <w:r w:rsidRPr="00E658AE">
        <w:t>Splatnost všech faktur – daňových dokladů i zálohových faktur, činí patnáct (15) dní ode dne jejich doručení smluvní straně povinné platit. Faktura se považuje za doručenou třetí den po jejím prokazatelném odeslání. Je-li v průběhu plnění cena nebo její část placena na základě zálohových faktur, je Prodávající povinen vystavit po ukončení plnění, není-li v platebním kalendáři stanoven jiný termín, konečnou fakturu s náležitostmi daňového dokladu, ve které budou zohledněny vyplacené zálohy a DPH v zákonné výši a bude uvedeno datum zdanitelného plnění.</w:t>
      </w:r>
    </w:p>
    <w:p w:rsidR="00E658AE" w:rsidRPr="00E658AE" w:rsidRDefault="00E658AE" w:rsidP="00E658AE">
      <w:pPr>
        <w:pStyle w:val="YSNormln"/>
        <w:numPr>
          <w:ilvl w:val="1"/>
          <w:numId w:val="5"/>
        </w:numPr>
      </w:pPr>
      <w:r w:rsidRPr="00E658AE">
        <w:t xml:space="preserve">Všechny faktury musí obsahovat údaje stanovené v ustanovení § 28 zákona č. 235/2004 Sb., o dani z přidané hodnoty, ve znění pozdějších předpisů. Způsob zdanění, výše a sazba DPH se řídí platnou legislativou.  </w:t>
      </w:r>
    </w:p>
    <w:p w:rsidR="00E658AE" w:rsidRPr="00E658AE" w:rsidRDefault="00E658AE" w:rsidP="00E658AE">
      <w:pPr>
        <w:pStyle w:val="YSNormln"/>
        <w:numPr>
          <w:ilvl w:val="1"/>
          <w:numId w:val="5"/>
        </w:numPr>
      </w:pPr>
      <w:r w:rsidRPr="00E658AE">
        <w:t>Nebude-li faktura obsahovat stanovené náležitosti nebo v ní nebudou správně uvedené údaje, je Kupující oprávněn vrátit ji ve lhůtě pěti (5) dnů od jejího obdržení Prodávajícímu s uvedením chybějících náležitostí nebo nesprávných údajů. V takovém případě se přeruší běh lhůty splatnosti a nová lhůta splatnosti počne běžet doručením opravené faktury. V případě, že Kupující fakturu vrátí bezdůvodně, přestože faktura je správná a předepsané náležitosti obsahuje, lhůta se nestaví a pokud Kupující nezaplatí v původním termínu splatnosti, je v prodlení. V případě, že Kupující ve stanovené lhůtě fakturu Prodávajícímu nevrátí, platí, že fakturovanou částku uznává a nezpochybňuje.</w:t>
      </w:r>
    </w:p>
    <w:p w:rsidR="00E658AE" w:rsidRPr="00E658AE" w:rsidRDefault="00E658AE" w:rsidP="00E658AE">
      <w:pPr>
        <w:pStyle w:val="YSNormln"/>
        <w:numPr>
          <w:ilvl w:val="1"/>
          <w:numId w:val="5"/>
        </w:numPr>
      </w:pPr>
      <w:r w:rsidRPr="00E658AE">
        <w:t>Peněžitá plnění dle této Smlouvy budou hrazena bezhotovostním převodem na účet druhé smluvní strany uvedený na titulní stránce této Smlouvy, pokud není ve faktuře stanoveno jinak.</w:t>
      </w:r>
    </w:p>
    <w:p w:rsidR="00E658AE" w:rsidRDefault="00E658AE" w:rsidP="00E658AE">
      <w:pPr>
        <w:pStyle w:val="YSNormln"/>
        <w:numPr>
          <w:ilvl w:val="1"/>
          <w:numId w:val="5"/>
        </w:numPr>
      </w:pPr>
      <w:r w:rsidRPr="00E658AE">
        <w:t>V případě prodlení se zaplacením peněžité částky je smluvní strana, která je se zaplacením v prodlení, povinna zaplatit druhé smluvní straně úrok z prodlení za každý i započatý den prodlení ve výši  0,05 % z hodnoty částky, s níž je smluvní strana v prodlení. Tím není dotčen ani omezen nárok smluvní strany na náhradu vzniklé škody.</w:t>
      </w:r>
    </w:p>
    <w:p w:rsidR="00E658AE" w:rsidRPr="00E658AE" w:rsidRDefault="00E658AE" w:rsidP="00E658AE">
      <w:pPr>
        <w:pStyle w:val="YSNormln"/>
        <w:numPr>
          <w:ilvl w:val="0"/>
          <w:numId w:val="5"/>
        </w:numPr>
        <w:rPr>
          <w:b/>
        </w:rPr>
      </w:pPr>
      <w:r w:rsidRPr="00E658AE">
        <w:rPr>
          <w:b/>
        </w:rPr>
        <w:t>VLASTNICKÉ PRÁVO A NEBEZPEČÍ ŠKODY NA VĚCI</w:t>
      </w:r>
    </w:p>
    <w:p w:rsidR="00E658AE" w:rsidRDefault="00E658AE" w:rsidP="00E658AE">
      <w:pPr>
        <w:pStyle w:val="YSNormln"/>
        <w:numPr>
          <w:ilvl w:val="1"/>
          <w:numId w:val="5"/>
        </w:numPr>
      </w:pPr>
      <w:r>
        <w:t>Vlastnické právo k hardware přechází na Kupujícího dnem úplného uhrazení kupní ceny podle této Smlouvy.</w:t>
      </w:r>
    </w:p>
    <w:p w:rsidR="00E658AE" w:rsidRDefault="00E658AE" w:rsidP="00E658AE">
      <w:pPr>
        <w:pStyle w:val="YSNormln"/>
        <w:numPr>
          <w:ilvl w:val="1"/>
          <w:numId w:val="5"/>
        </w:numPr>
      </w:pPr>
      <w:r>
        <w:t>Nebezpečí škody na hardware přechází na Kupujícího dnem podpisu protokolu o dodání hardware nebo dnem faktického dodání hardware, odmítne-li Kupující protokol o dodání hardware podepsat.</w:t>
      </w:r>
    </w:p>
    <w:p w:rsidR="00E658AE" w:rsidRPr="00E658AE" w:rsidRDefault="00E658AE" w:rsidP="00E658AE">
      <w:pPr>
        <w:pStyle w:val="YSNormln"/>
        <w:numPr>
          <w:ilvl w:val="0"/>
          <w:numId w:val="5"/>
        </w:numPr>
        <w:rPr>
          <w:b/>
        </w:rPr>
      </w:pPr>
      <w:r w:rsidRPr="00E658AE">
        <w:rPr>
          <w:b/>
        </w:rPr>
        <w:t>ZÁRUKA</w:t>
      </w:r>
    </w:p>
    <w:p w:rsidR="00E658AE" w:rsidRDefault="00E658AE" w:rsidP="00E658AE">
      <w:pPr>
        <w:pStyle w:val="YSNormln"/>
        <w:numPr>
          <w:ilvl w:val="1"/>
          <w:numId w:val="5"/>
        </w:numPr>
      </w:pPr>
      <w:r>
        <w:t xml:space="preserve">Prodávající nese odpovědnost za to, že hardware dodaný a předaný podle této Smlouvy je ke dni dodání plně funkční a splňuje technické parametry uvedené v příloze č. 1 této Smlouvy. </w:t>
      </w:r>
    </w:p>
    <w:p w:rsidR="00E658AE" w:rsidRDefault="00E658AE" w:rsidP="00E658AE">
      <w:pPr>
        <w:pStyle w:val="YSNormln"/>
        <w:numPr>
          <w:ilvl w:val="1"/>
          <w:numId w:val="5"/>
        </w:numPr>
      </w:pPr>
      <w:r>
        <w:lastRenderedPageBreak/>
        <w:t xml:space="preserve">Prodávající poskytuje záruku za jakost hardware pouze v případě, že je taková záruka poskytována výrobcem, dovozcem nebo dealerem takového hardware. V takovém případě je délka záruční doby uvedena vždy u jednotlivých kusů hardware v příloze č. 1 této Smlouvy. </w:t>
      </w:r>
    </w:p>
    <w:p w:rsidR="00E658AE" w:rsidRDefault="00E658AE" w:rsidP="00E658AE">
      <w:pPr>
        <w:pStyle w:val="YSNormln"/>
        <w:numPr>
          <w:ilvl w:val="1"/>
          <w:numId w:val="5"/>
        </w:numPr>
      </w:pPr>
      <w:r>
        <w:t>Záruční doba počíná běžet dnem dodání hardware podle této Smlouvy.</w:t>
      </w:r>
    </w:p>
    <w:p w:rsidR="00E658AE" w:rsidRDefault="00E658AE" w:rsidP="00E658AE">
      <w:pPr>
        <w:pStyle w:val="YSNormln"/>
        <w:numPr>
          <w:ilvl w:val="1"/>
          <w:numId w:val="5"/>
        </w:numPr>
      </w:pPr>
      <w:r>
        <w:t>Vady hardware je Kupující povinen uplatnit u Prodávajícího nejpozději do patnácti (15) dnů ode dne jejich zjištění, jinak jeho právo z odpovědnosti za vadu zaniká.</w:t>
      </w:r>
    </w:p>
    <w:p w:rsidR="00E658AE" w:rsidRPr="00E658AE" w:rsidRDefault="00E658AE" w:rsidP="00E658AE">
      <w:pPr>
        <w:pStyle w:val="YSNormln"/>
        <w:numPr>
          <w:ilvl w:val="0"/>
          <w:numId w:val="5"/>
        </w:numPr>
        <w:rPr>
          <w:b/>
        </w:rPr>
      </w:pPr>
      <w:r w:rsidRPr="00E658AE">
        <w:rPr>
          <w:b/>
        </w:rPr>
        <w:t>OPRÁVNĚNÉ OSOBY</w:t>
      </w:r>
    </w:p>
    <w:p w:rsidR="00E658AE" w:rsidRDefault="00E658AE" w:rsidP="00E658AE">
      <w:pPr>
        <w:pStyle w:val="YSNormln"/>
        <w:numPr>
          <w:ilvl w:val="1"/>
          <w:numId w:val="5"/>
        </w:numPr>
      </w:pPr>
      <w:r>
        <w:t xml:space="preserve">Každá ze smluvních stran jmenuje oprávněnou osobu či oprávněné osoby. Oprávněné osoby budou zastupovat smluvní stranu ve smluvních a obchodních záležitostech souvisejících s plněním této Smlouvy. </w:t>
      </w:r>
    </w:p>
    <w:p w:rsidR="00E658AE" w:rsidRDefault="00E658AE" w:rsidP="00E658AE">
      <w:pPr>
        <w:pStyle w:val="YSNormln"/>
        <w:numPr>
          <w:ilvl w:val="1"/>
          <w:numId w:val="5"/>
        </w:numPr>
      </w:pPr>
      <w:r>
        <w:t>Jména oprávněných osob jsou uvedena v příloze č. 5 této Smlouvy. Smluvní strany jsou oprávněny změnit oprávněné osoby, jsou však povinny na takovou změnu druhou smluvní stranu písemně upozornit. Změna oprávněné osoby se nepovažuje za změnu této Smlouvy dle odst. 13.2. této Smlouvy.</w:t>
      </w:r>
    </w:p>
    <w:p w:rsidR="00E658AE" w:rsidRPr="00E658AE" w:rsidRDefault="00E658AE" w:rsidP="00E658AE">
      <w:pPr>
        <w:pStyle w:val="YSNormln"/>
        <w:numPr>
          <w:ilvl w:val="0"/>
          <w:numId w:val="5"/>
        </w:numPr>
        <w:rPr>
          <w:b/>
        </w:rPr>
      </w:pPr>
      <w:r w:rsidRPr="00E658AE">
        <w:rPr>
          <w:b/>
        </w:rPr>
        <w:t xml:space="preserve">NÁHRADA ŠKODY </w:t>
      </w:r>
    </w:p>
    <w:p w:rsidR="00E658AE" w:rsidRDefault="00E658AE" w:rsidP="00E658AE">
      <w:pPr>
        <w:pStyle w:val="YSNormln"/>
        <w:numPr>
          <w:ilvl w:val="1"/>
          <w:numId w:val="5"/>
        </w:numPr>
      </w:pPr>
      <w:r>
        <w:t>Každá ze stran nese odpovědnost za způsobenou škodu v rámci platných právních předpisů a této Smlouvy. Obě strany se zavazují k vyvinutí maximálního úsilí k předcházení škodám a k minimalizaci vzniklých škod.</w:t>
      </w:r>
    </w:p>
    <w:p w:rsidR="00E658AE" w:rsidRDefault="00E658AE" w:rsidP="00E658AE">
      <w:pPr>
        <w:pStyle w:val="YSNormln"/>
        <w:numPr>
          <w:ilvl w:val="1"/>
          <w:numId w:val="5"/>
        </w:numPr>
      </w:pPr>
      <w:r>
        <w:t>Žádná ze stran neodpovídá za škodu, která vznikla v důsledku věcně nesprávného nebo jinak chybného zadání, které obdržela od druhé strany. Žádná ze smluvních stran není odpovědná za prodlení způsobené prodlením s plněním závazků druhé smluvní strany.</w:t>
      </w:r>
    </w:p>
    <w:p w:rsidR="00E658AE" w:rsidRDefault="00E658AE" w:rsidP="00E658AE">
      <w:pPr>
        <w:pStyle w:val="YSNormln"/>
        <w:numPr>
          <w:ilvl w:val="1"/>
          <w:numId w:val="5"/>
        </w:numPr>
      </w:pPr>
      <w:r>
        <w:t>Žádná ze smluvních stran není odpovědná za prodlení způsobené mimořádnou nepředvídatelnou a nepřekonatelnou překážkou vzniklou nezávisle na vůli smluvní strany (§ 2913 odst. 2 občanského zákoníku). Smluvní strany se zavazují upozornit druhou smluvní stranu bez zbytečného odkladu na vzniklé nepředvídatelné a nepřekonatelné překážky bránící řádnému plnění této Smlouvy a zavazují se vyvinout maximální úsilí k jejich odvrácení a překonání.</w:t>
      </w:r>
    </w:p>
    <w:p w:rsidR="00E658AE" w:rsidRDefault="00E658AE" w:rsidP="00E658AE">
      <w:pPr>
        <w:pStyle w:val="YSNormln"/>
        <w:numPr>
          <w:ilvl w:val="1"/>
          <w:numId w:val="5"/>
        </w:numPr>
      </w:pPr>
      <w:r>
        <w:t xml:space="preserve">Smluvní strany se výslovně dohodly na tom, že nárok Kupujícího na náhradu škody vzniklé Kupujícímu z důvodu porušení povinnosti Prodávajícího v souvislosti s plněním či porušením této Smlouvy je omezen v souhrnu (tj. za jeden a všechny případy nároku na náhradu škody) na částku rovnající se kupní ceně za hardware dodaný Prodávajícím a uhrazený Kupujícím na základě této Smlouvy. </w:t>
      </w:r>
    </w:p>
    <w:p w:rsidR="00E658AE" w:rsidRDefault="00E658AE" w:rsidP="00E658AE">
      <w:pPr>
        <w:pStyle w:val="YSNormln"/>
        <w:numPr>
          <w:ilvl w:val="1"/>
          <w:numId w:val="5"/>
        </w:numPr>
      </w:pPr>
      <w:r>
        <w:t>Případná náhrada škody bude zaplacena v českých korunách, přičemž výše uvedený limit (odst. 8.4 této Smlouvy) bude přepočten na české koruny podle kursu České národní banky ke dni vzniku škody.</w:t>
      </w:r>
    </w:p>
    <w:p w:rsidR="00E658AE" w:rsidRDefault="00E658AE" w:rsidP="00E658AE">
      <w:pPr>
        <w:pStyle w:val="YSNormln"/>
        <w:numPr>
          <w:ilvl w:val="0"/>
          <w:numId w:val="5"/>
        </w:numPr>
      </w:pPr>
      <w:r>
        <w:t>OCHRANA INFORMACÍ</w:t>
      </w:r>
    </w:p>
    <w:p w:rsidR="00E658AE" w:rsidRDefault="00E658AE" w:rsidP="00E658AE">
      <w:pPr>
        <w:pStyle w:val="YSNormln"/>
        <w:numPr>
          <w:ilvl w:val="1"/>
          <w:numId w:val="5"/>
        </w:numPr>
      </w:pPr>
      <w:r>
        <w:lastRenderedPageBreak/>
        <w:t>Smluvní strany jsou povinny zajistit utajení získaných důvěrných informací způsobem obvyklým pro utajování takových informací, není-li výslovně sjednáno jinak. Tato povinnost platí bez ohledu na ukončení účinnosti této Smlouvy.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w:t>
      </w:r>
    </w:p>
    <w:p w:rsidR="00E658AE" w:rsidRDefault="00E658AE" w:rsidP="00E658AE">
      <w:pPr>
        <w:pStyle w:val="YSNormln"/>
        <w:numPr>
          <w:ilvl w:val="1"/>
          <w:numId w:val="5"/>
        </w:numPr>
      </w:pPr>
      <w:r>
        <w:t>Právo užívat, poskytovat a zpřístupnit důvěrné informace mají obě strany pouze v rozsahu a za podmínek nezbytných pro řádné plnění práv a povinností vyplývajících z této Smlouvy.</w:t>
      </w:r>
    </w:p>
    <w:p w:rsidR="00E658AE" w:rsidRDefault="00E658AE" w:rsidP="00E658AE">
      <w:pPr>
        <w:pStyle w:val="YSNormln"/>
        <w:numPr>
          <w:ilvl w:val="1"/>
          <w:numId w:val="5"/>
        </w:numPr>
      </w:pPr>
      <w:r>
        <w:t>Za důvěrné informace se bez ohledu na formu jejich zachycení považují veškeré informace, které nebyly některou ze stran označeny jako veřejné a které se týkají této Smlouvy a jejího plnění (zejména informace o právech a povinnostech stran jakož i informace o cenách), které se týkají některé ze stran (zejména obchodní tajemství, informace o jejich činnosti, struktuře, hospodářských výsledcích, know-how) anebo informace pro nakládání, s nimiž je stanoven právními předpisy zvláštní režim utajení (zejména utajované skutečnosti, osobní údaje, bankovní tajemství). Dále se považují za důvěrné informace takové informace, které jsou jako důvěrné výslovně některou ze stran označeny.</w:t>
      </w:r>
    </w:p>
    <w:p w:rsidR="00E658AE" w:rsidRDefault="00E658AE" w:rsidP="00E658AE">
      <w:pPr>
        <w:pStyle w:val="YSNormln"/>
        <w:numPr>
          <w:ilvl w:val="1"/>
          <w:numId w:val="5"/>
        </w:numPr>
      </w:pPr>
      <w:r>
        <w:t>V případě, že dojde k neoprávněnému přístupu k jakékoli důvěrné informaci, je strana, která disponovala s těmito důvěrnými informacemi na základě této Smlouvy, povinna neprodleně informovat druhou stranu o této skutečnosti a vyvinout veškeré možné úsilí k tomu, aby informace nebyly zpřístupněny neoprávněným osobám.</w:t>
      </w:r>
    </w:p>
    <w:p w:rsidR="00E658AE" w:rsidRDefault="00E658AE" w:rsidP="00E658AE">
      <w:pPr>
        <w:pStyle w:val="YSNormln"/>
        <w:numPr>
          <w:ilvl w:val="1"/>
          <w:numId w:val="5"/>
        </w:numPr>
      </w:pPr>
      <w:r>
        <w:t xml:space="preserve">Smluvní strana, která poruší povinnosti vyplývající z této Smlouvy ohledně ochrany důvěrných informací je povinna zaplatit druhé smluvní straně smluvní pokutu ve výši </w:t>
      </w:r>
      <w:r w:rsidR="00EB3BA5" w:rsidRPr="00EB3BA5">
        <w:t>5.000,- Kč</w:t>
      </w:r>
      <w:r w:rsidR="00EB3BA5">
        <w:t xml:space="preserve"> (slovy: pět-tisíc</w:t>
      </w:r>
      <w:r w:rsidRPr="00EB3BA5">
        <w:t>) Kč za kaž</w:t>
      </w:r>
      <w:r>
        <w:t>dé porušení takové povinnosti, a to do patnácti (15) dnů ode dne doručení faktury vystavené na její uhrazení. Tím není dotčen ani omezen nárok na náhradu vzniklé škody. V případě prodlení je povinná smluvní strana povinna uhradit druhé smluvní straně úrok z prodlení ve výši 0,05 % z dlužné částky za každý i započatý den prodlení.</w:t>
      </w:r>
    </w:p>
    <w:p w:rsidR="00E658AE" w:rsidRDefault="00E658AE" w:rsidP="00E658AE">
      <w:pPr>
        <w:pStyle w:val="YSNormln"/>
        <w:numPr>
          <w:ilvl w:val="1"/>
          <w:numId w:val="5"/>
        </w:numPr>
      </w:pPr>
      <w:r>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p>
    <w:p w:rsidR="00E658AE" w:rsidRDefault="00E658AE" w:rsidP="00E658AE">
      <w:pPr>
        <w:pStyle w:val="YSNormln"/>
        <w:numPr>
          <w:ilvl w:val="1"/>
          <w:numId w:val="5"/>
        </w:numPr>
      </w:pPr>
      <w:r>
        <w:t>Žádné ustanovení této Smlouvy přitom nebrání nebo neomezuje prodávajícího ve zveřejnění nebo obchodním využití jakékoliv technické znalosti, dovednosti nebo zkušenosti obecné povahy, kterou získal při plnění této Smlouvy.</w:t>
      </w:r>
    </w:p>
    <w:p w:rsidR="00E658AE" w:rsidRPr="00E658AE" w:rsidRDefault="00E658AE" w:rsidP="00E658AE">
      <w:pPr>
        <w:pStyle w:val="YSNormln"/>
        <w:numPr>
          <w:ilvl w:val="0"/>
          <w:numId w:val="5"/>
        </w:numPr>
        <w:rPr>
          <w:b/>
        </w:rPr>
      </w:pPr>
      <w:r w:rsidRPr="00E658AE">
        <w:rPr>
          <w:b/>
        </w:rPr>
        <w:t xml:space="preserve">SOUČINNOST A VZÁJEMNÁ KOMUNIKACE </w:t>
      </w:r>
    </w:p>
    <w:p w:rsidR="00E658AE" w:rsidRDefault="00E658AE" w:rsidP="00E658AE">
      <w:pPr>
        <w:pStyle w:val="YSNormln"/>
        <w:numPr>
          <w:ilvl w:val="1"/>
          <w:numId w:val="5"/>
        </w:numPr>
      </w:pPr>
      <w:r>
        <w:lastRenderedPageBreak/>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00E658AE" w:rsidRDefault="00E658AE" w:rsidP="00E658AE">
      <w:pPr>
        <w:pStyle w:val="YSNormln"/>
        <w:numPr>
          <w:ilvl w:val="1"/>
          <w:numId w:val="5"/>
        </w:numPr>
      </w:pPr>
      <w:r>
        <w:t>Smluvní strany jsou povinny plnit své závazky vyplývající z této Smlouvy tak, aby nedocházelo k prodlení s plněním jednotlivých termínů a s prodlením splatnosti jednotlivých peněžních závazků.</w:t>
      </w:r>
    </w:p>
    <w:p w:rsidR="00E658AE" w:rsidRDefault="00E658AE" w:rsidP="00E658AE">
      <w:pPr>
        <w:pStyle w:val="YSNormln"/>
        <w:numPr>
          <w:ilvl w:val="1"/>
          <w:numId w:val="5"/>
        </w:numPr>
      </w:pPr>
      <w:r>
        <w:t xml:space="preserve">Veškerá komunikace mezi smluvními stranami bude probíhat prostřednictvím oprávněných osob, statutárních orgánů smluvních stran, popř. jimi pověřených pracovníků. </w:t>
      </w:r>
    </w:p>
    <w:p w:rsidR="00E658AE" w:rsidRDefault="00E658AE" w:rsidP="00E658AE">
      <w:pPr>
        <w:pStyle w:val="YSNormln"/>
        <w:numPr>
          <w:ilvl w:val="1"/>
          <w:numId w:val="5"/>
        </w:numPr>
      </w:pPr>
      <w:r>
        <w:t xml:space="preserve">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w:t>
      </w:r>
    </w:p>
    <w:p w:rsidR="00E658AE" w:rsidRDefault="00E658AE" w:rsidP="00E658AE">
      <w:pPr>
        <w:pStyle w:val="YSNormln"/>
        <w:numPr>
          <w:ilvl w:val="1"/>
          <w:numId w:val="5"/>
        </w:numPr>
      </w:pPr>
      <w:r>
        <w:t>Oznámení se považují za doručená třetí (3.) den po jejich prokazatelném odeslání.</w:t>
      </w:r>
    </w:p>
    <w:p w:rsidR="00E658AE" w:rsidRDefault="00E658AE" w:rsidP="00E658AE">
      <w:pPr>
        <w:pStyle w:val="YSNormln"/>
        <w:numPr>
          <w:ilvl w:val="1"/>
          <w:numId w:val="5"/>
        </w:numPr>
      </w:pPr>
      <w:r>
        <w:t>Ukládá-li Smlouva doručit některý dokument v písemné podobě, může být doručen buď v papírové formě nebo v elektronické (digitální) formě jako dokument textového procesoru MS Word verze 97 nebo vyšší na dohodnutém médiu.</w:t>
      </w:r>
    </w:p>
    <w:p w:rsidR="00E658AE" w:rsidRDefault="00E658AE" w:rsidP="00E658AE">
      <w:pPr>
        <w:pStyle w:val="YSNormln"/>
        <w:numPr>
          <w:ilvl w:val="1"/>
          <w:numId w:val="5"/>
        </w:numPr>
      </w:pPr>
      <w:r>
        <w:t>Smluvní strany se zavazují, že v případě změny své adresy budou o této změně druhou smluvní stranu informovat nejpozději do tří (3) dnů.</w:t>
      </w:r>
    </w:p>
    <w:p w:rsidR="00E658AE" w:rsidRPr="00E658AE" w:rsidRDefault="00E658AE" w:rsidP="00E658AE">
      <w:pPr>
        <w:pStyle w:val="YSNormln"/>
        <w:numPr>
          <w:ilvl w:val="0"/>
          <w:numId w:val="5"/>
        </w:numPr>
        <w:rPr>
          <w:b/>
        </w:rPr>
      </w:pPr>
      <w:r w:rsidRPr="00E658AE">
        <w:rPr>
          <w:b/>
        </w:rPr>
        <w:t>PLATNOST A ÚČINNOST SMLOUVY</w:t>
      </w:r>
    </w:p>
    <w:p w:rsidR="00E658AE" w:rsidRDefault="00E658AE" w:rsidP="00E658AE">
      <w:pPr>
        <w:pStyle w:val="YSNormln"/>
        <w:numPr>
          <w:ilvl w:val="1"/>
          <w:numId w:val="5"/>
        </w:numPr>
      </w:pPr>
      <w:r>
        <w:t>Tato Smlouva nabývá platnosti a účinnosti dnem jejího podpisu oběma smluvními stranami.</w:t>
      </w:r>
    </w:p>
    <w:p w:rsidR="00E658AE" w:rsidRDefault="00E658AE" w:rsidP="00E658AE">
      <w:pPr>
        <w:pStyle w:val="YSNormln"/>
        <w:numPr>
          <w:ilvl w:val="1"/>
          <w:numId w:val="5"/>
        </w:numPr>
      </w:pPr>
      <w:r>
        <w:t>Kupující je oprávněn odstoupit od Smlouvy v případě, že Prodávající je v prodlení s dodáním hardware déle než dva (2) měsíce a nezjedná nápravu ani do patnácti (15) dnů od doručení písemného oznámení Kupujícího o takovém prodlení.</w:t>
      </w:r>
    </w:p>
    <w:p w:rsidR="00E658AE" w:rsidRDefault="00E658AE" w:rsidP="00E658AE">
      <w:pPr>
        <w:pStyle w:val="YSNormln"/>
        <w:numPr>
          <w:ilvl w:val="1"/>
          <w:numId w:val="5"/>
        </w:numPr>
      </w:pPr>
      <w:r>
        <w:t xml:space="preserve">Prodávající je oprávněn odstoupit od Smlouvy v případě, že Kupující je v prodlení s placením </w:t>
      </w:r>
      <w:r>
        <w:t>faktur prodávajícího/kupní ceny</w:t>
      </w:r>
      <w:r>
        <w:t> a toto prodlení trvá po dobu delší než třicet (30) dní po písemném upozornění, a dále je oprávněn odstoupit od Smlouvy v případě, že Kupující je v prodlení s plněním svých závazků podle této Smlouvy déle než třicet (30) dní a nezjedná nápravu ani do patnácti (15) dnů od doručení písemného oznámení prodávajícího o takovém prodlení.</w:t>
      </w:r>
    </w:p>
    <w:p w:rsidR="00E658AE" w:rsidRPr="00E658AE" w:rsidRDefault="00E658AE" w:rsidP="00E658AE">
      <w:pPr>
        <w:pStyle w:val="YSNormln"/>
        <w:numPr>
          <w:ilvl w:val="0"/>
          <w:numId w:val="5"/>
        </w:numPr>
        <w:rPr>
          <w:b/>
        </w:rPr>
      </w:pPr>
      <w:r w:rsidRPr="00E658AE">
        <w:rPr>
          <w:b/>
        </w:rPr>
        <w:t>ŘEŠENÍ SPORŮ</w:t>
      </w:r>
    </w:p>
    <w:p w:rsidR="00E658AE" w:rsidRDefault="00E658AE" w:rsidP="00E658AE">
      <w:pPr>
        <w:pStyle w:val="YSNormln"/>
        <w:numPr>
          <w:ilvl w:val="1"/>
          <w:numId w:val="5"/>
        </w:numPr>
      </w:pPr>
      <w:r>
        <w:t>Práva a povinnosti vzniklé na základě této Smlouvy nebo v souvislosti s touto Smlouvou se řídí zákonem č. 89/2012 Sb., občanský zákoník, ve znění pozdějších předpisů.</w:t>
      </w:r>
    </w:p>
    <w:p w:rsidR="00E658AE" w:rsidRDefault="00E658AE" w:rsidP="00E658AE">
      <w:pPr>
        <w:pStyle w:val="YSNormln"/>
        <w:numPr>
          <w:ilvl w:val="1"/>
          <w:numId w:val="5"/>
        </w:numPr>
      </w:pPr>
      <w:r>
        <w:lastRenderedPageBreak/>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rsidR="00E658AE" w:rsidRDefault="00E658AE" w:rsidP="00E658AE">
      <w:pPr>
        <w:pStyle w:val="YSNormln"/>
        <w:numPr>
          <w:ilvl w:val="1"/>
          <w:numId w:val="5"/>
        </w:numPr>
      </w:pPr>
      <w:r>
        <w:t>Nedohodnou-li se smluvní strany na způsobu řešení vzájemného sporu, má každá ze smluvních stran právo uplatnit svůj nárok oznámením o zahájení rozhodčího řízení, které bude vedeno podle pravidel stanovených dále. Strana, která uplatňuje svá práva podle tohoto odst. 12.3. a násl. této Smlouvy, je stranou žalující (navrhovatel), a druhá strana je odpůrcem. S oznámením musí být spojen návrh na zahájení rozhodčího řízení (žaloba). Nárok je uplatněn doručením řádného oznámení odpůrci.</w:t>
      </w:r>
    </w:p>
    <w:p w:rsidR="00E658AE" w:rsidRDefault="00E658AE" w:rsidP="00E658AE">
      <w:pPr>
        <w:pStyle w:val="YSNormln"/>
        <w:numPr>
          <w:ilvl w:val="1"/>
          <w:numId w:val="5"/>
        </w:numPr>
      </w:pPr>
      <w:r>
        <w:t>Rozhodčí řízení bude konáno v Praze v České republice.</w:t>
      </w:r>
    </w:p>
    <w:p w:rsidR="00E658AE" w:rsidRDefault="00E658AE" w:rsidP="00E658AE">
      <w:pPr>
        <w:pStyle w:val="YSNormln"/>
        <w:numPr>
          <w:ilvl w:val="1"/>
          <w:numId w:val="5"/>
        </w:numPr>
      </w:pPr>
      <w:r>
        <w:t>Do patnácti (15) dnů od doručení oznámení o zahájení rozhodčího řízení odpůrci jmenuje každá ze smluvních stran jednu (1) osobu jako rozhodce a toto jmenování oznámit straně druhé a jmenovanému rozhodci; za oznámení osoby druhého rozhodce rozhodcům odpovídá navrhovatel, pokud odpůrce splnil řádně povinnost rozhodce jmenovat. Navrhovatel může rozhodce jmenovat již v oznámení dle odst. 12.3. této Smlouvy. Pokud odpůrce nejmenuje ve stanovené lhůtě rozhodce, může tohoto rozhodce jmenovat navrhovatel.</w:t>
      </w:r>
    </w:p>
    <w:p w:rsidR="00E658AE" w:rsidRDefault="00E658AE" w:rsidP="00E658AE">
      <w:pPr>
        <w:pStyle w:val="YSNormln"/>
        <w:numPr>
          <w:ilvl w:val="1"/>
          <w:numId w:val="5"/>
        </w:numPr>
      </w:pPr>
      <w:r>
        <w:t xml:space="preserve">Do dalších patnácti (15) dnů po zvolení obou rozhodců jmenují rozhodci takto jmenovaní třetího - předsedajícího rozhodce a oznámí tuto skutečnost stranám. Nedojde-li takto ke jmenování předsedajícího rozhodce, požádají rozhodci o jeho jmenování předsedu Rozhodčího soudu při Hospodářské komoře ČR a Agrární komoře ČR. </w:t>
      </w:r>
    </w:p>
    <w:p w:rsidR="00E658AE" w:rsidRDefault="00E658AE" w:rsidP="00E658AE">
      <w:pPr>
        <w:pStyle w:val="YSNormln"/>
        <w:numPr>
          <w:ilvl w:val="1"/>
          <w:numId w:val="5"/>
        </w:numPr>
      </w:pPr>
      <w:r>
        <w:t>Rozhodci určení dle odst. 12.5. této Smlouvy mohou být kdykoliv nahrazeni jinými osobami na základě jednomyslné dohody smluvních stran z důvodů zdravotní nezpůsobilosti, smrti či jiných závažných důvodů; není-li dosud jmenován předsedající rozhodce, jmenuje náhradníka ta strana, které jmenovala indisponovaného rozhodce. Nedohodnou-li se strany do pěti (5) dnů na jmenování náhradního rozhodce, určí jej předsedající rozhodce, a jde-li o předsedajícího rozhodce, jmenují rozhodci nového rozhodce. Nově jmenovaní rozhodci pak provedou celé řízení od počátku, nedohodnou-li se, že budou pokračovat ve stávajícím řízení.</w:t>
      </w:r>
    </w:p>
    <w:p w:rsidR="00E658AE" w:rsidRDefault="00E658AE" w:rsidP="00E658AE">
      <w:pPr>
        <w:pStyle w:val="YSNormln"/>
        <w:numPr>
          <w:ilvl w:val="1"/>
          <w:numId w:val="5"/>
        </w:numPr>
      </w:pPr>
      <w:r>
        <w:t>Žaloba musí obsahovat jména a adresy smluvních stran, popis nároku, stanovení výše nároku a návrh na řešení sporu.</w:t>
      </w:r>
    </w:p>
    <w:p w:rsidR="00E658AE" w:rsidRDefault="00E658AE" w:rsidP="00E658AE">
      <w:pPr>
        <w:pStyle w:val="YSNormln"/>
        <w:numPr>
          <w:ilvl w:val="1"/>
          <w:numId w:val="5"/>
        </w:numPr>
      </w:pPr>
      <w:r>
        <w:t xml:space="preserve">Žaloba se ve znění doručeném odpůrci dle odst. 12.3. této Smlouvy předkládá předsedajícímu rozhodci, je-li určen nebo jmenován; není-li dosud určen nebo jmenován, předkládá se návrh na zahájení řízení kterémukoli určenému rozhodci. Rozhodce je povinen na návrhu na zahájení řízení vyznačit den, kdy mu návrh došel; tímto dnem se považuje nárok za uplatněný, nepodařilo-li se doručit oznámení dle odst. 12.3. této Smlouvy odpůrci. Nejdříve může navrhovatel předložit návrh na zahájení rozhodčího řízení jím jmenovanému rozhodci, pokud jej označil již v oznámení dle odst. 12.3. této Smlouvy, ke dni doručení tohoto oznámení. Rozhodci provedou rozhodčí řízení způsobem, který uznají za vhodný, přičemž platí, že smluvní </w:t>
      </w:r>
      <w:r>
        <w:lastRenderedPageBreak/>
        <w:t>strany musí mít rovnoprávné postavení a musí jim být poskytnuta stejná možnost prezentovat své stanovisko před rozhodci. Každá ze smluvních stran má právo požadovat, a to i v průběhu řízení, aby rozhodci provedli procesní řízení s předkládáním důkazů, výslechem svědků a znalců a výslechem stran.</w:t>
      </w:r>
    </w:p>
    <w:p w:rsidR="00E658AE" w:rsidRDefault="00E658AE" w:rsidP="00E658AE">
      <w:pPr>
        <w:pStyle w:val="YSNormln"/>
        <w:numPr>
          <w:ilvl w:val="1"/>
          <w:numId w:val="5"/>
        </w:numPr>
      </w:pPr>
      <w:r>
        <w:t>Změnit návrh na zahájení rozhodčího řízení může navrhovatel jen se souhlasem odpůrce, a byl-li již jmenován předsedající rozhodce, i bez souhlasu odpůrce se souhlasem tohoto rozhodce, který může změnu návrhu odmítnout, nelze-li výsledky dosavadního řízení použít pro řízení o změněném návrhu.</w:t>
      </w:r>
    </w:p>
    <w:p w:rsidR="00E658AE" w:rsidRDefault="00E658AE" w:rsidP="00E658AE">
      <w:pPr>
        <w:pStyle w:val="YSNormln"/>
        <w:numPr>
          <w:ilvl w:val="1"/>
          <w:numId w:val="5"/>
        </w:numPr>
      </w:pPr>
      <w:r>
        <w:t>Smluvní strany se mohou nechat zastoupit osobami dle svého vlastního výběru. Jména zástupců musí být písemně sdělena druhé smluvní straně. Všechny doklady předložené rozhodcům musí být zároveň zaslány druhé straně sporu.</w:t>
      </w:r>
    </w:p>
    <w:p w:rsidR="00E658AE" w:rsidRDefault="00E658AE" w:rsidP="00E658AE">
      <w:pPr>
        <w:pStyle w:val="YSNormln"/>
        <w:numPr>
          <w:ilvl w:val="1"/>
          <w:numId w:val="5"/>
        </w:numPr>
      </w:pPr>
      <w:r>
        <w:t>Rozhodci budou zasedat nepřetržitě osm (8) hodin denně a šest (6) dní v týdnu, dokud nedospějí k rozhodnutí, nedohodnou-li se rozhodci na prodloužení této doby pro zasedání.</w:t>
      </w:r>
    </w:p>
    <w:p w:rsidR="00E658AE" w:rsidRDefault="00E658AE" w:rsidP="00E658AE">
      <w:pPr>
        <w:pStyle w:val="YSNormln"/>
        <w:numPr>
          <w:ilvl w:val="1"/>
          <w:numId w:val="5"/>
        </w:numPr>
      </w:pPr>
      <w:r>
        <w:t>Rozhodčí jednání budou vedena v jazyce českém. Písemnosti předkládané smluvními stranami při rozhodčím řízení musí být přeloženy do českého jazyka, nerozhodnou-li rozhodci v odůvodněných případech jinak.</w:t>
      </w:r>
    </w:p>
    <w:p w:rsidR="00E658AE" w:rsidRDefault="00E658AE" w:rsidP="00E658AE">
      <w:pPr>
        <w:pStyle w:val="YSNormln"/>
        <w:numPr>
          <w:ilvl w:val="1"/>
          <w:numId w:val="5"/>
        </w:numPr>
      </w:pPr>
      <w:r>
        <w:t>Je-li některý rozhodce nečinný, postupuje se obdobně dle odst. 12.7. této Smlouvy; je-li však nečinný rozhodce jmenovaný odpůrcem, určí náhradního rozhodce navrhovatel.</w:t>
      </w:r>
    </w:p>
    <w:p w:rsidR="00E658AE" w:rsidRDefault="00E658AE" w:rsidP="00E658AE">
      <w:pPr>
        <w:pStyle w:val="YSNormln"/>
        <w:numPr>
          <w:ilvl w:val="1"/>
          <w:numId w:val="5"/>
        </w:numPr>
      </w:pPr>
      <w:r>
        <w:t xml:space="preserve">Odměna rozhodců musí být zásadně vždy stanovena předem písemnou dohodou smluvních stran. Nedohodnou-li se strany na této odměně, určí odměnu se souhlasem rozhodců navrhovatel. Náklady rozhodčího řízení, tj. odměnu rozhodců, administrativní náklady rozhodců a náklady právního zastoupení uhradí smluvní strany podle úspěchu ve věci. Strana, která má ve věci úspěch, má právo proti druhé straně na náhradu nákladů rozhodčího řízení obdobně dle </w:t>
      </w:r>
      <w:proofErr w:type="spellStart"/>
      <w:r>
        <w:t>ust</w:t>
      </w:r>
      <w:proofErr w:type="spellEnd"/>
      <w:r>
        <w:t>. § 142 odst. 1 až 3 zákona č. 99/1963 Sb., občanský soudní řád ve znění pozdějších předpisů. Výši nákladů řízení a jejich rozdělení a náhrady určí rozhodci ve svém nálezu.</w:t>
      </w:r>
    </w:p>
    <w:p w:rsidR="00E658AE" w:rsidRDefault="00E658AE" w:rsidP="00E658AE">
      <w:pPr>
        <w:pStyle w:val="YSNormln"/>
        <w:numPr>
          <w:ilvl w:val="1"/>
          <w:numId w:val="5"/>
        </w:numPr>
      </w:pPr>
      <w:r>
        <w:t>Rozhodčí nález je konečný a závazný pro všechny smluvní strany a žádná ze smluvních stran se neobrátí k žádnému orgánu se žádostí o přezkoumání. Tím není dotčeno právo smluvních stran navrhnout soudu zrušení rozhodčího nálezu nebo navrhnout zastavení nařízeného výkonu rozhodnutí v souladu se zákonem.</w:t>
      </w:r>
    </w:p>
    <w:p w:rsidR="00E658AE" w:rsidRDefault="00E658AE" w:rsidP="00E658AE">
      <w:pPr>
        <w:pStyle w:val="YSNormln"/>
        <w:numPr>
          <w:ilvl w:val="1"/>
          <w:numId w:val="5"/>
        </w:numPr>
      </w:pPr>
      <w:r>
        <w:t xml:space="preserve">Strana žalující může namísto postupu dle odst. 12.3. a násl. této Smlouvy podat žalobu k obecnému soudu nebo Rozhodčímu soudu při Hospodářské komoře ČR a Agrární komoře ČR; pokud již byl učiněn první úkon k zahájení rozhodčího řízení (odst. 12.3. této Smlouvy), mohou tak učinit jen v případě, že se tak písemně dohodnou nebo nebyl jmenován předsedající rozhodce ani postupem dle odst. 12.6 věta druhá. </w:t>
      </w:r>
    </w:p>
    <w:p w:rsidR="00E658AE" w:rsidRDefault="00E658AE" w:rsidP="00E658AE">
      <w:pPr>
        <w:pStyle w:val="YSNormln"/>
        <w:numPr>
          <w:ilvl w:val="1"/>
          <w:numId w:val="5"/>
        </w:numPr>
      </w:pPr>
      <w:r>
        <w:t>V případě soudního řešení sporů mezi smluvními stranami je místně příslušným soudem Městský soud v Praze.</w:t>
      </w:r>
    </w:p>
    <w:p w:rsidR="00E658AE" w:rsidRPr="00E658AE" w:rsidRDefault="00E658AE" w:rsidP="00E658AE">
      <w:pPr>
        <w:pStyle w:val="YSNormln"/>
        <w:numPr>
          <w:ilvl w:val="0"/>
          <w:numId w:val="5"/>
        </w:numPr>
        <w:rPr>
          <w:b/>
        </w:rPr>
      </w:pPr>
      <w:r w:rsidRPr="00E658AE">
        <w:rPr>
          <w:b/>
        </w:rPr>
        <w:lastRenderedPageBreak/>
        <w:t>ZÁVĚREČNÁ USTANOVENÍ</w:t>
      </w:r>
    </w:p>
    <w:p w:rsidR="00E658AE" w:rsidRDefault="00E658AE" w:rsidP="00E658AE">
      <w:pPr>
        <w:pStyle w:val="YSNormln"/>
        <w:numPr>
          <w:ilvl w:val="1"/>
          <w:numId w:val="5"/>
        </w:numPr>
      </w:pPr>
      <w:r>
        <w:t>Tato Smlouva, jakož i práva a povinnosti vzniklé na základě této Smlouvy nebo v souvislosti s ní, se řídí zákonem č. 89/2012 Sb., občanský zákoník, ve znění pozdějších předpisů.</w:t>
      </w:r>
    </w:p>
    <w:p w:rsidR="00E658AE" w:rsidRDefault="00E658AE" w:rsidP="00E658AE">
      <w:pPr>
        <w:pStyle w:val="YSNormln"/>
        <w:numPr>
          <w:ilvl w:val="1"/>
          <w:numId w:val="5"/>
        </w:numPr>
      </w:pPr>
      <w:r>
        <w:t>Tato Smlouva představuje úplnou dohodu smluvních stran o předmětu této Smlouvy. Tuto Smlouvu je možné měnit pouze písemnou dohodou smluvních stran ve formě číslovaných dodatků této Smlouvy, podepsaných oprávněnými zástupci obou smluvních stran. Kupující výslovně prohlašuje, že na sebe přebírá nebezpečí změny okolností ve smyslu § 1765 odst. 2 občanského zákoníku. Podpisem této Smlouvy Kupující potvrzuje, že si Smlouvu přečetl, s jejím obsahem souhlasí a závazky v ní uvedené přebírá, Kupující dále prohlašuje, že Smlouva neobsahuje doložky, které by bylo možné přečíst jen se zvláštními obtížemi ani doložky, které by pro něj byly nesrozumitelné a že mu byl obsah Smlouvy dostatečně vysvětlen. Kupující dále prohlašuje, že tato Smlouva neobsahuje doložky, které by pro něj byly zvláště nevýhodné</w:t>
      </w:r>
    </w:p>
    <w:p w:rsidR="00E658AE" w:rsidRDefault="00E658AE" w:rsidP="00E658AE">
      <w:pPr>
        <w:pStyle w:val="YSNormln"/>
        <w:numPr>
          <w:ilvl w:val="1"/>
          <w:numId w:val="5"/>
        </w:numPr>
      </w:pPr>
      <w:r>
        <w:t>Nedílnou součást Smlouvy tvoří tyto přílohy:</w:t>
      </w:r>
    </w:p>
    <w:p w:rsidR="00E658AE" w:rsidRDefault="00E658AE" w:rsidP="00E658AE">
      <w:pPr>
        <w:pStyle w:val="YSNormln"/>
        <w:ind w:left="1418" w:firstLine="0"/>
        <w:jc w:val="left"/>
      </w:pPr>
      <w:r>
        <w:t>Příloha č. 1 - Specifikace hardware</w:t>
      </w:r>
      <w:r>
        <w:br/>
        <w:t>Příloha č. 2 - Místo dodání</w:t>
      </w:r>
      <w:r>
        <w:br/>
        <w:t>Příloha č. 3 - Termín dodání</w:t>
      </w:r>
      <w:r>
        <w:br/>
        <w:t>Příloha č. 4 - Cena a platební kalendář</w:t>
      </w:r>
      <w:r>
        <w:br/>
        <w:t>Příloha č. 5 - Oprávněné osoby</w:t>
      </w:r>
    </w:p>
    <w:p w:rsidR="00E658AE" w:rsidRPr="00E658AE" w:rsidRDefault="00E658AE" w:rsidP="00E658AE">
      <w:pPr>
        <w:pStyle w:val="YSNormln"/>
        <w:numPr>
          <w:ilvl w:val="1"/>
          <w:numId w:val="5"/>
        </w:numPr>
      </w:pPr>
      <w:r>
        <w:t>Tato Smlouva je uzavřena ve dvou (2) vyhotoveních, z nichž každá strana obdrží po jednom (1) vyhotovení.</w:t>
      </w:r>
    </w:p>
    <w:p w:rsidR="005E1C33" w:rsidRPr="00B5483E" w:rsidRDefault="005E1C33" w:rsidP="004A359A">
      <w:pPr>
        <w:pStyle w:val="YSNormln"/>
        <w:spacing w:before="400" w:after="400"/>
        <w:ind w:firstLine="0"/>
        <w:jc w:val="center"/>
        <w:rPr>
          <w:b/>
        </w:rPr>
      </w:pPr>
      <w:r w:rsidRPr="00B5483E">
        <w:rPr>
          <w:b/>
        </w:rPr>
        <w:t>Strany prohlašují, že si tuto Smlouvu přečetly, že s jejím obsahem souhlasí a na důkaz toho k ní připojují svoje podpisy.</w:t>
      </w:r>
    </w:p>
    <w:p w:rsidR="007134AD" w:rsidRDefault="007134AD" w:rsidP="007134AD">
      <w:pPr>
        <w:sectPr w:rsidR="007134AD" w:rsidSect="007134AD">
          <w:type w:val="continuous"/>
          <w:pgSz w:w="11906" w:h="16838"/>
          <w:pgMar w:top="1417" w:right="1417" w:bottom="1417" w:left="1417" w:header="708" w:footer="708" w:gutter="0"/>
          <w:cols w:space="708"/>
          <w:docGrid w:linePitch="360"/>
        </w:sectPr>
      </w:pPr>
    </w:p>
    <w:p w:rsidR="006B5D3E" w:rsidRPr="002B5005" w:rsidRDefault="004F67E0" w:rsidP="002B5005">
      <w:pPr>
        <w:pStyle w:val="YSNormlnZanadpisemiobjektem"/>
        <w:jc w:val="center"/>
        <w:rPr>
          <w:b/>
        </w:rPr>
      </w:pPr>
      <w:r>
        <w:rPr>
          <w:b/>
        </w:rPr>
        <w:t>P</w:t>
      </w:r>
      <w:r w:rsidR="00E658AE">
        <w:rPr>
          <w:b/>
        </w:rPr>
        <w:t>rodávající</w:t>
      </w:r>
    </w:p>
    <w:p w:rsidR="00B5483E" w:rsidRDefault="00B91B76" w:rsidP="00B91B76">
      <w:pPr>
        <w:pStyle w:val="YSNormlnZanadpisemiobjektem"/>
      </w:pPr>
      <w:r>
        <w:t xml:space="preserve">                </w:t>
      </w:r>
      <w:r w:rsidR="00B5483E">
        <w:t xml:space="preserve">V </w:t>
      </w:r>
      <w:r>
        <w:t>Praze</w:t>
      </w:r>
      <w:r w:rsidR="00B5483E">
        <w:t xml:space="preserve"> </w:t>
      </w:r>
      <w:r>
        <w:t xml:space="preserve">dne:  </w:t>
      </w:r>
    </w:p>
    <w:p w:rsidR="00B5483E" w:rsidRDefault="00B5483E" w:rsidP="002B5005">
      <w:pPr>
        <w:pStyle w:val="YSNormln"/>
        <w:spacing w:before="600"/>
        <w:jc w:val="center"/>
      </w:pPr>
      <w:r>
        <w:t>………………………………………………………</w:t>
      </w:r>
    </w:p>
    <w:p w:rsidR="002B5005" w:rsidRPr="00EB3BA5" w:rsidRDefault="002B5005" w:rsidP="002B5005">
      <w:pPr>
        <w:pStyle w:val="YSNormlnZanadpisemiobjektem"/>
        <w:jc w:val="center"/>
        <w:rPr>
          <w:b/>
        </w:rPr>
      </w:pPr>
      <w:r w:rsidRPr="00EB3BA5">
        <w:rPr>
          <w:b/>
        </w:rPr>
        <w:t>YOUR SYSTEM s.r.o.</w:t>
      </w:r>
    </w:p>
    <w:p w:rsidR="002B5005" w:rsidRPr="00B5483E" w:rsidRDefault="002B5005" w:rsidP="002B5005">
      <w:pPr>
        <w:pStyle w:val="YSNormlnZanadpisemiobjektem"/>
        <w:jc w:val="center"/>
      </w:pPr>
      <w:r>
        <w:t>RNDr. Martin Nehasil, jednatel</w:t>
      </w:r>
    </w:p>
    <w:p w:rsidR="006B5D3E" w:rsidRPr="002B5005" w:rsidRDefault="00C071BC" w:rsidP="002B5005">
      <w:pPr>
        <w:pStyle w:val="YSNormlnZanadpisemiobjektem"/>
        <w:jc w:val="center"/>
        <w:rPr>
          <w:b/>
        </w:rPr>
      </w:pPr>
      <w:r>
        <w:br w:type="column"/>
      </w:r>
      <w:r w:rsidR="00E658AE">
        <w:rPr>
          <w:b/>
        </w:rPr>
        <w:t>Kupující</w:t>
      </w:r>
    </w:p>
    <w:p w:rsidR="002B5005" w:rsidRDefault="00B91B76" w:rsidP="00B91B76">
      <w:pPr>
        <w:pStyle w:val="YSNormlnZanadpisemiobjektem"/>
      </w:pPr>
      <w:r>
        <w:t xml:space="preserve">               V Praze</w:t>
      </w:r>
      <w:r w:rsidR="002B5005">
        <w:t xml:space="preserve"> </w:t>
      </w:r>
      <w:r>
        <w:t xml:space="preserve">dne:                  </w:t>
      </w:r>
    </w:p>
    <w:p w:rsidR="002B5005" w:rsidRDefault="002B5005" w:rsidP="002B5005">
      <w:pPr>
        <w:pStyle w:val="YSNormln"/>
        <w:spacing w:before="600"/>
        <w:jc w:val="center"/>
      </w:pPr>
      <w:r>
        <w:t>………………………………………………………</w:t>
      </w:r>
    </w:p>
    <w:p w:rsidR="002B5005" w:rsidRPr="002B5005" w:rsidRDefault="00EB3BA5" w:rsidP="002B5005">
      <w:pPr>
        <w:pStyle w:val="YSNormlnZanadpisemiobjektem"/>
        <w:jc w:val="center"/>
      </w:pPr>
      <w:r w:rsidRPr="00EB3BA5">
        <w:rPr>
          <w:b/>
          <w:bCs/>
        </w:rPr>
        <w:t>Gymnázium Oty Pavla</w:t>
      </w:r>
      <w:r w:rsidRPr="00EB3BA5">
        <w:br/>
        <w:t>RNDr. Jana Hrkalová, ředitelka gymnázia</w:t>
      </w:r>
    </w:p>
    <w:p w:rsidR="00C071BC" w:rsidRDefault="00C071BC" w:rsidP="00C071BC">
      <w:pPr>
        <w:pStyle w:val="YSNormlnZanadpisemiobjektem"/>
        <w:jc w:val="center"/>
        <w:sectPr w:rsidR="00C071BC" w:rsidSect="00C071BC">
          <w:type w:val="continuous"/>
          <w:pgSz w:w="11906" w:h="16838"/>
          <w:pgMar w:top="1417" w:right="1417" w:bottom="1417" w:left="1417" w:header="708" w:footer="708" w:gutter="0"/>
          <w:cols w:num="2" w:space="708"/>
          <w:docGrid w:linePitch="360"/>
        </w:sectPr>
      </w:pPr>
    </w:p>
    <w:p w:rsidR="00E658AE" w:rsidRDefault="00E658AE">
      <w:r>
        <w:br w:type="page"/>
      </w:r>
    </w:p>
    <w:p w:rsidR="00E658AE" w:rsidRPr="008C3C42" w:rsidRDefault="00E658AE" w:rsidP="008C3C42">
      <w:pPr>
        <w:pStyle w:val="YSNormlnZanadpisemiobjektem"/>
        <w:jc w:val="center"/>
        <w:rPr>
          <w:b/>
        </w:rPr>
      </w:pPr>
      <w:r w:rsidRPr="008C3C42">
        <w:rPr>
          <w:b/>
        </w:rPr>
        <w:lastRenderedPageBreak/>
        <w:t>Příloha č. 1</w:t>
      </w:r>
    </w:p>
    <w:p w:rsidR="00E658AE" w:rsidRPr="008C3C42" w:rsidRDefault="00E658AE" w:rsidP="008C3C42">
      <w:pPr>
        <w:pStyle w:val="YSNormlnZanadpisemiobjektem"/>
        <w:jc w:val="center"/>
        <w:rPr>
          <w:b/>
        </w:rPr>
      </w:pPr>
      <w:r w:rsidRPr="008C3C42">
        <w:rPr>
          <w:b/>
        </w:rPr>
        <w:t>Specifikace hardware</w:t>
      </w:r>
    </w:p>
    <w:p w:rsidR="00B91B76" w:rsidRDefault="00B91B76" w:rsidP="00B91B76"/>
    <w:p w:rsidR="00B91B76" w:rsidRPr="000864BC" w:rsidRDefault="00B91B76" w:rsidP="00B91B76">
      <w:pPr>
        <w:pStyle w:val="Nadpis2"/>
        <w:rPr>
          <w:rFonts w:asciiTheme="minorHAnsi" w:hAnsiTheme="minorHAnsi" w:cstheme="minorHAnsi"/>
          <w:b/>
        </w:rPr>
      </w:pPr>
      <w:r w:rsidRPr="000864BC">
        <w:rPr>
          <w:rFonts w:asciiTheme="minorHAnsi" w:hAnsiTheme="minorHAnsi" w:cstheme="minorHAnsi"/>
          <w:b/>
        </w:rPr>
        <w:t>Server</w:t>
      </w:r>
    </w:p>
    <w:p w:rsidR="00B91B76" w:rsidRDefault="00B91B76" w:rsidP="00B91B76">
      <w:r w:rsidRPr="00AD02C5">
        <w:t xml:space="preserve">Naše nabídka reaguje na požadavek doplnění hardware technologie od výrobce Hewlett-Packard. Jako nejvhodnější v poměru cena výkon se jeví Server </w:t>
      </w:r>
      <w:proofErr w:type="spellStart"/>
      <w:r w:rsidRPr="00AD02C5">
        <w:t>HP</w:t>
      </w:r>
      <w:r>
        <w:t>e</w:t>
      </w:r>
      <w:proofErr w:type="spellEnd"/>
      <w:r w:rsidRPr="00AD02C5">
        <w:t xml:space="preserve"> </w:t>
      </w:r>
      <w:proofErr w:type="spellStart"/>
      <w:r w:rsidRPr="00AD02C5">
        <w:t>ProLiant</w:t>
      </w:r>
      <w:proofErr w:type="spellEnd"/>
      <w:r w:rsidRPr="00AD02C5">
        <w:t xml:space="preserve"> DL380</w:t>
      </w:r>
      <w:r>
        <w:t xml:space="preserve"> Gen10</w:t>
      </w:r>
      <w:r w:rsidRPr="00AD02C5">
        <w:t xml:space="preserve">, který je konfigurován na základě </w:t>
      </w:r>
      <w:r>
        <w:t xml:space="preserve">požadavků v </w:t>
      </w:r>
      <w:r w:rsidRPr="00AD02C5">
        <w:t>zadání.</w:t>
      </w:r>
    </w:p>
    <w:p w:rsidR="00B91B76" w:rsidRPr="00AD02C5" w:rsidRDefault="00B91B76" w:rsidP="00B91B76"/>
    <w:p w:rsidR="00B91B76" w:rsidRDefault="00B91B76" w:rsidP="00B91B76">
      <w:pPr>
        <w:rPr>
          <w:b/>
        </w:rPr>
      </w:pPr>
      <w:r w:rsidRPr="00C07FB5">
        <w:rPr>
          <w:rFonts w:ascii="&amp;quot" w:hAnsi="&amp;quot"/>
          <w:noProof/>
          <w:color w:val="333333"/>
          <w:sz w:val="23"/>
          <w:szCs w:val="23"/>
          <w:lang w:eastAsia="cs-CZ"/>
        </w:rPr>
        <w:drawing>
          <wp:anchor distT="0" distB="0" distL="114300" distR="114300" simplePos="0" relativeHeight="251659264" behindDoc="1" locked="0" layoutInCell="1" allowOverlap="1" wp14:anchorId="7E501DC5" wp14:editId="6293027B">
            <wp:simplePos x="0" y="0"/>
            <wp:positionH relativeFrom="margin">
              <wp:align>center</wp:align>
            </wp:positionH>
            <wp:positionV relativeFrom="paragraph">
              <wp:posOffset>7620</wp:posOffset>
            </wp:positionV>
            <wp:extent cx="3362960" cy="866775"/>
            <wp:effectExtent l="0" t="0" r="8890" b="9525"/>
            <wp:wrapTight wrapText="bothSides">
              <wp:wrapPolygon edited="0">
                <wp:start x="0" y="0"/>
                <wp:lineTo x="0" y="21363"/>
                <wp:lineTo x="21535" y="21363"/>
                <wp:lineTo x="21535" y="0"/>
                <wp:lineTo x="0" y="0"/>
              </wp:wrapPolygon>
            </wp:wrapTight>
            <wp:docPr id="4" name="Obrázek 4" descr="HPE ProLiant DL380 Gen10 /5218/64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E ProLiant DL380 Gen10 /5218/64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96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1B76" w:rsidRDefault="00B91B76" w:rsidP="00B91B76">
      <w:pPr>
        <w:rPr>
          <w:b/>
        </w:rPr>
      </w:pPr>
    </w:p>
    <w:p w:rsidR="00B91B76" w:rsidRDefault="00B91B76" w:rsidP="00B91B76"/>
    <w:p w:rsidR="00B91B76" w:rsidRDefault="00B91B76" w:rsidP="00B91B76"/>
    <w:p w:rsidR="00B91B76" w:rsidRDefault="00B91B76" w:rsidP="00B91B76">
      <w:r>
        <w:t>Specifikace nabízeného serveru:</w:t>
      </w:r>
    </w:p>
    <w:tbl>
      <w:tblPr>
        <w:tblW w:w="9740" w:type="dxa"/>
        <w:tblInd w:w="-142" w:type="dxa"/>
        <w:tblCellMar>
          <w:left w:w="70" w:type="dxa"/>
          <w:right w:w="70" w:type="dxa"/>
        </w:tblCellMar>
        <w:tblLook w:val="04A0" w:firstRow="1" w:lastRow="0" w:firstColumn="1" w:lastColumn="0" w:noHBand="0" w:noVBand="1"/>
      </w:tblPr>
      <w:tblGrid>
        <w:gridCol w:w="567"/>
        <w:gridCol w:w="4990"/>
        <w:gridCol w:w="4183"/>
      </w:tblGrid>
      <w:tr w:rsidR="00B91B76" w:rsidRPr="008A36F2" w:rsidTr="00B91B76">
        <w:trPr>
          <w:trHeight w:val="300"/>
        </w:trPr>
        <w:tc>
          <w:tcPr>
            <w:tcW w:w="567" w:type="dxa"/>
            <w:tcBorders>
              <w:top w:val="nil"/>
              <w:left w:val="nil"/>
              <w:bottom w:val="nil"/>
              <w:right w:val="nil"/>
            </w:tcBorders>
          </w:tcPr>
          <w:p w:rsidR="00B91B76" w:rsidRPr="008A36F2" w:rsidRDefault="00B91B76" w:rsidP="00B91B76">
            <w:pPr>
              <w:spacing w:after="0" w:line="240" w:lineRule="auto"/>
              <w:jc w:val="center"/>
              <w:rPr>
                <w:rFonts w:ascii="Calibri" w:hAnsi="Calibri" w:cs="Calibri"/>
                <w:b/>
                <w:sz w:val="24"/>
                <w:lang w:eastAsia="cs-CZ"/>
              </w:rPr>
            </w:pPr>
          </w:p>
        </w:tc>
        <w:tc>
          <w:tcPr>
            <w:tcW w:w="4990" w:type="dxa"/>
            <w:tcBorders>
              <w:top w:val="nil"/>
              <w:left w:val="nil"/>
              <w:bottom w:val="nil"/>
              <w:right w:val="nil"/>
            </w:tcBorders>
            <w:shd w:val="clear" w:color="auto" w:fill="auto"/>
            <w:noWrap/>
            <w:vAlign w:val="bottom"/>
          </w:tcPr>
          <w:p w:rsidR="00B91B76" w:rsidRPr="008A36F2" w:rsidRDefault="00B91B76" w:rsidP="005B2043">
            <w:pPr>
              <w:spacing w:after="0" w:line="240" w:lineRule="auto"/>
              <w:rPr>
                <w:rFonts w:ascii="Calibri" w:hAnsi="Calibri" w:cs="Calibri"/>
                <w:b/>
                <w:sz w:val="24"/>
                <w:lang w:eastAsia="cs-CZ"/>
              </w:rPr>
            </w:pPr>
            <w:proofErr w:type="spellStart"/>
            <w:r w:rsidRPr="008A36F2">
              <w:rPr>
                <w:rFonts w:ascii="Calibri" w:hAnsi="Calibri" w:cs="Calibri"/>
                <w:b/>
                <w:sz w:val="24"/>
                <w:lang w:eastAsia="cs-CZ"/>
              </w:rPr>
              <w:t>HPe</w:t>
            </w:r>
            <w:proofErr w:type="spellEnd"/>
            <w:r w:rsidRPr="008A36F2">
              <w:rPr>
                <w:rFonts w:ascii="Calibri" w:hAnsi="Calibri" w:cs="Calibri"/>
                <w:b/>
                <w:sz w:val="24"/>
                <w:lang w:eastAsia="cs-CZ"/>
              </w:rPr>
              <w:t xml:space="preserve"> </w:t>
            </w:r>
            <w:proofErr w:type="spellStart"/>
            <w:r w:rsidRPr="008A36F2">
              <w:rPr>
                <w:rFonts w:ascii="Calibri" w:hAnsi="Calibri" w:cs="Calibri"/>
                <w:b/>
                <w:sz w:val="24"/>
                <w:lang w:eastAsia="cs-CZ"/>
              </w:rPr>
              <w:t>Proliant</w:t>
            </w:r>
            <w:proofErr w:type="spellEnd"/>
            <w:r w:rsidRPr="008A36F2">
              <w:rPr>
                <w:rFonts w:ascii="Calibri" w:hAnsi="Calibri" w:cs="Calibri"/>
                <w:b/>
                <w:sz w:val="24"/>
                <w:lang w:eastAsia="cs-CZ"/>
              </w:rPr>
              <w:t xml:space="preserve"> DL 380Gen 10</w:t>
            </w:r>
          </w:p>
        </w:tc>
        <w:tc>
          <w:tcPr>
            <w:tcW w:w="4183" w:type="dxa"/>
            <w:tcBorders>
              <w:top w:val="nil"/>
              <w:left w:val="nil"/>
              <w:bottom w:val="nil"/>
              <w:right w:val="nil"/>
            </w:tcBorders>
            <w:shd w:val="clear" w:color="auto" w:fill="auto"/>
            <w:noWrap/>
            <w:vAlign w:val="bottom"/>
          </w:tcPr>
          <w:p w:rsidR="00B91B76" w:rsidRPr="008A36F2" w:rsidRDefault="00B91B76" w:rsidP="005B2043">
            <w:pPr>
              <w:spacing w:after="0" w:line="240" w:lineRule="auto"/>
              <w:rPr>
                <w:rFonts w:ascii="Calibri" w:hAnsi="Calibri" w:cs="Calibri"/>
                <w:b/>
                <w:sz w:val="24"/>
                <w:lang w:eastAsia="cs-CZ"/>
              </w:rPr>
            </w:pPr>
            <w:r w:rsidRPr="00DD6406">
              <w:rPr>
                <w:rFonts w:ascii="Calibri" w:hAnsi="Calibri" w:cs="Calibri"/>
                <w:b/>
                <w:sz w:val="24"/>
                <w:lang w:eastAsia="cs-CZ"/>
              </w:rPr>
              <w:t>P50751-B21</w:t>
            </w:r>
          </w:p>
        </w:tc>
      </w:tr>
      <w:tr w:rsidR="00B91B76" w:rsidRPr="00DD6406" w:rsidTr="00B91B76">
        <w:trPr>
          <w:trHeight w:val="300"/>
        </w:trPr>
        <w:tc>
          <w:tcPr>
            <w:tcW w:w="567" w:type="dxa"/>
            <w:tcBorders>
              <w:top w:val="nil"/>
              <w:left w:val="nil"/>
              <w:bottom w:val="nil"/>
              <w:right w:val="nil"/>
            </w:tcBorders>
          </w:tcPr>
          <w:p w:rsidR="00B91B76" w:rsidRDefault="00B91B76" w:rsidP="00B91B76">
            <w:pPr>
              <w:spacing w:after="0" w:line="240" w:lineRule="auto"/>
              <w:jc w:val="center"/>
              <w:rPr>
                <w:rFonts w:ascii="Calibri" w:hAnsi="Calibri" w:cs="Calibri"/>
                <w:lang w:eastAsia="cs-CZ"/>
              </w:rPr>
            </w:pPr>
          </w:p>
        </w:tc>
        <w:tc>
          <w:tcPr>
            <w:tcW w:w="4990" w:type="dxa"/>
            <w:tcBorders>
              <w:top w:val="nil"/>
              <w:left w:val="nil"/>
              <w:bottom w:val="nil"/>
              <w:right w:val="nil"/>
            </w:tcBorders>
            <w:shd w:val="clear" w:color="auto" w:fill="auto"/>
            <w:noWrap/>
            <w:vAlign w:val="bottom"/>
          </w:tcPr>
          <w:p w:rsidR="00B91B76" w:rsidRDefault="00B91B76" w:rsidP="005B2043">
            <w:pPr>
              <w:spacing w:after="0" w:line="240" w:lineRule="auto"/>
              <w:rPr>
                <w:rFonts w:ascii="Calibri" w:hAnsi="Calibri" w:cs="Calibri"/>
                <w:lang w:eastAsia="cs-CZ"/>
              </w:rPr>
            </w:pPr>
          </w:p>
        </w:tc>
        <w:tc>
          <w:tcPr>
            <w:tcW w:w="4183" w:type="dxa"/>
            <w:tcBorders>
              <w:top w:val="nil"/>
              <w:left w:val="nil"/>
              <w:bottom w:val="nil"/>
              <w:right w:val="nil"/>
            </w:tcBorders>
            <w:shd w:val="clear" w:color="auto" w:fill="auto"/>
            <w:noWrap/>
            <w:vAlign w:val="bottom"/>
          </w:tcPr>
          <w:p w:rsidR="00B91B76" w:rsidRPr="00DD6406" w:rsidRDefault="00B91B76" w:rsidP="005B2043">
            <w:pPr>
              <w:spacing w:after="0" w:line="240" w:lineRule="auto"/>
              <w:rPr>
                <w:rFonts w:ascii="Calibri" w:hAnsi="Calibri" w:cs="Calibri"/>
                <w:lang w:eastAsia="cs-CZ"/>
              </w:rPr>
            </w:pPr>
          </w:p>
        </w:tc>
      </w:tr>
      <w:tr w:rsidR="00B91B76" w:rsidRPr="00DD6406" w:rsidTr="00B91B76">
        <w:trPr>
          <w:trHeight w:val="300"/>
        </w:trPr>
        <w:tc>
          <w:tcPr>
            <w:tcW w:w="567" w:type="dxa"/>
            <w:tcBorders>
              <w:top w:val="nil"/>
              <w:left w:val="nil"/>
              <w:bottom w:val="nil"/>
              <w:right w:val="nil"/>
            </w:tcBorders>
          </w:tcPr>
          <w:p w:rsidR="00B91B76" w:rsidRPr="00DD6406" w:rsidRDefault="00B91B76" w:rsidP="00B91B76">
            <w:pPr>
              <w:spacing w:after="0" w:line="240" w:lineRule="auto"/>
              <w:jc w:val="center"/>
              <w:rPr>
                <w:rFonts w:ascii="Calibri" w:hAnsi="Calibri" w:cs="Calibri"/>
                <w:lang w:eastAsia="cs-CZ"/>
              </w:rPr>
            </w:pPr>
          </w:p>
        </w:tc>
        <w:tc>
          <w:tcPr>
            <w:tcW w:w="4990" w:type="dxa"/>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r w:rsidRPr="00DD6406">
              <w:rPr>
                <w:rFonts w:ascii="Calibri" w:hAnsi="Calibri" w:cs="Calibri"/>
                <w:lang w:eastAsia="cs-CZ"/>
              </w:rPr>
              <w:t>Konfigurace:</w:t>
            </w:r>
          </w:p>
        </w:tc>
        <w:tc>
          <w:tcPr>
            <w:tcW w:w="4183" w:type="dxa"/>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p>
        </w:tc>
      </w:tr>
      <w:tr w:rsidR="00B91B76" w:rsidRPr="00DD6406" w:rsidTr="00B91B76">
        <w:trPr>
          <w:trHeight w:val="300"/>
        </w:trPr>
        <w:tc>
          <w:tcPr>
            <w:tcW w:w="567" w:type="dxa"/>
            <w:tcBorders>
              <w:top w:val="nil"/>
              <w:left w:val="nil"/>
              <w:bottom w:val="nil"/>
              <w:right w:val="nil"/>
            </w:tcBorders>
          </w:tcPr>
          <w:p w:rsidR="00B91B76" w:rsidRPr="00B91B76" w:rsidRDefault="00B91B76" w:rsidP="00B91B76">
            <w:pPr>
              <w:spacing w:after="0" w:line="240" w:lineRule="auto"/>
              <w:jc w:val="center"/>
              <w:rPr>
                <w:rFonts w:ascii="Calibri" w:hAnsi="Calibri" w:cs="Calibri"/>
                <w:b/>
                <w:lang w:eastAsia="cs-CZ"/>
              </w:rPr>
            </w:pPr>
            <w:r w:rsidRPr="00B91B76">
              <w:rPr>
                <w:rFonts w:ascii="Calibri" w:hAnsi="Calibri" w:cs="Calibri"/>
                <w:b/>
                <w:lang w:eastAsia="cs-CZ"/>
              </w:rPr>
              <w:t>ks</w:t>
            </w:r>
          </w:p>
        </w:tc>
        <w:tc>
          <w:tcPr>
            <w:tcW w:w="9173" w:type="dxa"/>
            <w:gridSpan w:val="2"/>
            <w:tcBorders>
              <w:top w:val="nil"/>
              <w:left w:val="nil"/>
              <w:bottom w:val="nil"/>
              <w:right w:val="nil"/>
            </w:tcBorders>
            <w:shd w:val="clear" w:color="auto" w:fill="auto"/>
            <w:noWrap/>
            <w:vAlign w:val="bottom"/>
          </w:tcPr>
          <w:p w:rsidR="00B91B76" w:rsidRPr="00B91B76" w:rsidRDefault="00B91B76" w:rsidP="005B2043">
            <w:pPr>
              <w:spacing w:after="0" w:line="240" w:lineRule="auto"/>
              <w:jc w:val="center"/>
              <w:rPr>
                <w:rFonts w:ascii="Calibri" w:hAnsi="Calibri" w:cs="Calibri"/>
                <w:b/>
                <w:lang w:eastAsia="cs-CZ"/>
              </w:rPr>
            </w:pPr>
            <w:r w:rsidRPr="00B91B76">
              <w:rPr>
                <w:rFonts w:ascii="Calibri" w:hAnsi="Calibri" w:cs="Calibri"/>
                <w:b/>
                <w:lang w:eastAsia="cs-CZ"/>
              </w:rPr>
              <w:t>popis</w:t>
            </w:r>
          </w:p>
        </w:tc>
      </w:tr>
      <w:tr w:rsidR="00B91B76" w:rsidRPr="00DD6406" w:rsidTr="00B91B76">
        <w:trPr>
          <w:trHeight w:val="300"/>
        </w:trPr>
        <w:tc>
          <w:tcPr>
            <w:tcW w:w="567" w:type="dxa"/>
            <w:tcBorders>
              <w:top w:val="nil"/>
              <w:left w:val="nil"/>
              <w:bottom w:val="nil"/>
              <w:right w:val="nil"/>
            </w:tcBorders>
          </w:tcPr>
          <w:p w:rsidR="00B91B76" w:rsidRPr="00DD6406" w:rsidRDefault="00B91B76" w:rsidP="00B91B76">
            <w:pPr>
              <w:spacing w:after="0" w:line="240" w:lineRule="auto"/>
              <w:jc w:val="center"/>
              <w:rPr>
                <w:rFonts w:ascii="Calibri" w:hAnsi="Calibri" w:cs="Calibri"/>
                <w:lang w:eastAsia="cs-CZ"/>
              </w:rPr>
            </w:pPr>
            <w:r>
              <w:rPr>
                <w:rFonts w:ascii="Calibri" w:hAnsi="Calibri" w:cs="Calibri"/>
                <w:lang w:eastAsia="cs-CZ"/>
              </w:rPr>
              <w:t>2</w:t>
            </w:r>
          </w:p>
        </w:tc>
        <w:tc>
          <w:tcPr>
            <w:tcW w:w="9173" w:type="dxa"/>
            <w:gridSpan w:val="2"/>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proofErr w:type="spellStart"/>
            <w:r w:rsidRPr="00DD6406">
              <w:rPr>
                <w:rFonts w:ascii="Calibri" w:hAnsi="Calibri" w:cs="Calibri"/>
                <w:lang w:eastAsia="cs-CZ"/>
              </w:rPr>
              <w:t>Processor</w:t>
            </w:r>
            <w:proofErr w:type="spellEnd"/>
            <w:r w:rsidRPr="00DD6406">
              <w:rPr>
                <w:rFonts w:ascii="Calibri" w:hAnsi="Calibri" w:cs="Calibri"/>
                <w:lang w:eastAsia="cs-CZ"/>
              </w:rPr>
              <w:t xml:space="preserve">(s): </w:t>
            </w:r>
            <w:r>
              <w:rPr>
                <w:rFonts w:ascii="Calibri" w:hAnsi="Calibri" w:cs="Calibri"/>
                <w:lang w:eastAsia="cs-CZ"/>
              </w:rPr>
              <w:t>2</w:t>
            </w:r>
            <w:r w:rsidRPr="00DD6406">
              <w:rPr>
                <w:rFonts w:ascii="Calibri" w:hAnsi="Calibri" w:cs="Calibri"/>
                <w:lang w:eastAsia="cs-CZ"/>
              </w:rPr>
              <w:t xml:space="preserve"> x Intel </w:t>
            </w:r>
            <w:proofErr w:type="spellStart"/>
            <w:r w:rsidRPr="00DD6406">
              <w:rPr>
                <w:rFonts w:ascii="Calibri" w:hAnsi="Calibri" w:cs="Calibri"/>
                <w:lang w:eastAsia="cs-CZ"/>
              </w:rPr>
              <w:t>Xeon</w:t>
            </w:r>
            <w:proofErr w:type="spellEnd"/>
            <w:r w:rsidRPr="00DD6406">
              <w:rPr>
                <w:rFonts w:ascii="Calibri" w:hAnsi="Calibri" w:cs="Calibri"/>
                <w:lang w:eastAsia="cs-CZ"/>
              </w:rPr>
              <w:t>-S 4210R (2.4GHz/10-core/13.75M</w:t>
            </w:r>
            <w:r>
              <w:rPr>
                <w:rFonts w:ascii="Calibri" w:hAnsi="Calibri" w:cs="Calibri"/>
                <w:lang w:eastAsia="cs-CZ"/>
              </w:rPr>
              <w:t xml:space="preserve">B L3 </w:t>
            </w:r>
            <w:proofErr w:type="spellStart"/>
            <w:r>
              <w:rPr>
                <w:rFonts w:ascii="Calibri" w:hAnsi="Calibri" w:cs="Calibri"/>
                <w:lang w:eastAsia="cs-CZ"/>
              </w:rPr>
              <w:t>Cache</w:t>
            </w:r>
            <w:proofErr w:type="spellEnd"/>
            <w:r>
              <w:rPr>
                <w:rFonts w:ascii="Calibri" w:hAnsi="Calibri" w:cs="Calibri"/>
                <w:lang w:eastAsia="cs-CZ"/>
              </w:rPr>
              <w:t>),</w:t>
            </w:r>
          </w:p>
        </w:tc>
      </w:tr>
      <w:tr w:rsidR="00B91B76" w:rsidRPr="00DD6406" w:rsidTr="00B91B76">
        <w:trPr>
          <w:trHeight w:val="300"/>
        </w:trPr>
        <w:tc>
          <w:tcPr>
            <w:tcW w:w="567" w:type="dxa"/>
            <w:tcBorders>
              <w:top w:val="nil"/>
              <w:left w:val="nil"/>
              <w:bottom w:val="nil"/>
              <w:right w:val="nil"/>
            </w:tcBorders>
          </w:tcPr>
          <w:p w:rsidR="00B91B76" w:rsidRDefault="00B91B76" w:rsidP="00B91B76">
            <w:pPr>
              <w:spacing w:after="0" w:line="240" w:lineRule="auto"/>
              <w:jc w:val="center"/>
              <w:rPr>
                <w:rFonts w:ascii="Calibri" w:hAnsi="Calibri" w:cs="Calibri"/>
                <w:lang w:eastAsia="cs-CZ"/>
              </w:rPr>
            </w:pPr>
            <w:r>
              <w:rPr>
                <w:rFonts w:ascii="Calibri" w:hAnsi="Calibri" w:cs="Calibri"/>
                <w:lang w:eastAsia="cs-CZ"/>
              </w:rPr>
              <w:t>128</w:t>
            </w:r>
          </w:p>
        </w:tc>
        <w:tc>
          <w:tcPr>
            <w:tcW w:w="9173" w:type="dxa"/>
            <w:gridSpan w:val="2"/>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proofErr w:type="spellStart"/>
            <w:r>
              <w:rPr>
                <w:rFonts w:ascii="Calibri" w:hAnsi="Calibri" w:cs="Calibri"/>
                <w:lang w:eastAsia="cs-CZ"/>
              </w:rPr>
              <w:t>Memory</w:t>
            </w:r>
            <w:proofErr w:type="spellEnd"/>
            <w:r>
              <w:rPr>
                <w:rFonts w:ascii="Calibri" w:hAnsi="Calibri" w:cs="Calibri"/>
                <w:lang w:eastAsia="cs-CZ"/>
              </w:rPr>
              <w:t>: HPE 1</w:t>
            </w:r>
            <w:r w:rsidRPr="00DD6406">
              <w:rPr>
                <w:rFonts w:ascii="Calibri" w:hAnsi="Calibri" w:cs="Calibri"/>
                <w:lang w:eastAsia="cs-CZ"/>
              </w:rPr>
              <w:t>2</w:t>
            </w:r>
            <w:r>
              <w:rPr>
                <w:rFonts w:ascii="Calibri" w:hAnsi="Calibri" w:cs="Calibri"/>
                <w:lang w:eastAsia="cs-CZ"/>
              </w:rPr>
              <w:t>8GB (4</w:t>
            </w:r>
            <w:r w:rsidRPr="00DD6406">
              <w:rPr>
                <w:rFonts w:ascii="Calibri" w:hAnsi="Calibri" w:cs="Calibri"/>
                <w:lang w:eastAsia="cs-CZ"/>
              </w:rPr>
              <w:t xml:space="preserve">x32GB) DDR4-2933 </w:t>
            </w:r>
            <w:proofErr w:type="spellStart"/>
            <w:r w:rsidRPr="00DD6406">
              <w:rPr>
                <w:rFonts w:ascii="Calibri" w:hAnsi="Calibri" w:cs="Calibri"/>
                <w:lang w:eastAsia="cs-CZ"/>
              </w:rPr>
              <w:t>Registered</w:t>
            </w:r>
            <w:proofErr w:type="spellEnd"/>
            <w:r w:rsidRPr="00DD6406">
              <w:rPr>
                <w:rFonts w:ascii="Calibri" w:hAnsi="Calibri" w:cs="Calibri"/>
                <w:lang w:eastAsia="cs-CZ"/>
              </w:rPr>
              <w:t xml:space="preserve"> Smart </w:t>
            </w:r>
            <w:proofErr w:type="spellStart"/>
            <w:r w:rsidRPr="00DD6406">
              <w:rPr>
                <w:rFonts w:ascii="Calibri" w:hAnsi="Calibri" w:cs="Calibri"/>
                <w:lang w:eastAsia="cs-CZ"/>
              </w:rPr>
              <w:t>Memory</w:t>
            </w:r>
            <w:proofErr w:type="spellEnd"/>
            <w:r w:rsidRPr="00DD6406">
              <w:rPr>
                <w:rFonts w:ascii="Calibri" w:hAnsi="Calibri" w:cs="Calibri"/>
                <w:lang w:eastAsia="cs-CZ"/>
              </w:rPr>
              <w:t xml:space="preserve">, </w:t>
            </w:r>
            <w:proofErr w:type="spellStart"/>
            <w:r w:rsidRPr="00DD6406">
              <w:rPr>
                <w:rFonts w:ascii="Calibri" w:hAnsi="Calibri" w:cs="Calibri"/>
                <w:lang w:eastAsia="cs-CZ"/>
              </w:rPr>
              <w:t>Advanced</w:t>
            </w:r>
            <w:proofErr w:type="spellEnd"/>
            <w:r w:rsidRPr="00DD6406">
              <w:rPr>
                <w:rFonts w:ascii="Calibri" w:hAnsi="Calibri" w:cs="Calibri"/>
                <w:lang w:eastAsia="cs-CZ"/>
              </w:rPr>
              <w:t xml:space="preserve"> ECC, SDDC. Celkem 24 slotů, 12 slotů na CPU.</w:t>
            </w:r>
          </w:p>
        </w:tc>
      </w:tr>
      <w:tr w:rsidR="00B91B76" w:rsidRPr="00DD6406" w:rsidTr="00B91B76">
        <w:trPr>
          <w:trHeight w:val="300"/>
        </w:trPr>
        <w:tc>
          <w:tcPr>
            <w:tcW w:w="567" w:type="dxa"/>
            <w:tcBorders>
              <w:top w:val="nil"/>
              <w:left w:val="nil"/>
              <w:bottom w:val="nil"/>
              <w:right w:val="nil"/>
            </w:tcBorders>
          </w:tcPr>
          <w:p w:rsidR="00B91B76" w:rsidRPr="00DD6406" w:rsidRDefault="00B91B76" w:rsidP="00B91B76">
            <w:pPr>
              <w:spacing w:after="0" w:line="240" w:lineRule="auto"/>
              <w:jc w:val="center"/>
              <w:rPr>
                <w:rFonts w:ascii="Calibri" w:hAnsi="Calibri" w:cs="Calibri"/>
                <w:lang w:eastAsia="cs-CZ"/>
              </w:rPr>
            </w:pPr>
            <w:r>
              <w:rPr>
                <w:rFonts w:ascii="Calibri" w:hAnsi="Calibri" w:cs="Calibri"/>
                <w:lang w:eastAsia="cs-CZ"/>
              </w:rPr>
              <w:t>4</w:t>
            </w:r>
          </w:p>
        </w:tc>
        <w:tc>
          <w:tcPr>
            <w:tcW w:w="9173" w:type="dxa"/>
            <w:gridSpan w:val="2"/>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r w:rsidRPr="00DD6406">
              <w:rPr>
                <w:rFonts w:ascii="Calibri" w:hAnsi="Calibri" w:cs="Calibri"/>
                <w:lang w:eastAsia="cs-CZ"/>
              </w:rPr>
              <w:t xml:space="preserve">Network </w:t>
            </w:r>
            <w:proofErr w:type="spellStart"/>
            <w:r w:rsidRPr="00DD6406">
              <w:rPr>
                <w:rFonts w:ascii="Calibri" w:hAnsi="Calibri" w:cs="Calibri"/>
                <w:lang w:eastAsia="cs-CZ"/>
              </w:rPr>
              <w:t>Controller</w:t>
            </w:r>
            <w:proofErr w:type="spellEnd"/>
            <w:r w:rsidRPr="00DD6406">
              <w:rPr>
                <w:rFonts w:ascii="Calibri" w:hAnsi="Calibri" w:cs="Calibri"/>
                <w:lang w:eastAsia="cs-CZ"/>
              </w:rPr>
              <w:t xml:space="preserve">: HPE </w:t>
            </w:r>
            <w:proofErr w:type="spellStart"/>
            <w:r w:rsidRPr="00DD6406">
              <w:rPr>
                <w:rFonts w:ascii="Calibri" w:hAnsi="Calibri" w:cs="Calibri"/>
                <w:lang w:eastAsia="cs-CZ"/>
              </w:rPr>
              <w:t>Ethernet</w:t>
            </w:r>
            <w:proofErr w:type="spellEnd"/>
            <w:r w:rsidRPr="00DD6406">
              <w:rPr>
                <w:rFonts w:ascii="Calibri" w:hAnsi="Calibri" w:cs="Calibri"/>
                <w:lang w:eastAsia="cs-CZ"/>
              </w:rPr>
              <w:t xml:space="preserve"> 1Gb 4-port (4 x 10/100/1000Gb porty).</w:t>
            </w:r>
          </w:p>
        </w:tc>
      </w:tr>
      <w:tr w:rsidR="00B91B76" w:rsidRPr="00DD6406" w:rsidTr="00B91B76">
        <w:trPr>
          <w:trHeight w:val="300"/>
        </w:trPr>
        <w:tc>
          <w:tcPr>
            <w:tcW w:w="567" w:type="dxa"/>
            <w:tcBorders>
              <w:top w:val="nil"/>
              <w:left w:val="nil"/>
              <w:bottom w:val="nil"/>
              <w:right w:val="nil"/>
            </w:tcBorders>
          </w:tcPr>
          <w:p w:rsidR="00B91B76" w:rsidRPr="00DD6406" w:rsidRDefault="00B91B76" w:rsidP="00B91B76">
            <w:pPr>
              <w:spacing w:after="0" w:line="240" w:lineRule="auto"/>
              <w:jc w:val="center"/>
              <w:rPr>
                <w:rFonts w:ascii="Calibri" w:hAnsi="Calibri" w:cs="Calibri"/>
                <w:lang w:eastAsia="cs-CZ"/>
              </w:rPr>
            </w:pPr>
            <w:r>
              <w:rPr>
                <w:rFonts w:ascii="Calibri" w:hAnsi="Calibri" w:cs="Calibri"/>
                <w:lang w:eastAsia="cs-CZ"/>
              </w:rPr>
              <w:t>1</w:t>
            </w:r>
          </w:p>
        </w:tc>
        <w:tc>
          <w:tcPr>
            <w:tcW w:w="9173" w:type="dxa"/>
            <w:gridSpan w:val="2"/>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proofErr w:type="spellStart"/>
            <w:r w:rsidRPr="00DD6406">
              <w:rPr>
                <w:rFonts w:ascii="Calibri" w:hAnsi="Calibri" w:cs="Calibri"/>
                <w:lang w:eastAsia="cs-CZ"/>
              </w:rPr>
              <w:t>Storage</w:t>
            </w:r>
            <w:proofErr w:type="spellEnd"/>
            <w:r w:rsidRPr="00DD6406">
              <w:rPr>
                <w:rFonts w:ascii="Calibri" w:hAnsi="Calibri" w:cs="Calibri"/>
                <w:lang w:eastAsia="cs-CZ"/>
              </w:rPr>
              <w:t xml:space="preserve"> </w:t>
            </w:r>
            <w:proofErr w:type="spellStart"/>
            <w:r w:rsidRPr="00DD6406">
              <w:rPr>
                <w:rFonts w:ascii="Calibri" w:hAnsi="Calibri" w:cs="Calibri"/>
                <w:lang w:eastAsia="cs-CZ"/>
              </w:rPr>
              <w:t>Controller</w:t>
            </w:r>
            <w:proofErr w:type="spellEnd"/>
            <w:r w:rsidRPr="00DD6406">
              <w:rPr>
                <w:rFonts w:ascii="Calibri" w:hAnsi="Calibri" w:cs="Calibri"/>
                <w:lang w:eastAsia="cs-CZ"/>
              </w:rPr>
              <w:t xml:space="preserve">: HPE Smart </w:t>
            </w:r>
            <w:proofErr w:type="spellStart"/>
            <w:r w:rsidRPr="00DD6406">
              <w:rPr>
                <w:rFonts w:ascii="Calibri" w:hAnsi="Calibri" w:cs="Calibri"/>
                <w:lang w:eastAsia="cs-CZ"/>
              </w:rPr>
              <w:t>Array</w:t>
            </w:r>
            <w:proofErr w:type="spellEnd"/>
            <w:r w:rsidRPr="00DD6406">
              <w:rPr>
                <w:rFonts w:ascii="Calibri" w:hAnsi="Calibri" w:cs="Calibri"/>
                <w:lang w:eastAsia="cs-CZ"/>
              </w:rPr>
              <w:t xml:space="preserve"> P408i-a </w:t>
            </w:r>
            <w:proofErr w:type="spellStart"/>
            <w:r w:rsidRPr="00DD6406">
              <w:rPr>
                <w:rFonts w:ascii="Calibri" w:hAnsi="Calibri" w:cs="Calibri"/>
                <w:lang w:eastAsia="cs-CZ"/>
              </w:rPr>
              <w:t>Controller</w:t>
            </w:r>
            <w:proofErr w:type="spellEnd"/>
            <w:r w:rsidRPr="00DD6406">
              <w:rPr>
                <w:rFonts w:ascii="Calibri" w:hAnsi="Calibri" w:cs="Calibri"/>
                <w:lang w:eastAsia="cs-CZ"/>
              </w:rPr>
              <w:t xml:space="preserve"> Module/2 GB FBWC (RAID 0, 1, 5, 6, 10, 50, 60, 1 ADM, 10 ADM).</w:t>
            </w:r>
          </w:p>
        </w:tc>
      </w:tr>
      <w:tr w:rsidR="00B91B76" w:rsidRPr="00DD6406" w:rsidTr="00B91B76">
        <w:trPr>
          <w:trHeight w:val="300"/>
        </w:trPr>
        <w:tc>
          <w:tcPr>
            <w:tcW w:w="567" w:type="dxa"/>
            <w:tcBorders>
              <w:top w:val="nil"/>
              <w:left w:val="nil"/>
              <w:bottom w:val="nil"/>
              <w:right w:val="nil"/>
            </w:tcBorders>
          </w:tcPr>
          <w:p w:rsidR="00B91B76" w:rsidRPr="00DD6406" w:rsidRDefault="00B91B76" w:rsidP="00B91B76">
            <w:pPr>
              <w:spacing w:after="0" w:line="240" w:lineRule="auto"/>
              <w:jc w:val="center"/>
              <w:rPr>
                <w:rFonts w:ascii="Calibri" w:hAnsi="Calibri" w:cs="Calibri"/>
                <w:lang w:eastAsia="cs-CZ"/>
              </w:rPr>
            </w:pPr>
            <w:r>
              <w:rPr>
                <w:rFonts w:ascii="Calibri" w:hAnsi="Calibri" w:cs="Calibri"/>
                <w:lang w:eastAsia="cs-CZ"/>
              </w:rPr>
              <w:t>1</w:t>
            </w:r>
          </w:p>
        </w:tc>
        <w:tc>
          <w:tcPr>
            <w:tcW w:w="9173" w:type="dxa"/>
            <w:gridSpan w:val="2"/>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proofErr w:type="spellStart"/>
            <w:r w:rsidRPr="00DD6406">
              <w:rPr>
                <w:rFonts w:ascii="Calibri" w:hAnsi="Calibri" w:cs="Calibri"/>
                <w:lang w:eastAsia="cs-CZ"/>
              </w:rPr>
              <w:t>Internal</w:t>
            </w:r>
            <w:proofErr w:type="spellEnd"/>
            <w:r w:rsidRPr="00DD6406">
              <w:rPr>
                <w:rFonts w:ascii="Calibri" w:hAnsi="Calibri" w:cs="Calibri"/>
                <w:lang w:eastAsia="cs-CZ"/>
              </w:rPr>
              <w:t xml:space="preserve"> </w:t>
            </w:r>
            <w:proofErr w:type="spellStart"/>
            <w:r w:rsidRPr="00DD6406">
              <w:rPr>
                <w:rFonts w:ascii="Calibri" w:hAnsi="Calibri" w:cs="Calibri"/>
                <w:lang w:eastAsia="cs-CZ"/>
              </w:rPr>
              <w:t>Storage</w:t>
            </w:r>
            <w:proofErr w:type="spellEnd"/>
            <w:r w:rsidRPr="00DD6406">
              <w:rPr>
                <w:rFonts w:ascii="Calibri" w:hAnsi="Calibri" w:cs="Calibri"/>
                <w:lang w:eastAsia="cs-CZ"/>
              </w:rPr>
              <w:t>: 8 x SFF 2,5" SSD/SAS/SATA HDD, možnost doplnění dalších klecí na HDD.</w:t>
            </w:r>
          </w:p>
        </w:tc>
      </w:tr>
      <w:tr w:rsidR="00B91B76" w:rsidRPr="008A36F2" w:rsidTr="00B91B76">
        <w:trPr>
          <w:trHeight w:val="300"/>
        </w:trPr>
        <w:tc>
          <w:tcPr>
            <w:tcW w:w="567" w:type="dxa"/>
            <w:tcBorders>
              <w:top w:val="nil"/>
              <w:left w:val="nil"/>
              <w:bottom w:val="nil"/>
              <w:right w:val="nil"/>
            </w:tcBorders>
          </w:tcPr>
          <w:p w:rsidR="00B91B76" w:rsidRDefault="00B91B76" w:rsidP="00B91B76">
            <w:pPr>
              <w:spacing w:after="0" w:line="240" w:lineRule="auto"/>
              <w:jc w:val="center"/>
              <w:rPr>
                <w:rFonts w:ascii="Calibri" w:hAnsi="Calibri" w:cs="Calibri"/>
                <w:lang w:eastAsia="cs-CZ"/>
              </w:rPr>
            </w:pPr>
            <w:r>
              <w:rPr>
                <w:rFonts w:ascii="Calibri" w:hAnsi="Calibri" w:cs="Calibri"/>
                <w:lang w:eastAsia="cs-CZ"/>
              </w:rPr>
              <w:t>2</w:t>
            </w:r>
          </w:p>
        </w:tc>
        <w:tc>
          <w:tcPr>
            <w:tcW w:w="9173" w:type="dxa"/>
            <w:gridSpan w:val="2"/>
            <w:tcBorders>
              <w:top w:val="nil"/>
              <w:left w:val="nil"/>
              <w:bottom w:val="nil"/>
              <w:right w:val="nil"/>
            </w:tcBorders>
            <w:shd w:val="clear" w:color="auto" w:fill="auto"/>
            <w:noWrap/>
            <w:vAlign w:val="bottom"/>
          </w:tcPr>
          <w:p w:rsidR="00B91B76" w:rsidRPr="008A36F2" w:rsidRDefault="00B91B76" w:rsidP="005B2043">
            <w:pPr>
              <w:spacing w:after="0" w:line="240" w:lineRule="auto"/>
              <w:rPr>
                <w:rFonts w:ascii="Calibri" w:hAnsi="Calibri" w:cs="Calibri"/>
                <w:lang w:eastAsia="cs-CZ"/>
              </w:rPr>
            </w:pPr>
            <w:r>
              <w:rPr>
                <w:rFonts w:ascii="Calibri" w:hAnsi="Calibri" w:cs="Calibri"/>
                <w:lang w:eastAsia="cs-CZ"/>
              </w:rPr>
              <w:t xml:space="preserve">2x </w:t>
            </w:r>
            <w:r w:rsidRPr="008A36F2">
              <w:rPr>
                <w:rFonts w:ascii="Calibri" w:hAnsi="Calibri" w:cs="Calibri"/>
                <w:lang w:eastAsia="cs-CZ"/>
              </w:rPr>
              <w:t>HPE 300GB SAS 10K SFF SC DS HDD</w:t>
            </w:r>
          </w:p>
        </w:tc>
      </w:tr>
      <w:tr w:rsidR="00B91B76" w:rsidRPr="008A36F2" w:rsidTr="00B91B76">
        <w:trPr>
          <w:trHeight w:val="300"/>
        </w:trPr>
        <w:tc>
          <w:tcPr>
            <w:tcW w:w="567" w:type="dxa"/>
            <w:tcBorders>
              <w:top w:val="nil"/>
              <w:left w:val="nil"/>
              <w:bottom w:val="nil"/>
              <w:right w:val="nil"/>
            </w:tcBorders>
          </w:tcPr>
          <w:p w:rsidR="00B91B76" w:rsidRDefault="00B91B76" w:rsidP="00B91B76">
            <w:pPr>
              <w:spacing w:after="0" w:line="240" w:lineRule="auto"/>
              <w:jc w:val="center"/>
              <w:rPr>
                <w:rFonts w:ascii="Calibri" w:hAnsi="Calibri" w:cs="Calibri"/>
                <w:lang w:eastAsia="cs-CZ"/>
              </w:rPr>
            </w:pPr>
            <w:r>
              <w:rPr>
                <w:rFonts w:ascii="Calibri" w:hAnsi="Calibri" w:cs="Calibri"/>
                <w:lang w:eastAsia="cs-CZ"/>
              </w:rPr>
              <w:t>6</w:t>
            </w:r>
          </w:p>
        </w:tc>
        <w:tc>
          <w:tcPr>
            <w:tcW w:w="9173" w:type="dxa"/>
            <w:gridSpan w:val="2"/>
            <w:tcBorders>
              <w:top w:val="nil"/>
              <w:left w:val="nil"/>
              <w:bottom w:val="nil"/>
              <w:right w:val="nil"/>
            </w:tcBorders>
            <w:shd w:val="clear" w:color="auto" w:fill="auto"/>
            <w:noWrap/>
            <w:vAlign w:val="bottom"/>
          </w:tcPr>
          <w:p w:rsidR="00B91B76" w:rsidRPr="008A36F2" w:rsidRDefault="00B91B76" w:rsidP="005B2043">
            <w:pPr>
              <w:spacing w:after="0" w:line="240" w:lineRule="auto"/>
              <w:rPr>
                <w:rFonts w:ascii="Calibri" w:hAnsi="Calibri" w:cs="Calibri"/>
                <w:lang w:eastAsia="cs-CZ"/>
              </w:rPr>
            </w:pPr>
            <w:r>
              <w:rPr>
                <w:rFonts w:ascii="Calibri" w:hAnsi="Calibri" w:cs="Calibri"/>
                <w:lang w:eastAsia="cs-CZ"/>
              </w:rPr>
              <w:t xml:space="preserve">6x </w:t>
            </w:r>
            <w:r w:rsidRPr="008A36F2">
              <w:rPr>
                <w:rFonts w:ascii="Calibri" w:hAnsi="Calibri" w:cs="Calibri"/>
                <w:lang w:eastAsia="cs-CZ"/>
              </w:rPr>
              <w:t>HPE 1.2TB SAS 10K SFF SC DS HDD</w:t>
            </w:r>
          </w:p>
        </w:tc>
      </w:tr>
      <w:tr w:rsidR="00B91B76" w:rsidRPr="00DD6406" w:rsidTr="00B91B76">
        <w:trPr>
          <w:trHeight w:val="300"/>
        </w:trPr>
        <w:tc>
          <w:tcPr>
            <w:tcW w:w="567" w:type="dxa"/>
            <w:tcBorders>
              <w:top w:val="nil"/>
              <w:left w:val="nil"/>
              <w:bottom w:val="nil"/>
              <w:right w:val="nil"/>
            </w:tcBorders>
          </w:tcPr>
          <w:p w:rsidR="00B91B76" w:rsidRPr="00DD6406" w:rsidRDefault="00B91B76" w:rsidP="00B91B76">
            <w:pPr>
              <w:spacing w:after="0" w:line="240" w:lineRule="auto"/>
              <w:jc w:val="center"/>
              <w:rPr>
                <w:rFonts w:ascii="Calibri" w:hAnsi="Calibri" w:cs="Calibri"/>
                <w:lang w:eastAsia="cs-CZ"/>
              </w:rPr>
            </w:pPr>
          </w:p>
        </w:tc>
        <w:tc>
          <w:tcPr>
            <w:tcW w:w="9173" w:type="dxa"/>
            <w:gridSpan w:val="2"/>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proofErr w:type="spellStart"/>
            <w:r w:rsidRPr="00DD6406">
              <w:rPr>
                <w:rFonts w:ascii="Calibri" w:hAnsi="Calibri" w:cs="Calibri"/>
                <w:lang w:eastAsia="cs-CZ"/>
              </w:rPr>
              <w:t>Optical</w:t>
            </w:r>
            <w:proofErr w:type="spellEnd"/>
            <w:r w:rsidRPr="00DD6406">
              <w:rPr>
                <w:rFonts w:ascii="Calibri" w:hAnsi="Calibri" w:cs="Calibri"/>
                <w:lang w:eastAsia="cs-CZ"/>
              </w:rPr>
              <w:t xml:space="preserve"> Drive: není.</w:t>
            </w:r>
          </w:p>
        </w:tc>
      </w:tr>
      <w:tr w:rsidR="00B91B76" w:rsidRPr="00DD6406" w:rsidTr="00B91B76">
        <w:trPr>
          <w:trHeight w:val="300"/>
        </w:trPr>
        <w:tc>
          <w:tcPr>
            <w:tcW w:w="567" w:type="dxa"/>
            <w:tcBorders>
              <w:top w:val="nil"/>
              <w:left w:val="nil"/>
              <w:bottom w:val="nil"/>
              <w:right w:val="nil"/>
            </w:tcBorders>
          </w:tcPr>
          <w:p w:rsidR="00B91B76" w:rsidRPr="00DD6406" w:rsidRDefault="00B91B76" w:rsidP="00B91B76">
            <w:pPr>
              <w:spacing w:after="0" w:line="240" w:lineRule="auto"/>
              <w:jc w:val="center"/>
              <w:rPr>
                <w:rFonts w:ascii="Calibri" w:hAnsi="Calibri" w:cs="Calibri"/>
                <w:lang w:eastAsia="cs-CZ"/>
              </w:rPr>
            </w:pPr>
            <w:r>
              <w:rPr>
                <w:rFonts w:ascii="Calibri" w:hAnsi="Calibri" w:cs="Calibri"/>
                <w:lang w:eastAsia="cs-CZ"/>
              </w:rPr>
              <w:t>2</w:t>
            </w:r>
          </w:p>
        </w:tc>
        <w:tc>
          <w:tcPr>
            <w:tcW w:w="9173" w:type="dxa"/>
            <w:gridSpan w:val="2"/>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proofErr w:type="spellStart"/>
            <w:r w:rsidRPr="00DD6406">
              <w:rPr>
                <w:rFonts w:ascii="Calibri" w:hAnsi="Calibri" w:cs="Calibri"/>
                <w:lang w:eastAsia="cs-CZ"/>
              </w:rPr>
              <w:t>Power</w:t>
            </w:r>
            <w:proofErr w:type="spellEnd"/>
            <w:r w:rsidRPr="00DD6406">
              <w:rPr>
                <w:rFonts w:ascii="Calibri" w:hAnsi="Calibri" w:cs="Calibri"/>
                <w:lang w:eastAsia="cs-CZ"/>
              </w:rPr>
              <w:t xml:space="preserve"> Su</w:t>
            </w:r>
            <w:r>
              <w:rPr>
                <w:rFonts w:ascii="Calibri" w:hAnsi="Calibri" w:cs="Calibri"/>
                <w:lang w:eastAsia="cs-CZ"/>
              </w:rPr>
              <w:t>pply: 2</w:t>
            </w:r>
            <w:r w:rsidRPr="00DD6406">
              <w:rPr>
                <w:rFonts w:ascii="Calibri" w:hAnsi="Calibri" w:cs="Calibri"/>
                <w:lang w:eastAsia="cs-CZ"/>
              </w:rPr>
              <w:t xml:space="preserve"> x HPE 800W </w:t>
            </w:r>
            <w:proofErr w:type="spellStart"/>
            <w:r w:rsidRPr="00DD6406">
              <w:rPr>
                <w:rFonts w:ascii="Calibri" w:hAnsi="Calibri" w:cs="Calibri"/>
                <w:lang w:eastAsia="cs-CZ"/>
              </w:rPr>
              <w:t>Flex</w:t>
            </w:r>
            <w:proofErr w:type="spellEnd"/>
            <w:r w:rsidRPr="00DD6406">
              <w:rPr>
                <w:rFonts w:ascii="Calibri" w:hAnsi="Calibri" w:cs="Calibri"/>
                <w:lang w:eastAsia="cs-CZ"/>
              </w:rPr>
              <w:t xml:space="preserve"> Slot </w:t>
            </w:r>
            <w:proofErr w:type="spellStart"/>
            <w:r w:rsidRPr="00DD6406">
              <w:rPr>
                <w:rFonts w:ascii="Calibri" w:hAnsi="Calibri" w:cs="Calibri"/>
                <w:lang w:eastAsia="cs-CZ"/>
              </w:rPr>
              <w:t>Platinum</w:t>
            </w:r>
            <w:proofErr w:type="spellEnd"/>
            <w:r w:rsidRPr="00DD6406">
              <w:rPr>
                <w:rFonts w:ascii="Calibri" w:hAnsi="Calibri" w:cs="Calibri"/>
                <w:lang w:eastAsia="cs-CZ"/>
              </w:rPr>
              <w:t xml:space="preserve"> Hot </w:t>
            </w:r>
            <w:proofErr w:type="spellStart"/>
            <w:r w:rsidRPr="00DD6406">
              <w:rPr>
                <w:rFonts w:ascii="Calibri" w:hAnsi="Calibri" w:cs="Calibri"/>
                <w:lang w:eastAsia="cs-CZ"/>
              </w:rPr>
              <w:t>Plug</w:t>
            </w:r>
            <w:proofErr w:type="spellEnd"/>
            <w:r w:rsidRPr="00DD6406">
              <w:rPr>
                <w:rFonts w:ascii="Calibri" w:hAnsi="Calibri" w:cs="Calibri"/>
                <w:lang w:eastAsia="cs-CZ"/>
              </w:rPr>
              <w:t xml:space="preserve"> </w:t>
            </w:r>
            <w:proofErr w:type="spellStart"/>
            <w:r w:rsidRPr="00DD6406">
              <w:rPr>
                <w:rFonts w:ascii="Calibri" w:hAnsi="Calibri" w:cs="Calibri"/>
                <w:lang w:eastAsia="cs-CZ"/>
              </w:rPr>
              <w:t>Low</w:t>
            </w:r>
            <w:proofErr w:type="spellEnd"/>
            <w:r w:rsidRPr="00DD6406">
              <w:rPr>
                <w:rFonts w:ascii="Calibri" w:hAnsi="Calibri" w:cs="Calibri"/>
                <w:lang w:eastAsia="cs-CZ"/>
              </w:rPr>
              <w:t xml:space="preserve"> Halogen </w:t>
            </w:r>
            <w:proofErr w:type="spellStart"/>
            <w:r w:rsidRPr="00DD6406">
              <w:rPr>
                <w:rFonts w:ascii="Calibri" w:hAnsi="Calibri" w:cs="Calibri"/>
                <w:lang w:eastAsia="cs-CZ"/>
              </w:rPr>
              <w:t>Power</w:t>
            </w:r>
            <w:proofErr w:type="spellEnd"/>
            <w:r w:rsidRPr="00DD6406">
              <w:rPr>
                <w:rFonts w:ascii="Calibri" w:hAnsi="Calibri" w:cs="Calibri"/>
                <w:lang w:eastAsia="cs-CZ"/>
              </w:rPr>
              <w:t xml:space="preserve"> Supply </w:t>
            </w:r>
            <w:proofErr w:type="spellStart"/>
            <w:r w:rsidRPr="00DD6406">
              <w:rPr>
                <w:rFonts w:ascii="Calibri" w:hAnsi="Calibri" w:cs="Calibri"/>
                <w:lang w:eastAsia="cs-CZ"/>
              </w:rPr>
              <w:t>Kit</w:t>
            </w:r>
            <w:proofErr w:type="spellEnd"/>
            <w:r w:rsidRPr="00DD6406">
              <w:rPr>
                <w:rFonts w:ascii="Calibri" w:hAnsi="Calibri" w:cs="Calibri"/>
                <w:lang w:eastAsia="cs-CZ"/>
              </w:rPr>
              <w:t>.</w:t>
            </w:r>
          </w:p>
        </w:tc>
      </w:tr>
      <w:tr w:rsidR="00B91B76" w:rsidRPr="00DD6406" w:rsidTr="00B91B76">
        <w:trPr>
          <w:trHeight w:val="300"/>
        </w:trPr>
        <w:tc>
          <w:tcPr>
            <w:tcW w:w="567" w:type="dxa"/>
            <w:tcBorders>
              <w:top w:val="nil"/>
              <w:left w:val="nil"/>
              <w:bottom w:val="nil"/>
              <w:right w:val="nil"/>
            </w:tcBorders>
          </w:tcPr>
          <w:p w:rsidR="00B91B76" w:rsidRPr="00DD6406" w:rsidRDefault="00B91B76" w:rsidP="00B91B76">
            <w:pPr>
              <w:spacing w:after="0" w:line="240" w:lineRule="auto"/>
              <w:jc w:val="center"/>
              <w:rPr>
                <w:rFonts w:ascii="Calibri" w:hAnsi="Calibri" w:cs="Calibri"/>
                <w:lang w:eastAsia="cs-CZ"/>
              </w:rPr>
            </w:pPr>
          </w:p>
        </w:tc>
        <w:tc>
          <w:tcPr>
            <w:tcW w:w="9173" w:type="dxa"/>
            <w:gridSpan w:val="2"/>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proofErr w:type="spellStart"/>
            <w:r w:rsidRPr="00DD6406">
              <w:rPr>
                <w:rFonts w:ascii="Calibri" w:hAnsi="Calibri" w:cs="Calibri"/>
                <w:lang w:eastAsia="cs-CZ"/>
              </w:rPr>
              <w:t>Fans</w:t>
            </w:r>
            <w:proofErr w:type="spellEnd"/>
            <w:r w:rsidRPr="00DD6406">
              <w:rPr>
                <w:rFonts w:ascii="Calibri" w:hAnsi="Calibri" w:cs="Calibri"/>
                <w:lang w:eastAsia="cs-CZ"/>
              </w:rPr>
              <w:t>: redundantní ventilátory.</w:t>
            </w:r>
          </w:p>
        </w:tc>
      </w:tr>
      <w:tr w:rsidR="00B91B76" w:rsidRPr="00DD6406" w:rsidTr="00B91B76">
        <w:trPr>
          <w:trHeight w:val="300"/>
        </w:trPr>
        <w:tc>
          <w:tcPr>
            <w:tcW w:w="567" w:type="dxa"/>
            <w:tcBorders>
              <w:top w:val="nil"/>
              <w:left w:val="nil"/>
              <w:bottom w:val="nil"/>
              <w:right w:val="nil"/>
            </w:tcBorders>
          </w:tcPr>
          <w:p w:rsidR="00B91B76" w:rsidRPr="00DD6406" w:rsidRDefault="00B91B76" w:rsidP="00B91B76">
            <w:pPr>
              <w:spacing w:after="0" w:line="240" w:lineRule="auto"/>
              <w:jc w:val="center"/>
              <w:rPr>
                <w:rFonts w:ascii="Calibri" w:hAnsi="Calibri" w:cs="Calibri"/>
                <w:lang w:eastAsia="cs-CZ"/>
              </w:rPr>
            </w:pPr>
            <w:r>
              <w:rPr>
                <w:rFonts w:ascii="Calibri" w:hAnsi="Calibri" w:cs="Calibri"/>
                <w:lang w:eastAsia="cs-CZ"/>
              </w:rPr>
              <w:t>1</w:t>
            </w:r>
          </w:p>
        </w:tc>
        <w:tc>
          <w:tcPr>
            <w:tcW w:w="9173" w:type="dxa"/>
            <w:gridSpan w:val="2"/>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r w:rsidRPr="00DD6406">
              <w:rPr>
                <w:rFonts w:ascii="Calibri" w:hAnsi="Calibri" w:cs="Calibri"/>
                <w:lang w:eastAsia="cs-CZ"/>
              </w:rPr>
              <w:t xml:space="preserve">Vzdálená správa: </w:t>
            </w:r>
            <w:proofErr w:type="spellStart"/>
            <w:r w:rsidRPr="00DD6406">
              <w:rPr>
                <w:rFonts w:ascii="Calibri" w:hAnsi="Calibri" w:cs="Calibri"/>
                <w:lang w:eastAsia="cs-CZ"/>
              </w:rPr>
              <w:t>Integra</w:t>
            </w:r>
            <w:r>
              <w:rPr>
                <w:rFonts w:ascii="Calibri" w:hAnsi="Calibri" w:cs="Calibri"/>
                <w:lang w:eastAsia="cs-CZ"/>
              </w:rPr>
              <w:t>ted</w:t>
            </w:r>
            <w:proofErr w:type="spellEnd"/>
            <w:r>
              <w:rPr>
                <w:rFonts w:ascii="Calibri" w:hAnsi="Calibri" w:cs="Calibri"/>
                <w:lang w:eastAsia="cs-CZ"/>
              </w:rPr>
              <w:t xml:space="preserve"> </w:t>
            </w:r>
            <w:proofErr w:type="spellStart"/>
            <w:r>
              <w:rPr>
                <w:rFonts w:ascii="Calibri" w:hAnsi="Calibri" w:cs="Calibri"/>
                <w:lang w:eastAsia="cs-CZ"/>
              </w:rPr>
              <w:t>Lights-Out</w:t>
            </w:r>
            <w:proofErr w:type="spellEnd"/>
            <w:r>
              <w:rPr>
                <w:rFonts w:ascii="Calibri" w:hAnsi="Calibri" w:cs="Calibri"/>
                <w:lang w:eastAsia="cs-CZ"/>
              </w:rPr>
              <w:t xml:space="preserve"> 5 (</w:t>
            </w:r>
            <w:proofErr w:type="spellStart"/>
            <w:r>
              <w:rPr>
                <w:rFonts w:ascii="Calibri" w:hAnsi="Calibri" w:cs="Calibri"/>
                <w:lang w:eastAsia="cs-CZ"/>
              </w:rPr>
              <w:t>iLO</w:t>
            </w:r>
            <w:proofErr w:type="spellEnd"/>
            <w:r>
              <w:rPr>
                <w:rFonts w:ascii="Calibri" w:hAnsi="Calibri" w:cs="Calibri"/>
                <w:lang w:eastAsia="cs-CZ"/>
              </w:rPr>
              <w:t xml:space="preserve"> 5), </w:t>
            </w:r>
          </w:p>
        </w:tc>
      </w:tr>
      <w:tr w:rsidR="00B91B76" w:rsidRPr="00DD6406" w:rsidTr="00B91B76">
        <w:trPr>
          <w:trHeight w:val="300"/>
        </w:trPr>
        <w:tc>
          <w:tcPr>
            <w:tcW w:w="567" w:type="dxa"/>
            <w:tcBorders>
              <w:top w:val="nil"/>
              <w:left w:val="nil"/>
              <w:bottom w:val="nil"/>
              <w:right w:val="nil"/>
            </w:tcBorders>
          </w:tcPr>
          <w:p w:rsidR="00B91B76" w:rsidRPr="00DD6406" w:rsidRDefault="00B91B76" w:rsidP="00B91B76">
            <w:pPr>
              <w:spacing w:after="0" w:line="240" w:lineRule="auto"/>
              <w:jc w:val="center"/>
              <w:rPr>
                <w:rFonts w:ascii="Calibri" w:hAnsi="Calibri" w:cs="Calibri"/>
                <w:lang w:eastAsia="cs-CZ"/>
              </w:rPr>
            </w:pPr>
          </w:p>
        </w:tc>
        <w:tc>
          <w:tcPr>
            <w:tcW w:w="9173" w:type="dxa"/>
            <w:gridSpan w:val="2"/>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proofErr w:type="spellStart"/>
            <w:r w:rsidRPr="00DD6406">
              <w:rPr>
                <w:rFonts w:ascii="Calibri" w:hAnsi="Calibri" w:cs="Calibri"/>
                <w:lang w:eastAsia="cs-CZ"/>
              </w:rPr>
              <w:t>Form</w:t>
            </w:r>
            <w:proofErr w:type="spellEnd"/>
            <w:r w:rsidRPr="00DD6406">
              <w:rPr>
                <w:rFonts w:ascii="Calibri" w:hAnsi="Calibri" w:cs="Calibri"/>
                <w:lang w:eastAsia="cs-CZ"/>
              </w:rPr>
              <w:t xml:space="preserve"> </w:t>
            </w:r>
            <w:proofErr w:type="spellStart"/>
            <w:r w:rsidRPr="00DD6406">
              <w:rPr>
                <w:rFonts w:ascii="Calibri" w:hAnsi="Calibri" w:cs="Calibri"/>
                <w:lang w:eastAsia="cs-CZ"/>
              </w:rPr>
              <w:t>Factor</w:t>
            </w:r>
            <w:proofErr w:type="spellEnd"/>
            <w:r w:rsidRPr="00DD6406">
              <w:rPr>
                <w:rFonts w:ascii="Calibri" w:hAnsi="Calibri" w:cs="Calibri"/>
                <w:lang w:eastAsia="cs-CZ"/>
              </w:rPr>
              <w:t xml:space="preserve">: 2U, 2U SFF </w:t>
            </w:r>
            <w:proofErr w:type="spellStart"/>
            <w:r w:rsidRPr="00DD6406">
              <w:rPr>
                <w:rFonts w:ascii="Calibri" w:hAnsi="Calibri" w:cs="Calibri"/>
                <w:lang w:eastAsia="cs-CZ"/>
              </w:rPr>
              <w:t>Easy</w:t>
            </w:r>
            <w:proofErr w:type="spellEnd"/>
            <w:r w:rsidRPr="00DD6406">
              <w:rPr>
                <w:rFonts w:ascii="Calibri" w:hAnsi="Calibri" w:cs="Calibri"/>
                <w:lang w:eastAsia="cs-CZ"/>
              </w:rPr>
              <w:t xml:space="preserve"> </w:t>
            </w:r>
            <w:proofErr w:type="spellStart"/>
            <w:r w:rsidRPr="00DD6406">
              <w:rPr>
                <w:rFonts w:ascii="Calibri" w:hAnsi="Calibri" w:cs="Calibri"/>
                <w:lang w:eastAsia="cs-CZ"/>
              </w:rPr>
              <w:t>Install</w:t>
            </w:r>
            <w:proofErr w:type="spellEnd"/>
            <w:r w:rsidRPr="00DD6406">
              <w:rPr>
                <w:rFonts w:ascii="Calibri" w:hAnsi="Calibri" w:cs="Calibri"/>
                <w:lang w:eastAsia="cs-CZ"/>
              </w:rPr>
              <w:t xml:space="preserve"> </w:t>
            </w:r>
            <w:proofErr w:type="spellStart"/>
            <w:r w:rsidRPr="00DD6406">
              <w:rPr>
                <w:rFonts w:ascii="Calibri" w:hAnsi="Calibri" w:cs="Calibri"/>
                <w:lang w:eastAsia="cs-CZ"/>
              </w:rPr>
              <w:t>Rail</w:t>
            </w:r>
            <w:proofErr w:type="spellEnd"/>
            <w:r w:rsidRPr="00DD6406">
              <w:rPr>
                <w:rFonts w:ascii="Calibri" w:hAnsi="Calibri" w:cs="Calibri"/>
                <w:lang w:eastAsia="cs-CZ"/>
              </w:rPr>
              <w:t xml:space="preserve"> </w:t>
            </w:r>
            <w:proofErr w:type="spellStart"/>
            <w:r w:rsidRPr="00DD6406">
              <w:rPr>
                <w:rFonts w:ascii="Calibri" w:hAnsi="Calibri" w:cs="Calibri"/>
                <w:lang w:eastAsia="cs-CZ"/>
              </w:rPr>
              <w:t>Kit</w:t>
            </w:r>
            <w:proofErr w:type="spellEnd"/>
            <w:r w:rsidRPr="00DD6406">
              <w:rPr>
                <w:rFonts w:ascii="Calibri" w:hAnsi="Calibri" w:cs="Calibri"/>
                <w:lang w:eastAsia="cs-CZ"/>
              </w:rPr>
              <w:t xml:space="preserve"> + </w:t>
            </w:r>
            <w:proofErr w:type="spellStart"/>
            <w:r w:rsidRPr="00DD6406">
              <w:rPr>
                <w:rFonts w:ascii="Calibri" w:hAnsi="Calibri" w:cs="Calibri"/>
                <w:lang w:eastAsia="cs-CZ"/>
              </w:rPr>
              <w:t>Cable</w:t>
            </w:r>
            <w:proofErr w:type="spellEnd"/>
            <w:r w:rsidRPr="00DD6406">
              <w:rPr>
                <w:rFonts w:ascii="Calibri" w:hAnsi="Calibri" w:cs="Calibri"/>
                <w:lang w:eastAsia="cs-CZ"/>
              </w:rPr>
              <w:t xml:space="preserve"> Management </w:t>
            </w:r>
            <w:proofErr w:type="spellStart"/>
            <w:r w:rsidRPr="00DD6406">
              <w:rPr>
                <w:rFonts w:ascii="Calibri" w:hAnsi="Calibri" w:cs="Calibri"/>
                <w:lang w:eastAsia="cs-CZ"/>
              </w:rPr>
              <w:t>Arm</w:t>
            </w:r>
            <w:proofErr w:type="spellEnd"/>
            <w:r w:rsidRPr="00DD6406">
              <w:rPr>
                <w:rFonts w:ascii="Calibri" w:hAnsi="Calibri" w:cs="Calibri"/>
                <w:lang w:eastAsia="cs-CZ"/>
              </w:rPr>
              <w:t>, hloubka 67,94cm.</w:t>
            </w:r>
          </w:p>
        </w:tc>
      </w:tr>
      <w:tr w:rsidR="00B91B76" w:rsidRPr="00DD6406" w:rsidTr="00B91B76">
        <w:trPr>
          <w:trHeight w:val="300"/>
        </w:trPr>
        <w:tc>
          <w:tcPr>
            <w:tcW w:w="567" w:type="dxa"/>
            <w:tcBorders>
              <w:top w:val="nil"/>
              <w:left w:val="nil"/>
              <w:bottom w:val="nil"/>
              <w:right w:val="nil"/>
            </w:tcBorders>
          </w:tcPr>
          <w:p w:rsidR="00B91B76" w:rsidRPr="00DD6406" w:rsidRDefault="00B91B76" w:rsidP="00B91B76">
            <w:pPr>
              <w:spacing w:after="0" w:line="240" w:lineRule="auto"/>
              <w:jc w:val="center"/>
              <w:rPr>
                <w:rFonts w:ascii="Calibri" w:hAnsi="Calibri" w:cs="Calibri"/>
                <w:lang w:eastAsia="cs-CZ"/>
              </w:rPr>
            </w:pPr>
            <w:r>
              <w:rPr>
                <w:rFonts w:ascii="Calibri" w:hAnsi="Calibri" w:cs="Calibri"/>
                <w:lang w:eastAsia="cs-CZ"/>
              </w:rPr>
              <w:t>3</w:t>
            </w:r>
          </w:p>
        </w:tc>
        <w:tc>
          <w:tcPr>
            <w:tcW w:w="9173" w:type="dxa"/>
            <w:gridSpan w:val="2"/>
            <w:tcBorders>
              <w:top w:val="nil"/>
              <w:left w:val="nil"/>
              <w:bottom w:val="nil"/>
              <w:right w:val="nil"/>
            </w:tcBorders>
            <w:shd w:val="clear" w:color="auto" w:fill="auto"/>
            <w:noWrap/>
            <w:vAlign w:val="bottom"/>
            <w:hideMark/>
          </w:tcPr>
          <w:p w:rsidR="00B91B76" w:rsidRPr="00DD6406" w:rsidRDefault="00B91B76" w:rsidP="005B2043">
            <w:pPr>
              <w:spacing w:after="0" w:line="240" w:lineRule="auto"/>
              <w:rPr>
                <w:rFonts w:ascii="Calibri" w:hAnsi="Calibri" w:cs="Calibri"/>
                <w:lang w:eastAsia="cs-CZ"/>
              </w:rPr>
            </w:pPr>
            <w:r w:rsidRPr="00DD6406">
              <w:rPr>
                <w:rFonts w:ascii="Calibri" w:hAnsi="Calibri" w:cs="Calibri"/>
                <w:lang w:eastAsia="cs-CZ"/>
              </w:rPr>
              <w:t>Záruka: 3 roky díly / 3 roky práce / 3 roky on-</w:t>
            </w:r>
            <w:proofErr w:type="spellStart"/>
            <w:r w:rsidRPr="00DD6406">
              <w:rPr>
                <w:rFonts w:ascii="Calibri" w:hAnsi="Calibri" w:cs="Calibri"/>
                <w:lang w:eastAsia="cs-CZ"/>
              </w:rPr>
              <w:t>site</w:t>
            </w:r>
            <w:proofErr w:type="spellEnd"/>
            <w:r w:rsidRPr="00DD6406">
              <w:rPr>
                <w:rFonts w:ascii="Calibri" w:hAnsi="Calibri" w:cs="Calibri"/>
                <w:lang w:eastAsia="cs-CZ"/>
              </w:rPr>
              <w:t>, odezva následující pracovní den.</w:t>
            </w:r>
          </w:p>
        </w:tc>
      </w:tr>
    </w:tbl>
    <w:p w:rsidR="00B91B76" w:rsidRDefault="00B91B76" w:rsidP="00B91B76"/>
    <w:p w:rsidR="000864BC" w:rsidRPr="000864BC" w:rsidRDefault="000864BC" w:rsidP="00B91B76">
      <w:pPr>
        <w:pStyle w:val="Zkladntext"/>
        <w:rPr>
          <w:rFonts w:cstheme="minorHAnsi"/>
          <w:b/>
          <w:sz w:val="24"/>
        </w:rPr>
      </w:pPr>
      <w:r w:rsidRPr="000864BC">
        <w:rPr>
          <w:rFonts w:cstheme="minorHAnsi"/>
          <w:b/>
          <w:sz w:val="24"/>
        </w:rPr>
        <w:t>Součástí dodávky je:</w:t>
      </w:r>
    </w:p>
    <w:p w:rsidR="00B91B76" w:rsidRPr="000864BC" w:rsidRDefault="000864BC" w:rsidP="00B91B76">
      <w:pPr>
        <w:pStyle w:val="Zkladntext"/>
        <w:rPr>
          <w:rFonts w:cstheme="minorHAnsi"/>
        </w:rPr>
      </w:pPr>
      <w:r w:rsidRPr="000864BC">
        <w:rPr>
          <w:rFonts w:cstheme="minorHAnsi"/>
        </w:rPr>
        <w:t>I.</w:t>
      </w:r>
      <w:r w:rsidRPr="000864BC">
        <w:rPr>
          <w:rFonts w:cstheme="minorHAnsi"/>
        </w:rPr>
        <w:tab/>
        <w:t>Instalace a konfigurace management prostředků v OS Windows Server 2022</w:t>
      </w:r>
    </w:p>
    <w:p w:rsidR="00E658AE" w:rsidRDefault="000864BC" w:rsidP="00B91B76">
      <w:pPr>
        <w:pStyle w:val="YSNormlnZanadpisemiobjektem"/>
        <w:ind w:left="-284"/>
      </w:pPr>
      <w:r w:rsidRPr="000864BC">
        <w:rPr>
          <w:rFonts w:cstheme="minorHAnsi"/>
          <w:szCs w:val="22"/>
        </w:rPr>
        <w:t>V průběhu migrace bude nutná součinnost se zástupci objednatele a je nutné počítat s krátkodobým výpadkem systému při přechodu na modernizovaný systém.</w:t>
      </w:r>
      <w:r w:rsidR="00E658AE">
        <w:br w:type="page"/>
      </w:r>
    </w:p>
    <w:p w:rsidR="00E658AE" w:rsidRPr="00E658AE" w:rsidRDefault="00E658AE" w:rsidP="008C3C42">
      <w:pPr>
        <w:pStyle w:val="YSNormlnZanadpisemiobjektem"/>
      </w:pPr>
    </w:p>
    <w:p w:rsidR="00E658AE" w:rsidRPr="008C3C42" w:rsidRDefault="00E658AE" w:rsidP="008C3C42">
      <w:pPr>
        <w:pStyle w:val="YSNormlnZanadpisemiobjektem"/>
        <w:jc w:val="center"/>
        <w:rPr>
          <w:b/>
        </w:rPr>
      </w:pPr>
      <w:r w:rsidRPr="008C3C42">
        <w:rPr>
          <w:b/>
        </w:rPr>
        <w:t>Příloha č. 2</w:t>
      </w:r>
    </w:p>
    <w:p w:rsidR="008C3C42" w:rsidRDefault="00E658AE" w:rsidP="008C3C42">
      <w:pPr>
        <w:pStyle w:val="YSNormlnZanadpisemiobjektem"/>
        <w:jc w:val="center"/>
        <w:rPr>
          <w:b/>
        </w:rPr>
      </w:pPr>
      <w:r w:rsidRPr="008C3C42">
        <w:rPr>
          <w:b/>
        </w:rPr>
        <w:t>Místo dodání</w:t>
      </w:r>
    </w:p>
    <w:p w:rsidR="00E658AE" w:rsidRPr="00B91B76" w:rsidRDefault="00E658AE" w:rsidP="008C3C42">
      <w:pPr>
        <w:pStyle w:val="YSNormln"/>
        <w:ind w:firstLine="0"/>
        <w:rPr>
          <w:sz w:val="22"/>
        </w:rPr>
      </w:pPr>
      <w:r w:rsidRPr="00B91B76">
        <w:rPr>
          <w:sz w:val="22"/>
        </w:rPr>
        <w:t>Mí</w:t>
      </w:r>
      <w:r w:rsidR="008C3C42" w:rsidRPr="00B91B76">
        <w:rPr>
          <w:sz w:val="22"/>
        </w:rPr>
        <w:t>stem plnění je sídlo Kupujícího</w:t>
      </w:r>
      <w:r w:rsidR="00B91B76" w:rsidRPr="00B91B76">
        <w:rPr>
          <w:sz w:val="22"/>
        </w:rPr>
        <w:t>.</w:t>
      </w: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B91B76" w:rsidRDefault="00B91B76" w:rsidP="008C3C42">
      <w:pPr>
        <w:pStyle w:val="YSNormln"/>
        <w:ind w:firstLine="0"/>
      </w:pPr>
    </w:p>
    <w:p w:rsidR="00E658AE" w:rsidRPr="008C3C42" w:rsidRDefault="00E658AE" w:rsidP="008C3C42">
      <w:pPr>
        <w:pStyle w:val="YSNormlnZanadpisemiobjektem"/>
        <w:jc w:val="center"/>
        <w:rPr>
          <w:b/>
        </w:rPr>
      </w:pPr>
      <w:r w:rsidRPr="008C3C42">
        <w:rPr>
          <w:b/>
        </w:rPr>
        <w:lastRenderedPageBreak/>
        <w:t>Příloha č. 3</w:t>
      </w:r>
    </w:p>
    <w:p w:rsidR="00E658AE" w:rsidRPr="008C3C42" w:rsidRDefault="008C3C42" w:rsidP="008C3C42">
      <w:pPr>
        <w:pStyle w:val="YSNormlnZanadpisemiobjektem"/>
        <w:jc w:val="center"/>
        <w:rPr>
          <w:b/>
        </w:rPr>
      </w:pPr>
      <w:r>
        <w:rPr>
          <w:b/>
        </w:rPr>
        <w:t>Termín dodání</w:t>
      </w:r>
    </w:p>
    <w:p w:rsidR="00B91B76" w:rsidRPr="00B91B76" w:rsidRDefault="00B91B76"/>
    <w:p w:rsidR="008C3C42" w:rsidRPr="00B91B76" w:rsidRDefault="00B91B76">
      <w:pPr>
        <w:rPr>
          <w:rFonts w:eastAsia="Calibri" w:cs="Times New Roman"/>
          <w:sz w:val="20"/>
          <w:szCs w:val="20"/>
          <w:lang w:eastAsia="cs-CZ"/>
        </w:rPr>
      </w:pPr>
      <w:r w:rsidRPr="00B91B76">
        <w:t>Termín dodání serveru je do 30ti dnů od podpisu smlouvy.</w:t>
      </w:r>
      <w:r w:rsidR="008C3C42" w:rsidRPr="00B91B76">
        <w:br w:type="page"/>
      </w:r>
    </w:p>
    <w:p w:rsidR="00E658AE" w:rsidRPr="008C3C42" w:rsidRDefault="00E658AE" w:rsidP="008C3C42">
      <w:pPr>
        <w:pStyle w:val="YSNormlnZanadpisemiobjektem"/>
        <w:jc w:val="center"/>
        <w:rPr>
          <w:b/>
        </w:rPr>
      </w:pPr>
      <w:r w:rsidRPr="008C3C42">
        <w:rPr>
          <w:b/>
        </w:rPr>
        <w:lastRenderedPageBreak/>
        <w:t>Příloha č. 4</w:t>
      </w:r>
    </w:p>
    <w:p w:rsidR="00E658AE" w:rsidRPr="008C3C42" w:rsidRDefault="008C3C42" w:rsidP="008C3C42">
      <w:pPr>
        <w:pStyle w:val="YSNormlnZanadpisemiobjektem"/>
        <w:jc w:val="center"/>
        <w:rPr>
          <w:b/>
        </w:rPr>
      </w:pPr>
      <w:r>
        <w:rPr>
          <w:b/>
        </w:rPr>
        <w:t>Cena a platební kalendář</w:t>
      </w:r>
    </w:p>
    <w:p w:rsidR="00E658AE" w:rsidRPr="008C3C42" w:rsidRDefault="008C3C42" w:rsidP="008C3C42">
      <w:pPr>
        <w:pStyle w:val="YSNormlnZanadpisemiobjektem"/>
        <w:spacing w:before="400"/>
        <w:rPr>
          <w:b/>
        </w:rPr>
      </w:pPr>
      <w:r w:rsidRPr="008C3C42">
        <w:rPr>
          <w:b/>
        </w:rPr>
        <w:t xml:space="preserve">A. </w:t>
      </w:r>
      <w:r w:rsidR="00E658AE" w:rsidRPr="008C3C42">
        <w:rPr>
          <w:b/>
        </w:rPr>
        <w:t xml:space="preserve">Cena za hardware v rozsahu dle Přílohy č. 1 </w:t>
      </w:r>
    </w:p>
    <w:p w:rsidR="00E658AE" w:rsidRDefault="00E658AE" w:rsidP="008C3C42">
      <w:pPr>
        <w:pStyle w:val="YSNormlnZanadpisemiobjektem"/>
      </w:pPr>
      <w:r>
        <w:t>je stanovena dohodou ve výš</w:t>
      </w:r>
      <w:r w:rsidR="008C3C42">
        <w:t xml:space="preserve">i: </w:t>
      </w:r>
      <w:r w:rsidR="00B91B76">
        <w:t>224.650,- Kč</w:t>
      </w:r>
      <w:r w:rsidR="008C3C42">
        <w:t xml:space="preserve"> bez DPH</w:t>
      </w:r>
    </w:p>
    <w:p w:rsidR="008C3C42" w:rsidRDefault="008C3C42">
      <w:pPr>
        <w:rPr>
          <w:rFonts w:eastAsia="Calibri" w:cs="Times New Roman"/>
          <w:sz w:val="20"/>
          <w:szCs w:val="20"/>
          <w:lang w:eastAsia="cs-CZ"/>
        </w:rPr>
      </w:pPr>
      <w:r>
        <w:br w:type="page"/>
      </w:r>
    </w:p>
    <w:p w:rsidR="00E658AE" w:rsidRPr="008C3C42" w:rsidRDefault="00E658AE" w:rsidP="008C3C42">
      <w:pPr>
        <w:pStyle w:val="YSNormlnZanadpisemiobjektem"/>
        <w:jc w:val="center"/>
        <w:rPr>
          <w:b/>
        </w:rPr>
      </w:pPr>
      <w:r w:rsidRPr="008C3C42">
        <w:rPr>
          <w:b/>
        </w:rPr>
        <w:lastRenderedPageBreak/>
        <w:t>Příloha č. 5</w:t>
      </w:r>
    </w:p>
    <w:p w:rsidR="00E658AE" w:rsidRDefault="008C3C42" w:rsidP="008C3C42">
      <w:pPr>
        <w:pStyle w:val="YSNormlnZanadpisemiobjektem"/>
        <w:jc w:val="center"/>
        <w:rPr>
          <w:b/>
        </w:rPr>
      </w:pPr>
      <w:r>
        <w:rPr>
          <w:b/>
        </w:rPr>
        <w:t>Oprávněné osoby</w:t>
      </w:r>
    </w:p>
    <w:p w:rsidR="00B91B76" w:rsidRDefault="00B91B76" w:rsidP="00B91B76">
      <w:pPr>
        <w:pStyle w:val="YSNormln"/>
      </w:pPr>
    </w:p>
    <w:p w:rsidR="00B91B76" w:rsidRPr="00B91B76" w:rsidRDefault="00B91B76" w:rsidP="00B91B76">
      <w:pPr>
        <w:rPr>
          <w:rFonts w:cstheme="minorHAnsi"/>
          <w:b/>
          <w:sz w:val="20"/>
        </w:rPr>
      </w:pPr>
      <w:r w:rsidRPr="00B91B76">
        <w:rPr>
          <w:rFonts w:cstheme="minorHAnsi"/>
          <w:b/>
          <w:sz w:val="20"/>
        </w:rPr>
        <w:t>Za kupujícího</w:t>
      </w:r>
    </w:p>
    <w:tbl>
      <w:tblPr>
        <w:tblW w:w="86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4"/>
        <w:gridCol w:w="2693"/>
        <w:gridCol w:w="2835"/>
      </w:tblGrid>
      <w:tr w:rsidR="00B91B76" w:rsidRPr="00B91B76" w:rsidTr="00B91B76">
        <w:tc>
          <w:tcPr>
            <w:tcW w:w="3104" w:type="dxa"/>
            <w:shd w:val="pct15" w:color="auto" w:fill="FFFFFF"/>
          </w:tcPr>
          <w:p w:rsidR="00B91B76" w:rsidRPr="00B91B76" w:rsidRDefault="00B91B76" w:rsidP="005B2043">
            <w:pPr>
              <w:rPr>
                <w:rFonts w:cstheme="minorHAnsi"/>
                <w:sz w:val="20"/>
              </w:rPr>
            </w:pPr>
            <w:r w:rsidRPr="00B91B76">
              <w:rPr>
                <w:rFonts w:cstheme="minorHAnsi"/>
                <w:sz w:val="20"/>
              </w:rPr>
              <w:t>Jméno</w:t>
            </w:r>
          </w:p>
        </w:tc>
        <w:tc>
          <w:tcPr>
            <w:tcW w:w="2693" w:type="dxa"/>
            <w:shd w:val="pct15" w:color="auto" w:fill="FFFFFF"/>
          </w:tcPr>
          <w:p w:rsidR="00B91B76" w:rsidRPr="00B91B76" w:rsidRDefault="00B91B76" w:rsidP="005B2043">
            <w:pPr>
              <w:rPr>
                <w:rFonts w:cstheme="minorHAnsi"/>
                <w:sz w:val="20"/>
              </w:rPr>
            </w:pPr>
            <w:r w:rsidRPr="00B91B76">
              <w:rPr>
                <w:rFonts w:cstheme="minorHAnsi"/>
                <w:sz w:val="20"/>
              </w:rPr>
              <w:t>Telefon</w:t>
            </w:r>
          </w:p>
        </w:tc>
        <w:tc>
          <w:tcPr>
            <w:tcW w:w="2835" w:type="dxa"/>
            <w:shd w:val="pct15" w:color="auto" w:fill="FFFFFF"/>
          </w:tcPr>
          <w:p w:rsidR="00B91B76" w:rsidRPr="00B91B76" w:rsidRDefault="00B91B76" w:rsidP="005B2043">
            <w:pPr>
              <w:rPr>
                <w:rFonts w:cstheme="minorHAnsi"/>
                <w:sz w:val="20"/>
              </w:rPr>
            </w:pPr>
            <w:r w:rsidRPr="00B91B76">
              <w:rPr>
                <w:rFonts w:cstheme="minorHAnsi"/>
                <w:sz w:val="20"/>
              </w:rPr>
              <w:t>E-mail</w:t>
            </w:r>
          </w:p>
        </w:tc>
      </w:tr>
      <w:tr w:rsidR="00B91B76" w:rsidRPr="00B91B76" w:rsidTr="00B91B76">
        <w:tc>
          <w:tcPr>
            <w:tcW w:w="3104" w:type="dxa"/>
          </w:tcPr>
          <w:p w:rsidR="00B91B76" w:rsidRPr="00B91B76" w:rsidRDefault="00B91B76" w:rsidP="005B2043">
            <w:pPr>
              <w:rPr>
                <w:rFonts w:cstheme="minorHAnsi"/>
                <w:b/>
                <w:sz w:val="20"/>
                <w:lang w:bidi="en-US"/>
              </w:rPr>
            </w:pPr>
          </w:p>
        </w:tc>
        <w:tc>
          <w:tcPr>
            <w:tcW w:w="2693" w:type="dxa"/>
          </w:tcPr>
          <w:p w:rsidR="00B91B76" w:rsidRPr="00B91B76" w:rsidRDefault="00B91B76" w:rsidP="005B2043">
            <w:pPr>
              <w:rPr>
                <w:rFonts w:cstheme="minorHAnsi"/>
                <w:b/>
                <w:sz w:val="20"/>
                <w:lang w:bidi="en-US"/>
              </w:rPr>
            </w:pPr>
          </w:p>
        </w:tc>
        <w:tc>
          <w:tcPr>
            <w:tcW w:w="2835" w:type="dxa"/>
          </w:tcPr>
          <w:p w:rsidR="00B91B76" w:rsidRPr="00B91B76" w:rsidRDefault="00B91B76" w:rsidP="005B2043">
            <w:pPr>
              <w:rPr>
                <w:rFonts w:cstheme="minorHAnsi"/>
                <w:b/>
                <w:sz w:val="20"/>
                <w:lang w:bidi="en-US"/>
              </w:rPr>
            </w:pPr>
          </w:p>
        </w:tc>
      </w:tr>
      <w:tr w:rsidR="00B91B76" w:rsidRPr="00B91B76" w:rsidTr="00B91B76">
        <w:tc>
          <w:tcPr>
            <w:tcW w:w="3104" w:type="dxa"/>
          </w:tcPr>
          <w:p w:rsidR="00B91B76" w:rsidRPr="00B91B76" w:rsidRDefault="00B91B76" w:rsidP="005B2043">
            <w:pPr>
              <w:rPr>
                <w:rFonts w:cstheme="minorHAnsi"/>
                <w:sz w:val="20"/>
                <w:lang w:bidi="en-US"/>
              </w:rPr>
            </w:pPr>
          </w:p>
        </w:tc>
        <w:tc>
          <w:tcPr>
            <w:tcW w:w="2693" w:type="dxa"/>
          </w:tcPr>
          <w:p w:rsidR="00B91B76" w:rsidRPr="00B91B76" w:rsidRDefault="00B91B76" w:rsidP="005B2043">
            <w:pPr>
              <w:rPr>
                <w:rFonts w:cstheme="minorHAnsi"/>
                <w:sz w:val="20"/>
                <w:lang w:bidi="en-US"/>
              </w:rPr>
            </w:pPr>
          </w:p>
        </w:tc>
        <w:tc>
          <w:tcPr>
            <w:tcW w:w="2835" w:type="dxa"/>
          </w:tcPr>
          <w:p w:rsidR="00B91B76" w:rsidRPr="00B91B76" w:rsidRDefault="00B91B76" w:rsidP="005B2043">
            <w:pPr>
              <w:rPr>
                <w:rFonts w:cstheme="minorHAnsi"/>
                <w:sz w:val="20"/>
                <w:lang w:bidi="en-US"/>
              </w:rPr>
            </w:pPr>
          </w:p>
        </w:tc>
      </w:tr>
      <w:tr w:rsidR="00B91B76" w:rsidRPr="00B91B76" w:rsidTr="00B91B76">
        <w:tc>
          <w:tcPr>
            <w:tcW w:w="3104" w:type="dxa"/>
          </w:tcPr>
          <w:p w:rsidR="00B91B76" w:rsidRPr="00B91B76" w:rsidRDefault="00B91B76" w:rsidP="005B2043">
            <w:pPr>
              <w:rPr>
                <w:rFonts w:cstheme="minorHAnsi"/>
                <w:sz w:val="20"/>
                <w:lang w:bidi="en-US"/>
              </w:rPr>
            </w:pPr>
          </w:p>
        </w:tc>
        <w:tc>
          <w:tcPr>
            <w:tcW w:w="2693" w:type="dxa"/>
          </w:tcPr>
          <w:p w:rsidR="00B91B76" w:rsidRPr="00B91B76" w:rsidRDefault="00B91B76" w:rsidP="005B2043">
            <w:pPr>
              <w:rPr>
                <w:rFonts w:cstheme="minorHAnsi"/>
                <w:sz w:val="20"/>
                <w:lang w:bidi="en-US"/>
              </w:rPr>
            </w:pPr>
          </w:p>
        </w:tc>
        <w:tc>
          <w:tcPr>
            <w:tcW w:w="2835" w:type="dxa"/>
          </w:tcPr>
          <w:p w:rsidR="00B91B76" w:rsidRPr="00B91B76" w:rsidRDefault="00B91B76" w:rsidP="005B2043">
            <w:pPr>
              <w:rPr>
                <w:rFonts w:cstheme="minorHAnsi"/>
                <w:sz w:val="20"/>
                <w:lang w:bidi="en-US"/>
              </w:rPr>
            </w:pPr>
          </w:p>
        </w:tc>
      </w:tr>
    </w:tbl>
    <w:p w:rsidR="00B91B76" w:rsidRPr="00B91B76" w:rsidRDefault="00B91B76" w:rsidP="00B91B76">
      <w:pPr>
        <w:rPr>
          <w:rFonts w:cstheme="minorHAnsi"/>
          <w:b/>
          <w:sz w:val="20"/>
        </w:rPr>
      </w:pPr>
    </w:p>
    <w:p w:rsidR="00B91B76" w:rsidRPr="00B91B76" w:rsidRDefault="00B91B76" w:rsidP="00B91B76">
      <w:pPr>
        <w:rPr>
          <w:rFonts w:cstheme="minorHAnsi"/>
          <w:sz w:val="20"/>
        </w:rPr>
      </w:pPr>
    </w:p>
    <w:p w:rsidR="00B91B76" w:rsidRPr="00B91B76" w:rsidRDefault="00B91B76" w:rsidP="00B91B76">
      <w:pPr>
        <w:rPr>
          <w:rFonts w:cstheme="minorHAnsi"/>
          <w:b/>
          <w:sz w:val="20"/>
        </w:rPr>
      </w:pPr>
      <w:r w:rsidRPr="00B91B76">
        <w:rPr>
          <w:rFonts w:cstheme="minorHAnsi"/>
          <w:b/>
          <w:sz w:val="20"/>
        </w:rPr>
        <w:t>Za Prodávajícího</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4"/>
        <w:gridCol w:w="2693"/>
        <w:gridCol w:w="2835"/>
      </w:tblGrid>
      <w:tr w:rsidR="00B91B76" w:rsidRPr="00B91B76" w:rsidTr="00B91B76">
        <w:tc>
          <w:tcPr>
            <w:tcW w:w="3104" w:type="dxa"/>
            <w:shd w:val="pct15" w:color="auto" w:fill="FFFFFF"/>
          </w:tcPr>
          <w:p w:rsidR="00B91B76" w:rsidRPr="00B91B76" w:rsidRDefault="00B91B76" w:rsidP="005B2043">
            <w:pPr>
              <w:rPr>
                <w:rFonts w:cstheme="minorHAnsi"/>
                <w:sz w:val="20"/>
              </w:rPr>
            </w:pPr>
            <w:r w:rsidRPr="00B91B76">
              <w:rPr>
                <w:rFonts w:cstheme="minorHAnsi"/>
                <w:sz w:val="20"/>
              </w:rPr>
              <w:t>Jméno</w:t>
            </w:r>
          </w:p>
        </w:tc>
        <w:tc>
          <w:tcPr>
            <w:tcW w:w="2693" w:type="dxa"/>
            <w:shd w:val="pct15" w:color="auto" w:fill="FFFFFF"/>
          </w:tcPr>
          <w:p w:rsidR="00B91B76" w:rsidRPr="00B91B76" w:rsidRDefault="00B91B76" w:rsidP="005B2043">
            <w:pPr>
              <w:rPr>
                <w:rFonts w:cstheme="minorHAnsi"/>
                <w:sz w:val="20"/>
              </w:rPr>
            </w:pPr>
            <w:r w:rsidRPr="00B91B76">
              <w:rPr>
                <w:rFonts w:cstheme="minorHAnsi"/>
                <w:sz w:val="20"/>
              </w:rPr>
              <w:t>Telefon</w:t>
            </w:r>
          </w:p>
        </w:tc>
        <w:tc>
          <w:tcPr>
            <w:tcW w:w="2835" w:type="dxa"/>
            <w:shd w:val="pct15" w:color="auto" w:fill="FFFFFF"/>
          </w:tcPr>
          <w:p w:rsidR="00B91B76" w:rsidRPr="00B91B76" w:rsidRDefault="00B91B76" w:rsidP="005B2043">
            <w:pPr>
              <w:rPr>
                <w:rFonts w:cstheme="minorHAnsi"/>
                <w:sz w:val="20"/>
              </w:rPr>
            </w:pPr>
            <w:r w:rsidRPr="00B91B76">
              <w:rPr>
                <w:rFonts w:cstheme="minorHAnsi"/>
                <w:sz w:val="20"/>
              </w:rPr>
              <w:t>E-mail</w:t>
            </w:r>
          </w:p>
        </w:tc>
      </w:tr>
      <w:tr w:rsidR="00B91B76" w:rsidRPr="00B91B76" w:rsidTr="00B91B76">
        <w:tc>
          <w:tcPr>
            <w:tcW w:w="3104" w:type="dxa"/>
          </w:tcPr>
          <w:p w:rsidR="00B91B76" w:rsidRPr="00B91B76" w:rsidRDefault="00B91B76" w:rsidP="005B2043">
            <w:pPr>
              <w:rPr>
                <w:rFonts w:cstheme="minorHAnsi"/>
                <w:b/>
                <w:sz w:val="20"/>
              </w:rPr>
            </w:pPr>
            <w:r w:rsidRPr="00B91B76">
              <w:rPr>
                <w:rFonts w:cstheme="minorHAnsi"/>
                <w:b/>
                <w:sz w:val="20"/>
              </w:rPr>
              <w:t>Helpdesk</w:t>
            </w:r>
          </w:p>
        </w:tc>
        <w:tc>
          <w:tcPr>
            <w:tcW w:w="2693" w:type="dxa"/>
          </w:tcPr>
          <w:p w:rsidR="00B91B76" w:rsidRPr="00B91B76" w:rsidRDefault="00B91B76" w:rsidP="005B2043">
            <w:pPr>
              <w:rPr>
                <w:rFonts w:cstheme="minorHAnsi"/>
                <w:b/>
                <w:sz w:val="20"/>
              </w:rPr>
            </w:pPr>
            <w:r w:rsidRPr="00B91B76">
              <w:rPr>
                <w:rFonts w:cstheme="minorHAnsi"/>
                <w:b/>
                <w:sz w:val="20"/>
              </w:rPr>
              <w:t>277 775 555</w:t>
            </w:r>
          </w:p>
        </w:tc>
        <w:tc>
          <w:tcPr>
            <w:tcW w:w="2835" w:type="dxa"/>
          </w:tcPr>
          <w:p w:rsidR="00B91B76" w:rsidRPr="00B91B76" w:rsidRDefault="00B91B76" w:rsidP="005B2043">
            <w:pPr>
              <w:rPr>
                <w:rFonts w:cstheme="minorHAnsi"/>
                <w:b/>
                <w:sz w:val="20"/>
                <w:u w:val="single"/>
              </w:rPr>
            </w:pPr>
            <w:r w:rsidRPr="00B91B76">
              <w:rPr>
                <w:rFonts w:cstheme="minorHAnsi"/>
                <w:b/>
                <w:sz w:val="20"/>
                <w:u w:val="single"/>
              </w:rPr>
              <w:t>helpdesk@ys.cz</w:t>
            </w:r>
          </w:p>
        </w:tc>
      </w:tr>
      <w:tr w:rsidR="00B91B76" w:rsidRPr="00B91B76" w:rsidTr="00B91B76">
        <w:tc>
          <w:tcPr>
            <w:tcW w:w="3104" w:type="dxa"/>
          </w:tcPr>
          <w:p w:rsidR="00B91B76" w:rsidRPr="00B91B76" w:rsidRDefault="00B91B76" w:rsidP="005B2043">
            <w:pPr>
              <w:rPr>
                <w:rFonts w:cstheme="minorHAnsi"/>
                <w:sz w:val="20"/>
                <w:lang w:bidi="en-US"/>
              </w:rPr>
            </w:pPr>
            <w:r w:rsidRPr="00B91B76">
              <w:rPr>
                <w:rFonts w:cstheme="minorHAnsi"/>
                <w:sz w:val="20"/>
                <w:lang w:bidi="en-US"/>
              </w:rPr>
              <w:t>Michal Michálek</w:t>
            </w:r>
          </w:p>
        </w:tc>
        <w:tc>
          <w:tcPr>
            <w:tcW w:w="2693" w:type="dxa"/>
          </w:tcPr>
          <w:p w:rsidR="00B91B76" w:rsidRPr="00B91B76" w:rsidRDefault="00B91B76" w:rsidP="005B2043">
            <w:pPr>
              <w:rPr>
                <w:rFonts w:cstheme="minorHAnsi"/>
                <w:sz w:val="20"/>
                <w:lang w:bidi="en-US"/>
              </w:rPr>
            </w:pPr>
            <w:r w:rsidRPr="00B91B76">
              <w:rPr>
                <w:rFonts w:cstheme="minorHAnsi"/>
                <w:sz w:val="20"/>
                <w:lang w:bidi="en-US"/>
              </w:rPr>
              <w:t>277 775 580</w:t>
            </w:r>
          </w:p>
        </w:tc>
        <w:tc>
          <w:tcPr>
            <w:tcW w:w="2835" w:type="dxa"/>
          </w:tcPr>
          <w:p w:rsidR="00B91B76" w:rsidRPr="00B91B76" w:rsidRDefault="00B91B76" w:rsidP="005B2043">
            <w:pPr>
              <w:rPr>
                <w:rFonts w:cstheme="minorHAnsi"/>
                <w:sz w:val="20"/>
                <w:u w:val="single"/>
                <w:lang w:bidi="en-US"/>
              </w:rPr>
            </w:pPr>
            <w:r w:rsidRPr="00B91B76">
              <w:rPr>
                <w:rFonts w:cstheme="minorHAnsi"/>
                <w:sz w:val="20"/>
                <w:u w:val="single"/>
                <w:lang w:bidi="en-US"/>
              </w:rPr>
              <w:t>Michal.michalek@ys.cz</w:t>
            </w:r>
          </w:p>
        </w:tc>
      </w:tr>
      <w:tr w:rsidR="00B91B76" w:rsidRPr="00B91B76" w:rsidTr="00B91B76">
        <w:tc>
          <w:tcPr>
            <w:tcW w:w="3104" w:type="dxa"/>
          </w:tcPr>
          <w:p w:rsidR="00B91B76" w:rsidRPr="00B91B76" w:rsidRDefault="00B91B76" w:rsidP="005B2043">
            <w:pPr>
              <w:rPr>
                <w:rFonts w:cstheme="minorHAnsi"/>
                <w:sz w:val="20"/>
              </w:rPr>
            </w:pPr>
          </w:p>
        </w:tc>
        <w:tc>
          <w:tcPr>
            <w:tcW w:w="2693" w:type="dxa"/>
          </w:tcPr>
          <w:p w:rsidR="00B91B76" w:rsidRPr="00B91B76" w:rsidRDefault="00B91B76" w:rsidP="005B2043">
            <w:pPr>
              <w:rPr>
                <w:rFonts w:cstheme="minorHAnsi"/>
                <w:sz w:val="20"/>
              </w:rPr>
            </w:pPr>
          </w:p>
        </w:tc>
        <w:tc>
          <w:tcPr>
            <w:tcW w:w="2835" w:type="dxa"/>
          </w:tcPr>
          <w:p w:rsidR="00B91B76" w:rsidRPr="00B91B76" w:rsidRDefault="00B91B76" w:rsidP="005B2043">
            <w:pPr>
              <w:rPr>
                <w:rFonts w:cstheme="minorHAnsi"/>
                <w:sz w:val="20"/>
                <w:u w:val="single"/>
              </w:rPr>
            </w:pPr>
          </w:p>
        </w:tc>
      </w:tr>
    </w:tbl>
    <w:p w:rsidR="00B91B76" w:rsidRPr="00B91B76" w:rsidRDefault="00B91B76" w:rsidP="00B91B76">
      <w:pPr>
        <w:rPr>
          <w:rFonts w:cstheme="minorHAnsi"/>
        </w:rPr>
      </w:pPr>
    </w:p>
    <w:p w:rsidR="00B91B76" w:rsidRPr="00B91B76" w:rsidRDefault="00B91B76" w:rsidP="00B91B76">
      <w:pPr>
        <w:pStyle w:val="YSNormln"/>
      </w:pPr>
    </w:p>
    <w:sectPr w:rsidR="00B91B76" w:rsidRPr="00B91B76" w:rsidSect="00E658A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6E8" w:rsidRDefault="002E36E8" w:rsidP="00807273">
      <w:pPr>
        <w:spacing w:after="0" w:line="240" w:lineRule="auto"/>
      </w:pPr>
      <w:r>
        <w:separator/>
      </w:r>
    </w:p>
  </w:endnote>
  <w:endnote w:type="continuationSeparator" w:id="0">
    <w:p w:rsidR="002E36E8" w:rsidRDefault="002E36E8" w:rsidP="0080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mp;quo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8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5841"/>
    </w:tblGrid>
    <w:tr w:rsidR="00807273" w:rsidRPr="00E87C25" w:rsidTr="00807273">
      <w:trPr>
        <w:trHeight w:val="279"/>
      </w:trPr>
      <w:tc>
        <w:tcPr>
          <w:tcW w:w="2324" w:type="dxa"/>
        </w:tcPr>
        <w:p w:rsidR="00807273" w:rsidRPr="00E87C25" w:rsidRDefault="00807273" w:rsidP="00807273">
          <w:pPr>
            <w:pStyle w:val="YSZpatLich"/>
            <w:jc w:val="left"/>
            <w:rPr>
              <w:rStyle w:val="YSZvraznnTun"/>
              <w:b/>
              <w:color w:val="2B3593"/>
            </w:rPr>
          </w:pPr>
          <w:r w:rsidRPr="00E87C25">
            <w:rPr>
              <w:noProof/>
              <w:color w:val="2B3593"/>
            </w:rPr>
            <w:drawing>
              <wp:anchor distT="0" distB="0" distL="114300" distR="114300" simplePos="0" relativeHeight="251661312" behindDoc="0" locked="0" layoutInCell="1" allowOverlap="1" wp14:anchorId="42223493" wp14:editId="3547BF19">
                <wp:simplePos x="0" y="0"/>
                <wp:positionH relativeFrom="column">
                  <wp:posOffset>52070</wp:posOffset>
                </wp:positionH>
                <wp:positionV relativeFrom="paragraph">
                  <wp:posOffset>175260</wp:posOffset>
                </wp:positionV>
                <wp:extent cx="1028700" cy="25019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28700" cy="250190"/>
                        </a:xfrm>
                        <a:prstGeom prst="rect">
                          <a:avLst/>
                        </a:prstGeom>
                      </pic:spPr>
                    </pic:pic>
                  </a:graphicData>
                </a:graphic>
                <wp14:sizeRelH relativeFrom="margin">
                  <wp14:pctWidth>0</wp14:pctWidth>
                </wp14:sizeRelH>
                <wp14:sizeRelV relativeFrom="margin">
                  <wp14:pctHeight>0</wp14:pctHeight>
                </wp14:sizeRelV>
              </wp:anchor>
            </w:drawing>
          </w:r>
          <w:r>
            <w:rPr>
              <w:noProof/>
              <w:color w:val="2B3593"/>
            </w:rPr>
            <mc:AlternateContent>
              <mc:Choice Requires="wps">
                <w:drawing>
                  <wp:anchor distT="0" distB="0" distL="114300" distR="114300" simplePos="0" relativeHeight="251663360" behindDoc="0" locked="0" layoutInCell="1" allowOverlap="1" wp14:anchorId="34814585" wp14:editId="5E54D52F">
                    <wp:simplePos x="0" y="0"/>
                    <wp:positionH relativeFrom="column">
                      <wp:posOffset>-928370</wp:posOffset>
                    </wp:positionH>
                    <wp:positionV relativeFrom="paragraph">
                      <wp:posOffset>57150</wp:posOffset>
                    </wp:positionV>
                    <wp:extent cx="2009140" cy="0"/>
                    <wp:effectExtent l="0" t="0" r="10160" b="19050"/>
                    <wp:wrapNone/>
                    <wp:docPr id="9" name="Přímá spojnice 9"/>
                    <wp:cNvGraphicFramePr/>
                    <a:graphic xmlns:a="http://schemas.openxmlformats.org/drawingml/2006/main">
                      <a:graphicData uri="http://schemas.microsoft.com/office/word/2010/wordprocessingShape">
                        <wps:wsp>
                          <wps:cNvCnPr/>
                          <wps:spPr>
                            <a:xfrm flipH="1">
                              <a:off x="0" y="0"/>
                              <a:ext cx="2009140" cy="0"/>
                            </a:xfrm>
                            <a:prstGeom prst="line">
                              <a:avLst/>
                            </a:prstGeom>
                            <a:ln w="6350">
                              <a:solidFill>
                                <a:srgbClr val="2B35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E3BE8" id="Přímá spojnice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5pt" to="85.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" strokecolor="#2b3593" strokeweight=".5pt">
                    <v:stroke joinstyle="miter"/>
                  </v:line>
                </w:pict>
              </mc:Fallback>
            </mc:AlternateContent>
          </w:r>
        </w:p>
      </w:tc>
      <w:tc>
        <w:tcPr>
          <w:tcW w:w="5841" w:type="dxa"/>
        </w:tcPr>
        <w:p w:rsidR="00807273" w:rsidRPr="00C51869" w:rsidRDefault="00807273" w:rsidP="00807273">
          <w:pPr>
            <w:pStyle w:val="Pa0"/>
            <w:rPr>
              <w:rStyle w:val="A0"/>
              <w:rFonts w:asciiTheme="minorHAnsi" w:hAnsiTheme="minorHAnsi"/>
              <w:color w:val="2B3593"/>
            </w:rPr>
          </w:pPr>
          <w:r w:rsidRPr="00C51869">
            <w:rPr>
              <w:rStyle w:val="A0"/>
              <w:rFonts w:asciiTheme="minorHAnsi" w:hAnsiTheme="minorHAnsi"/>
              <w:color w:val="2B3593"/>
            </w:rPr>
            <w:t>YOUR SYSTE</w:t>
          </w:r>
          <w:r w:rsidR="005B5B07">
            <w:rPr>
              <w:rStyle w:val="A0"/>
              <w:rFonts w:asciiTheme="minorHAnsi" w:hAnsiTheme="minorHAnsi"/>
              <w:color w:val="2B3593"/>
            </w:rPr>
            <w:t>M, spol. s r.o., se sídlem</w:t>
          </w:r>
          <w:r w:rsidRPr="00C51869">
            <w:rPr>
              <w:rStyle w:val="A0"/>
              <w:rFonts w:asciiTheme="minorHAnsi" w:hAnsiTheme="minorHAnsi"/>
              <w:color w:val="2B3593"/>
            </w:rPr>
            <w:t xml:space="preserve"> Türkova 2319/5b, 149 00 Praha 4,</w:t>
          </w:r>
        </w:p>
        <w:p w:rsidR="00807273" w:rsidRPr="0089749E" w:rsidRDefault="00807273" w:rsidP="00807273">
          <w:pPr>
            <w:pStyle w:val="Pa0"/>
            <w:rPr>
              <w:rStyle w:val="YSZvraznnTun"/>
              <w:rFonts w:asciiTheme="minorHAnsi" w:hAnsiTheme="minorHAnsi" w:cs="Calibri"/>
              <w:b w:val="0"/>
              <w:color w:val="2B3593"/>
              <w:sz w:val="16"/>
              <w:szCs w:val="16"/>
            </w:rPr>
          </w:pPr>
          <w:r w:rsidRPr="00C51869">
            <w:rPr>
              <w:rStyle w:val="A0"/>
              <w:rFonts w:asciiTheme="minorHAnsi" w:hAnsiTheme="minorHAnsi"/>
              <w:color w:val="2B3593"/>
            </w:rPr>
            <w:t>IČ: 00174939, DIČ: CZ00174939 zapsaná v obchodním rejstříku, vedeném Městským soudem v Praze, oddíl C, vložka 72.</w:t>
          </w:r>
        </w:p>
      </w:tc>
    </w:tr>
  </w:tbl>
  <w:p w:rsidR="00807273" w:rsidRDefault="00807273" w:rsidP="008072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6E8" w:rsidRDefault="002E36E8" w:rsidP="00807273">
      <w:pPr>
        <w:spacing w:after="0" w:line="240" w:lineRule="auto"/>
      </w:pPr>
      <w:r>
        <w:separator/>
      </w:r>
    </w:p>
  </w:footnote>
  <w:footnote w:type="continuationSeparator" w:id="0">
    <w:p w:rsidR="002E36E8" w:rsidRDefault="002E36E8" w:rsidP="0080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273" w:rsidRPr="006D6284" w:rsidRDefault="00807273" w:rsidP="00807273">
    <w:pPr>
      <w:pStyle w:val="Zhlav"/>
      <w:jc w:val="right"/>
      <w:rPr>
        <w:color w:val="2B3593"/>
        <w:sz w:val="16"/>
      </w:rPr>
    </w:pPr>
    <w:r w:rsidRPr="006D6284">
      <w:rPr>
        <w:bCs/>
        <w:noProof/>
        <w:color w:val="2B3593"/>
        <w:sz w:val="24"/>
        <w:szCs w:val="24"/>
        <w:lang w:eastAsia="cs-CZ"/>
      </w:rPr>
      <mc:AlternateContent>
        <mc:Choice Requires="wps">
          <w:drawing>
            <wp:anchor distT="0" distB="0" distL="114300" distR="114300" simplePos="0" relativeHeight="251659264" behindDoc="0" locked="0" layoutInCell="1" allowOverlap="1" wp14:anchorId="497DFAEB" wp14:editId="010FDA00">
              <wp:simplePos x="0" y="0"/>
              <wp:positionH relativeFrom="column">
                <wp:posOffset>3672205</wp:posOffset>
              </wp:positionH>
              <wp:positionV relativeFrom="paragraph">
                <wp:posOffset>283845</wp:posOffset>
              </wp:positionV>
              <wp:extent cx="2962275" cy="0"/>
              <wp:effectExtent l="0" t="0" r="28575" b="19050"/>
              <wp:wrapNone/>
              <wp:docPr id="5" name="Přímá spojnice 5"/>
              <wp:cNvGraphicFramePr/>
              <a:graphic xmlns:a="http://schemas.openxmlformats.org/drawingml/2006/main">
                <a:graphicData uri="http://schemas.microsoft.com/office/word/2010/wordprocessingShape">
                  <wps:wsp>
                    <wps:cNvCnPr/>
                    <wps:spPr>
                      <a:xfrm>
                        <a:off x="0" y="0"/>
                        <a:ext cx="2962275" cy="0"/>
                      </a:xfrm>
                      <a:prstGeom prst="line">
                        <a:avLst/>
                      </a:prstGeom>
                      <a:ln>
                        <a:solidFill>
                          <a:srgbClr val="2B35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B846D" id="Přímá spojnic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15pt,22.35pt" to="522.4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" strokecolor="#2b3593" strokeweight=".5pt">
              <v:stroke joinstyle="miter"/>
            </v:line>
          </w:pict>
        </mc:Fallback>
      </mc:AlternateContent>
    </w:r>
    <w:r w:rsidR="006D6284" w:rsidRPr="006D6284">
      <w:rPr>
        <w:color w:val="2B3593"/>
      </w:rPr>
      <w:t xml:space="preserve"> </w:t>
    </w:r>
    <w:r w:rsidR="00E658AE">
      <w:rPr>
        <w:color w:val="2B3593"/>
        <w:sz w:val="16"/>
      </w:rPr>
      <w:t>F-07</w:t>
    </w:r>
    <w:r w:rsidR="006D6284" w:rsidRPr="006D6284">
      <w:rPr>
        <w:color w:val="2B3593"/>
        <w:sz w:val="16"/>
      </w:rPr>
      <w:t>-</w:t>
    </w:r>
    <w:r w:rsidR="00E658AE">
      <w:rPr>
        <w:color w:val="2B3593"/>
        <w:sz w:val="16"/>
      </w:rPr>
      <w:t>38</w:t>
    </w:r>
    <w:r w:rsidR="006D6284" w:rsidRPr="006D6284">
      <w:rPr>
        <w:color w:val="2B3593"/>
        <w:sz w:val="16"/>
      </w:rPr>
      <w:t xml:space="preserve"> </w:t>
    </w:r>
    <w:r w:rsidR="00E658AE">
      <w:rPr>
        <w:color w:val="2B3593"/>
        <w:sz w:val="16"/>
      </w:rPr>
      <w:t>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EBA"/>
    <w:multiLevelType w:val="hybridMultilevel"/>
    <w:tmpl w:val="B372A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0D7C60"/>
    <w:multiLevelType w:val="multilevel"/>
    <w:tmpl w:val="A9B6396C"/>
    <w:lvl w:ilvl="0">
      <w:start w:val="1"/>
      <w:numFmt w:val="decimal"/>
      <w:pStyle w:val="YSNadpis1slovan"/>
      <w:suff w:val="space"/>
      <w:lvlText w:val="%1"/>
      <w:lvlJc w:val="left"/>
      <w:pPr>
        <w:ind w:left="369" w:hanging="369"/>
      </w:pPr>
      <w:rPr>
        <w:rFonts w:hint="default"/>
      </w:rPr>
    </w:lvl>
    <w:lvl w:ilvl="1">
      <w:start w:val="1"/>
      <w:numFmt w:val="decimal"/>
      <w:pStyle w:val="YSNadpis2slovan"/>
      <w:suff w:val="space"/>
      <w:lvlText w:val="%1.%2"/>
      <w:lvlJc w:val="left"/>
      <w:pPr>
        <w:ind w:left="567" w:hanging="567"/>
      </w:pPr>
      <w:rPr>
        <w:rFonts w:hint="default"/>
      </w:rPr>
    </w:lvl>
    <w:lvl w:ilvl="2">
      <w:start w:val="1"/>
      <w:numFmt w:val="decimal"/>
      <w:suff w:val="space"/>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1210BC"/>
    <w:multiLevelType w:val="hybridMultilevel"/>
    <w:tmpl w:val="730C184E"/>
    <w:lvl w:ilvl="0" w:tplc="04050001">
      <w:start w:val="1"/>
      <w:numFmt w:val="bullet"/>
      <w:lvlText w:val=""/>
      <w:lvlJc w:val="left"/>
      <w:pPr>
        <w:ind w:left="1776" w:hanging="360"/>
      </w:pPr>
      <w:rPr>
        <w:rFonts w:ascii="Symbol" w:hAnsi="Symbol" w:hint="default"/>
      </w:rPr>
    </w:lvl>
    <w:lvl w:ilvl="1" w:tplc="DD9EAEAA">
      <w:start w:val="4"/>
      <w:numFmt w:val="bullet"/>
      <w:lvlText w:val="-"/>
      <w:lvlJc w:val="left"/>
      <w:pPr>
        <w:ind w:left="2496" w:hanging="360"/>
      </w:pPr>
      <w:rPr>
        <w:rFonts w:ascii="Calibri" w:eastAsia="Calibri" w:hAnsi="Calibri" w:cs="Times New Roman"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184955F7"/>
    <w:multiLevelType w:val="multilevel"/>
    <w:tmpl w:val="D624C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4" w15:restartNumberingAfterBreak="0">
    <w:nsid w:val="1D2B33C5"/>
    <w:multiLevelType w:val="multilevel"/>
    <w:tmpl w:val="E6364DCC"/>
    <w:lvl w:ilvl="0">
      <w:start w:val="1"/>
      <w:numFmt w:val="decimal"/>
      <w:lvlText w:val="%1."/>
      <w:lvlJc w:val="left"/>
      <w:pPr>
        <w:tabs>
          <w:tab w:val="num" w:pos="357"/>
        </w:tabs>
        <w:ind w:left="360" w:hanging="360"/>
      </w:pPr>
      <w:rPr>
        <w:rFonts w:hint="default"/>
      </w:rPr>
    </w:lvl>
    <w:lvl w:ilvl="1">
      <w:start w:val="1"/>
      <w:numFmt w:val="decimal"/>
      <w:isLgl/>
      <w:lvlText w:val="%1.%2."/>
      <w:lvlJc w:val="left"/>
      <w:pPr>
        <w:tabs>
          <w:tab w:val="num" w:pos="1418"/>
        </w:tabs>
        <w:ind w:left="1418" w:hanging="709"/>
      </w:pPr>
      <w:rPr>
        <w:rFonts w:hint="default"/>
      </w:rPr>
    </w:lvl>
    <w:lvl w:ilvl="2">
      <w:start w:val="3"/>
      <w:numFmt w:val="lowerLetter"/>
      <w:lvlText w:val="%3)"/>
      <w:lvlJc w:val="left"/>
      <w:pPr>
        <w:tabs>
          <w:tab w:val="num" w:pos="1418"/>
        </w:tabs>
        <w:ind w:left="2126" w:hanging="708"/>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7274387"/>
    <w:multiLevelType w:val="multilevel"/>
    <w:tmpl w:val="40FA27BE"/>
    <w:lvl w:ilvl="0">
      <w:start w:val="1"/>
      <w:numFmt w:val="decimal"/>
      <w:lvlText w:val="%1."/>
      <w:lvlJc w:val="left"/>
      <w:pPr>
        <w:tabs>
          <w:tab w:val="num" w:pos="357"/>
        </w:tabs>
        <w:ind w:left="360" w:hanging="360"/>
      </w:pPr>
      <w:rPr>
        <w:rFonts w:hint="default"/>
      </w:rPr>
    </w:lvl>
    <w:lvl w:ilvl="1">
      <w:start w:val="1"/>
      <w:numFmt w:val="decimal"/>
      <w:isLgl/>
      <w:lvlText w:val="%1.%2."/>
      <w:lvlJc w:val="left"/>
      <w:pPr>
        <w:tabs>
          <w:tab w:val="num" w:pos="1418"/>
        </w:tabs>
        <w:ind w:left="1418" w:hanging="709"/>
      </w:pPr>
      <w:rPr>
        <w:rFonts w:hint="default"/>
      </w:rPr>
    </w:lvl>
    <w:lvl w:ilvl="2">
      <w:start w:val="1"/>
      <w:numFmt w:val="decimal"/>
      <w:isLgl/>
      <w:lvlText w:val="%1.%2.%3."/>
      <w:lvlJc w:val="left"/>
      <w:pPr>
        <w:tabs>
          <w:tab w:val="num" w:pos="1418"/>
        </w:tabs>
        <w:ind w:left="2126" w:hanging="708"/>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9FE4341"/>
    <w:multiLevelType w:val="hybridMultilevel"/>
    <w:tmpl w:val="BABA0044"/>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 w15:restartNumberingAfterBreak="0">
    <w:nsid w:val="32B80676"/>
    <w:multiLevelType w:val="multilevel"/>
    <w:tmpl w:val="C574ACC4"/>
    <w:lvl w:ilvl="0">
      <w:start w:val="4"/>
      <w:numFmt w:val="decimal"/>
      <w:lvlText w:val="%1."/>
      <w:lvlJc w:val="left"/>
      <w:pPr>
        <w:tabs>
          <w:tab w:val="num" w:pos="717"/>
        </w:tabs>
        <w:ind w:left="720" w:hanging="360"/>
      </w:pPr>
      <w:rPr>
        <w:rFonts w:hint="default"/>
      </w:rPr>
    </w:lvl>
    <w:lvl w:ilvl="1">
      <w:start w:val="1"/>
      <w:numFmt w:val="decimal"/>
      <w:isLgl/>
      <w:lvlText w:val="%1.%2."/>
      <w:lvlJc w:val="left"/>
      <w:pPr>
        <w:tabs>
          <w:tab w:val="num" w:pos="1778"/>
        </w:tabs>
        <w:ind w:left="1778" w:hanging="709"/>
      </w:pPr>
      <w:rPr>
        <w:rFonts w:hint="default"/>
      </w:rPr>
    </w:lvl>
    <w:lvl w:ilvl="2">
      <w:start w:val="3"/>
      <w:numFmt w:val="lowerLetter"/>
      <w:lvlText w:val="%3)"/>
      <w:lvlJc w:val="left"/>
      <w:pPr>
        <w:tabs>
          <w:tab w:val="num" w:pos="1778"/>
        </w:tabs>
        <w:ind w:left="2486" w:hanging="708"/>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BA27032"/>
    <w:multiLevelType w:val="hybridMultilevel"/>
    <w:tmpl w:val="1008795C"/>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9" w15:restartNumberingAfterBreak="0">
    <w:nsid w:val="459B1831"/>
    <w:multiLevelType w:val="multilevel"/>
    <w:tmpl w:val="7152C412"/>
    <w:lvl w:ilvl="0">
      <w:start w:val="1"/>
      <w:numFmt w:val="decimal"/>
      <w:lvlText w:val="%1."/>
      <w:lvlJc w:val="left"/>
      <w:pPr>
        <w:tabs>
          <w:tab w:val="num" w:pos="357"/>
        </w:tabs>
        <w:ind w:left="360" w:hanging="360"/>
      </w:pPr>
      <w:rPr>
        <w:rFonts w:hint="default"/>
      </w:rPr>
    </w:lvl>
    <w:lvl w:ilvl="1">
      <w:start w:val="1"/>
      <w:numFmt w:val="decimal"/>
      <w:isLgl/>
      <w:lvlText w:val="%1.%2."/>
      <w:lvlJc w:val="left"/>
      <w:pPr>
        <w:tabs>
          <w:tab w:val="num" w:pos="1418"/>
        </w:tabs>
        <w:ind w:left="1418" w:hanging="709"/>
      </w:pPr>
      <w:rPr>
        <w:rFonts w:hint="default"/>
      </w:rPr>
    </w:lvl>
    <w:lvl w:ilvl="2">
      <w:start w:val="1"/>
      <w:numFmt w:val="lowerLetter"/>
      <w:lvlText w:val="%3)"/>
      <w:lvlJc w:val="left"/>
      <w:pPr>
        <w:tabs>
          <w:tab w:val="num" w:pos="1418"/>
        </w:tabs>
        <w:ind w:left="2126" w:hanging="708"/>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B426367"/>
    <w:multiLevelType w:val="hybridMultilevel"/>
    <w:tmpl w:val="6012F90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4C8E36DC"/>
    <w:multiLevelType w:val="hybridMultilevel"/>
    <w:tmpl w:val="2E9A27B2"/>
    <w:lvl w:ilvl="0" w:tplc="04050017">
      <w:start w:val="1"/>
      <w:numFmt w:val="lowerLetter"/>
      <w:lvlText w:val="%1)"/>
      <w:lvlJc w:val="left"/>
      <w:pPr>
        <w:ind w:left="2498" w:hanging="360"/>
      </w:pPr>
    </w:lvl>
    <w:lvl w:ilvl="1" w:tplc="04050019">
      <w:start w:val="1"/>
      <w:numFmt w:val="lowerLetter"/>
      <w:lvlText w:val="%2."/>
      <w:lvlJc w:val="left"/>
      <w:pPr>
        <w:ind w:left="3218" w:hanging="360"/>
      </w:pPr>
    </w:lvl>
    <w:lvl w:ilvl="2" w:tplc="5B9840EE">
      <w:start w:val="1"/>
      <w:numFmt w:val="decimal"/>
      <w:lvlText w:val="%3."/>
      <w:lvlJc w:val="left"/>
      <w:pPr>
        <w:ind w:left="4118" w:hanging="360"/>
      </w:pPr>
      <w:rPr>
        <w:rFonts w:hint="default"/>
      </w:rPr>
    </w:lvl>
    <w:lvl w:ilvl="3" w:tplc="0405000F" w:tentative="1">
      <w:start w:val="1"/>
      <w:numFmt w:val="decimal"/>
      <w:lvlText w:val="%4."/>
      <w:lvlJc w:val="left"/>
      <w:pPr>
        <w:ind w:left="4658" w:hanging="360"/>
      </w:pPr>
    </w:lvl>
    <w:lvl w:ilvl="4" w:tplc="04050019" w:tentative="1">
      <w:start w:val="1"/>
      <w:numFmt w:val="lowerLetter"/>
      <w:lvlText w:val="%5."/>
      <w:lvlJc w:val="left"/>
      <w:pPr>
        <w:ind w:left="5378" w:hanging="360"/>
      </w:pPr>
    </w:lvl>
    <w:lvl w:ilvl="5" w:tplc="0405001B" w:tentative="1">
      <w:start w:val="1"/>
      <w:numFmt w:val="lowerRoman"/>
      <w:lvlText w:val="%6."/>
      <w:lvlJc w:val="right"/>
      <w:pPr>
        <w:ind w:left="6098" w:hanging="180"/>
      </w:pPr>
    </w:lvl>
    <w:lvl w:ilvl="6" w:tplc="0405000F" w:tentative="1">
      <w:start w:val="1"/>
      <w:numFmt w:val="decimal"/>
      <w:lvlText w:val="%7."/>
      <w:lvlJc w:val="left"/>
      <w:pPr>
        <w:ind w:left="6818" w:hanging="360"/>
      </w:pPr>
    </w:lvl>
    <w:lvl w:ilvl="7" w:tplc="04050019" w:tentative="1">
      <w:start w:val="1"/>
      <w:numFmt w:val="lowerLetter"/>
      <w:lvlText w:val="%8."/>
      <w:lvlJc w:val="left"/>
      <w:pPr>
        <w:ind w:left="7538" w:hanging="360"/>
      </w:pPr>
    </w:lvl>
    <w:lvl w:ilvl="8" w:tplc="0405001B" w:tentative="1">
      <w:start w:val="1"/>
      <w:numFmt w:val="lowerRoman"/>
      <w:lvlText w:val="%9."/>
      <w:lvlJc w:val="right"/>
      <w:pPr>
        <w:ind w:left="8258" w:hanging="180"/>
      </w:pPr>
    </w:lvl>
  </w:abstractNum>
  <w:abstractNum w:abstractNumId="12" w15:restartNumberingAfterBreak="0">
    <w:nsid w:val="5ABF12BE"/>
    <w:multiLevelType w:val="multilevel"/>
    <w:tmpl w:val="86E0BBE6"/>
    <w:lvl w:ilvl="0">
      <w:start w:val="10"/>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3" w15:restartNumberingAfterBreak="0">
    <w:nsid w:val="5EA24400"/>
    <w:multiLevelType w:val="hybridMultilevel"/>
    <w:tmpl w:val="DF0672DA"/>
    <w:lvl w:ilvl="0" w:tplc="04050001">
      <w:start w:val="1"/>
      <w:numFmt w:val="bullet"/>
      <w:lvlText w:val=""/>
      <w:lvlJc w:val="left"/>
      <w:pPr>
        <w:ind w:left="2223" w:hanging="360"/>
      </w:pPr>
      <w:rPr>
        <w:rFonts w:ascii="Symbol" w:hAnsi="Symbol" w:hint="default"/>
      </w:rPr>
    </w:lvl>
    <w:lvl w:ilvl="1" w:tplc="04050003" w:tentative="1">
      <w:start w:val="1"/>
      <w:numFmt w:val="bullet"/>
      <w:lvlText w:val="o"/>
      <w:lvlJc w:val="left"/>
      <w:pPr>
        <w:ind w:left="2943" w:hanging="360"/>
      </w:pPr>
      <w:rPr>
        <w:rFonts w:ascii="Courier New" w:hAnsi="Courier New" w:cs="Courier New" w:hint="default"/>
      </w:rPr>
    </w:lvl>
    <w:lvl w:ilvl="2" w:tplc="04050005" w:tentative="1">
      <w:start w:val="1"/>
      <w:numFmt w:val="bullet"/>
      <w:lvlText w:val=""/>
      <w:lvlJc w:val="left"/>
      <w:pPr>
        <w:ind w:left="3663" w:hanging="360"/>
      </w:pPr>
      <w:rPr>
        <w:rFonts w:ascii="Wingdings" w:hAnsi="Wingdings" w:hint="default"/>
      </w:rPr>
    </w:lvl>
    <w:lvl w:ilvl="3" w:tplc="04050001" w:tentative="1">
      <w:start w:val="1"/>
      <w:numFmt w:val="bullet"/>
      <w:lvlText w:val=""/>
      <w:lvlJc w:val="left"/>
      <w:pPr>
        <w:ind w:left="4383" w:hanging="360"/>
      </w:pPr>
      <w:rPr>
        <w:rFonts w:ascii="Symbol" w:hAnsi="Symbol" w:hint="default"/>
      </w:rPr>
    </w:lvl>
    <w:lvl w:ilvl="4" w:tplc="04050003" w:tentative="1">
      <w:start w:val="1"/>
      <w:numFmt w:val="bullet"/>
      <w:lvlText w:val="o"/>
      <w:lvlJc w:val="left"/>
      <w:pPr>
        <w:ind w:left="5103" w:hanging="360"/>
      </w:pPr>
      <w:rPr>
        <w:rFonts w:ascii="Courier New" w:hAnsi="Courier New" w:cs="Courier New" w:hint="default"/>
      </w:rPr>
    </w:lvl>
    <w:lvl w:ilvl="5" w:tplc="04050005" w:tentative="1">
      <w:start w:val="1"/>
      <w:numFmt w:val="bullet"/>
      <w:lvlText w:val=""/>
      <w:lvlJc w:val="left"/>
      <w:pPr>
        <w:ind w:left="5823" w:hanging="360"/>
      </w:pPr>
      <w:rPr>
        <w:rFonts w:ascii="Wingdings" w:hAnsi="Wingdings" w:hint="default"/>
      </w:rPr>
    </w:lvl>
    <w:lvl w:ilvl="6" w:tplc="04050001" w:tentative="1">
      <w:start w:val="1"/>
      <w:numFmt w:val="bullet"/>
      <w:lvlText w:val=""/>
      <w:lvlJc w:val="left"/>
      <w:pPr>
        <w:ind w:left="6543" w:hanging="360"/>
      </w:pPr>
      <w:rPr>
        <w:rFonts w:ascii="Symbol" w:hAnsi="Symbol" w:hint="default"/>
      </w:rPr>
    </w:lvl>
    <w:lvl w:ilvl="7" w:tplc="04050003" w:tentative="1">
      <w:start w:val="1"/>
      <w:numFmt w:val="bullet"/>
      <w:lvlText w:val="o"/>
      <w:lvlJc w:val="left"/>
      <w:pPr>
        <w:ind w:left="7263" w:hanging="360"/>
      </w:pPr>
      <w:rPr>
        <w:rFonts w:ascii="Courier New" w:hAnsi="Courier New" w:cs="Courier New" w:hint="default"/>
      </w:rPr>
    </w:lvl>
    <w:lvl w:ilvl="8" w:tplc="04050005" w:tentative="1">
      <w:start w:val="1"/>
      <w:numFmt w:val="bullet"/>
      <w:lvlText w:val=""/>
      <w:lvlJc w:val="left"/>
      <w:pPr>
        <w:ind w:left="7983" w:hanging="360"/>
      </w:pPr>
      <w:rPr>
        <w:rFonts w:ascii="Wingdings" w:hAnsi="Wingdings" w:hint="default"/>
      </w:rPr>
    </w:lvl>
  </w:abstractNum>
  <w:abstractNum w:abstractNumId="14" w15:restartNumberingAfterBreak="0">
    <w:nsid w:val="5F8F4827"/>
    <w:multiLevelType w:val="multilevel"/>
    <w:tmpl w:val="40FA27BE"/>
    <w:lvl w:ilvl="0">
      <w:start w:val="1"/>
      <w:numFmt w:val="decimal"/>
      <w:lvlText w:val="%1."/>
      <w:lvlJc w:val="left"/>
      <w:pPr>
        <w:tabs>
          <w:tab w:val="num" w:pos="357"/>
        </w:tabs>
        <w:ind w:left="360" w:hanging="360"/>
      </w:pPr>
      <w:rPr>
        <w:rFonts w:hint="default"/>
      </w:rPr>
    </w:lvl>
    <w:lvl w:ilvl="1">
      <w:start w:val="1"/>
      <w:numFmt w:val="decimal"/>
      <w:isLgl/>
      <w:lvlText w:val="%1.%2."/>
      <w:lvlJc w:val="left"/>
      <w:pPr>
        <w:tabs>
          <w:tab w:val="num" w:pos="1418"/>
        </w:tabs>
        <w:ind w:left="1418" w:hanging="709"/>
      </w:pPr>
      <w:rPr>
        <w:rFonts w:hint="default"/>
      </w:rPr>
    </w:lvl>
    <w:lvl w:ilvl="2">
      <w:start w:val="1"/>
      <w:numFmt w:val="decimal"/>
      <w:isLgl/>
      <w:lvlText w:val="%1.%2.%3."/>
      <w:lvlJc w:val="left"/>
      <w:pPr>
        <w:tabs>
          <w:tab w:val="num" w:pos="1418"/>
        </w:tabs>
        <w:ind w:left="2126" w:hanging="708"/>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561152F"/>
    <w:multiLevelType w:val="hybridMultilevel"/>
    <w:tmpl w:val="D51C2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1D6BAE"/>
    <w:multiLevelType w:val="multilevel"/>
    <w:tmpl w:val="A22269B4"/>
    <w:lvl w:ilvl="0">
      <w:start w:val="1"/>
      <w:numFmt w:val="decimal"/>
      <w:lvlText w:val="%1."/>
      <w:lvlJc w:val="left"/>
      <w:pPr>
        <w:tabs>
          <w:tab w:val="num" w:pos="357"/>
        </w:tabs>
        <w:ind w:left="360" w:hanging="360"/>
      </w:pPr>
      <w:rPr>
        <w:rFonts w:hint="default"/>
      </w:rPr>
    </w:lvl>
    <w:lvl w:ilvl="1">
      <w:start w:val="1"/>
      <w:numFmt w:val="decimal"/>
      <w:isLgl/>
      <w:lvlText w:val="%1.%2."/>
      <w:lvlJc w:val="left"/>
      <w:pPr>
        <w:tabs>
          <w:tab w:val="num" w:pos="1418"/>
        </w:tabs>
        <w:ind w:left="1418" w:hanging="709"/>
      </w:pPr>
      <w:rPr>
        <w:rFonts w:hint="default"/>
      </w:rPr>
    </w:lvl>
    <w:lvl w:ilvl="2">
      <w:start w:val="1"/>
      <w:numFmt w:val="lowerLetter"/>
      <w:lvlText w:val="%3)"/>
      <w:lvlJc w:val="left"/>
      <w:pPr>
        <w:tabs>
          <w:tab w:val="num" w:pos="1418"/>
        </w:tabs>
        <w:ind w:left="2126" w:hanging="708"/>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10"/>
  </w:num>
  <w:num w:numId="3">
    <w:abstractNumId w:val="14"/>
  </w:num>
  <w:num w:numId="4">
    <w:abstractNumId w:val="13"/>
  </w:num>
  <w:num w:numId="5">
    <w:abstractNumId w:val="5"/>
  </w:num>
  <w:num w:numId="6">
    <w:abstractNumId w:val="16"/>
  </w:num>
  <w:num w:numId="7">
    <w:abstractNumId w:val="9"/>
  </w:num>
  <w:num w:numId="8">
    <w:abstractNumId w:val="8"/>
  </w:num>
  <w:num w:numId="9">
    <w:abstractNumId w:val="4"/>
  </w:num>
  <w:num w:numId="10">
    <w:abstractNumId w:val="7"/>
  </w:num>
  <w:num w:numId="11">
    <w:abstractNumId w:val="2"/>
  </w:num>
  <w:num w:numId="12">
    <w:abstractNumId w:val="6"/>
  </w:num>
  <w:num w:numId="13">
    <w:abstractNumId w:val="11"/>
  </w:num>
  <w:num w:numId="14">
    <w:abstractNumId w:val="12"/>
  </w:num>
  <w:num w:numId="15">
    <w:abstractNumId w:val="3"/>
  </w:num>
  <w:num w:numId="16">
    <w:abstractNumId w:val="15"/>
  </w:num>
  <w:num w:numId="1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FA"/>
    <w:rsid w:val="000635C8"/>
    <w:rsid w:val="000864BC"/>
    <w:rsid w:val="000D5061"/>
    <w:rsid w:val="0011323B"/>
    <w:rsid w:val="00157416"/>
    <w:rsid w:val="00204240"/>
    <w:rsid w:val="002843E1"/>
    <w:rsid w:val="0029245C"/>
    <w:rsid w:val="002B5005"/>
    <w:rsid w:val="002E36E8"/>
    <w:rsid w:val="002F2E15"/>
    <w:rsid w:val="003B2ADE"/>
    <w:rsid w:val="00450023"/>
    <w:rsid w:val="004A359A"/>
    <w:rsid w:val="004F67E0"/>
    <w:rsid w:val="005030F1"/>
    <w:rsid w:val="005A67AA"/>
    <w:rsid w:val="005B5B07"/>
    <w:rsid w:val="005D10A1"/>
    <w:rsid w:val="005E1C33"/>
    <w:rsid w:val="006410FA"/>
    <w:rsid w:val="0067661D"/>
    <w:rsid w:val="006A0C53"/>
    <w:rsid w:val="006A28D9"/>
    <w:rsid w:val="006B5D3E"/>
    <w:rsid w:val="006D6284"/>
    <w:rsid w:val="007134AD"/>
    <w:rsid w:val="00807273"/>
    <w:rsid w:val="00873C76"/>
    <w:rsid w:val="008A7ECE"/>
    <w:rsid w:val="008C3C42"/>
    <w:rsid w:val="008F1E81"/>
    <w:rsid w:val="00945BB1"/>
    <w:rsid w:val="009566C9"/>
    <w:rsid w:val="00A6077F"/>
    <w:rsid w:val="00AA6773"/>
    <w:rsid w:val="00AA684E"/>
    <w:rsid w:val="00B5483E"/>
    <w:rsid w:val="00B91B76"/>
    <w:rsid w:val="00BC4FF4"/>
    <w:rsid w:val="00BC7D22"/>
    <w:rsid w:val="00C01916"/>
    <w:rsid w:val="00C071BC"/>
    <w:rsid w:val="00DE0449"/>
    <w:rsid w:val="00E658AE"/>
    <w:rsid w:val="00EB3BA5"/>
    <w:rsid w:val="00EF3249"/>
    <w:rsid w:val="00F6623A"/>
    <w:rsid w:val="00FA666D"/>
    <w:rsid w:val="00FD79EB"/>
    <w:rsid w:val="00FE7B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9CE54B-B88E-42A0-81C0-81937754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04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rsid w:val="00204240"/>
    <w:pPr>
      <w:overflowPunct w:val="0"/>
      <w:autoSpaceDE w:val="0"/>
      <w:autoSpaceDN w:val="0"/>
      <w:adjustRightInd w:val="0"/>
      <w:spacing w:after="120" w:line="280" w:lineRule="atLeast"/>
      <w:ind w:left="1418" w:hanging="708"/>
      <w:jc w:val="both"/>
      <w:textAlignment w:val="baseline"/>
      <w:outlineLvl w:val="1"/>
    </w:pPr>
    <w:rPr>
      <w:rFonts w:ascii="Times New Roman" w:eastAsia="Times New Roman" w:hAnsi="Times New Roman" w:cs="Times New Roman"/>
      <w:sz w:val="24"/>
      <w:szCs w:val="20"/>
    </w:rPr>
  </w:style>
  <w:style w:type="paragraph" w:styleId="Nadpis3">
    <w:name w:val="heading 3"/>
    <w:basedOn w:val="Normln"/>
    <w:next w:val="Normln"/>
    <w:link w:val="Nadpis3Char"/>
    <w:uiPriority w:val="9"/>
    <w:semiHidden/>
    <w:unhideWhenUsed/>
    <w:qFormat/>
    <w:rsid w:val="000D50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YSNormln">
    <w:name w:val="YS: Normální"/>
    <w:basedOn w:val="Normln"/>
    <w:qFormat/>
    <w:rsid w:val="006B5D3E"/>
    <w:pPr>
      <w:spacing w:before="120" w:after="0" w:line="340" w:lineRule="exact"/>
      <w:ind w:firstLine="397"/>
      <w:jc w:val="both"/>
    </w:pPr>
    <w:rPr>
      <w:rFonts w:eastAsia="Calibri" w:cs="Times New Roman"/>
      <w:sz w:val="20"/>
      <w:szCs w:val="20"/>
      <w:lang w:eastAsia="cs-CZ"/>
    </w:rPr>
  </w:style>
  <w:style w:type="paragraph" w:customStyle="1" w:styleId="YSslovanodrkyrovn1">
    <w:name w:val="YS: Číslované odrážky úrovně 1"/>
    <w:basedOn w:val="YSNormln"/>
    <w:qFormat/>
    <w:rsid w:val="006B5D3E"/>
    <w:pPr>
      <w:contextualSpacing/>
    </w:pPr>
  </w:style>
  <w:style w:type="paragraph" w:customStyle="1" w:styleId="YSNadpis1Neslovan">
    <w:name w:val="YS: Nadpis 1: Nečíslovaný"/>
    <w:basedOn w:val="YSNormln"/>
    <w:next w:val="Normln"/>
    <w:qFormat/>
    <w:rsid w:val="006B5D3E"/>
    <w:pPr>
      <w:keepNext/>
      <w:keepLines/>
      <w:suppressAutoHyphens/>
      <w:spacing w:before="0" w:after="120" w:line="500" w:lineRule="exact"/>
      <w:ind w:firstLine="0"/>
      <w:jc w:val="left"/>
      <w:outlineLvl w:val="0"/>
    </w:pPr>
    <w:rPr>
      <w:b/>
      <w:color w:val="013684"/>
      <w:sz w:val="50"/>
    </w:rPr>
  </w:style>
  <w:style w:type="paragraph" w:customStyle="1" w:styleId="YSNadpis1slovan">
    <w:name w:val="YS: Nadpis 1: Číslovaný"/>
    <w:basedOn w:val="YSNadpis1Neslovan"/>
    <w:next w:val="Normln"/>
    <w:qFormat/>
    <w:rsid w:val="006B5D3E"/>
    <w:pPr>
      <w:pageBreakBefore/>
      <w:numPr>
        <w:numId w:val="1"/>
      </w:numPr>
      <w:spacing w:line="640" w:lineRule="exact"/>
    </w:pPr>
  </w:style>
  <w:style w:type="paragraph" w:customStyle="1" w:styleId="YSNadpis1Neslovanbezobsahu">
    <w:name w:val="YS: Nadpis 1: Nečíslovaný bez obsahu"/>
    <w:basedOn w:val="YSNadpis1Neslovan"/>
    <w:next w:val="Normln"/>
    <w:qFormat/>
    <w:rsid w:val="006B5D3E"/>
    <w:pPr>
      <w:spacing w:after="240"/>
      <w:jc w:val="center"/>
      <w:outlineLvl w:val="9"/>
    </w:pPr>
  </w:style>
  <w:style w:type="paragraph" w:customStyle="1" w:styleId="YSNadpis2slovan">
    <w:name w:val="YS: Nadpis 2: Číslovaný"/>
    <w:basedOn w:val="YSNormln"/>
    <w:next w:val="Normln"/>
    <w:qFormat/>
    <w:rsid w:val="006B5D3E"/>
    <w:pPr>
      <w:keepNext/>
      <w:keepLines/>
      <w:numPr>
        <w:ilvl w:val="1"/>
        <w:numId w:val="1"/>
      </w:numPr>
      <w:spacing w:before="240" w:line="480" w:lineRule="exact"/>
      <w:outlineLvl w:val="1"/>
    </w:pPr>
    <w:rPr>
      <w:b/>
      <w:color w:val="013684"/>
      <w:sz w:val="40"/>
    </w:rPr>
  </w:style>
  <w:style w:type="paragraph" w:customStyle="1" w:styleId="YSNadpis2Neslovan">
    <w:name w:val="YS: Nadpis 2: Nečíslovaný"/>
    <w:basedOn w:val="YSNadpis1Neslovan"/>
    <w:next w:val="Normln"/>
    <w:qFormat/>
    <w:rsid w:val="006B5D3E"/>
    <w:pPr>
      <w:spacing w:before="6500" w:line="300" w:lineRule="auto"/>
      <w:jc w:val="center"/>
    </w:pPr>
    <w:rPr>
      <w:color w:val="2B3593"/>
      <w:sz w:val="40"/>
    </w:rPr>
  </w:style>
  <w:style w:type="paragraph" w:customStyle="1" w:styleId="YSNadpis3slovan">
    <w:name w:val="YS: Nadpis 3: Číslovaný"/>
    <w:basedOn w:val="YSNormln"/>
    <w:next w:val="Normln"/>
    <w:qFormat/>
    <w:rsid w:val="006B5D3E"/>
    <w:pPr>
      <w:keepNext/>
      <w:spacing w:before="180" w:line="480" w:lineRule="exact"/>
      <w:outlineLvl w:val="2"/>
    </w:pPr>
    <w:rPr>
      <w:color w:val="013684"/>
      <w:sz w:val="40"/>
    </w:rPr>
  </w:style>
  <w:style w:type="paragraph" w:customStyle="1" w:styleId="YSNadpis3Neslovan">
    <w:name w:val="YS: Nadpis 3: Nečíslovaný"/>
    <w:basedOn w:val="YSNadpis2Neslovan"/>
    <w:next w:val="Normln"/>
    <w:qFormat/>
    <w:rsid w:val="006B5D3E"/>
    <w:rPr>
      <w:b w:val="0"/>
    </w:rPr>
  </w:style>
  <w:style w:type="paragraph" w:customStyle="1" w:styleId="YSNormlnZanadpisemiobjektem">
    <w:name w:val="YS: Normální: Za nadpisem či objektem"/>
    <w:basedOn w:val="YSNormln"/>
    <w:next w:val="YSNormln"/>
    <w:qFormat/>
    <w:rsid w:val="00B91B76"/>
    <w:pPr>
      <w:spacing w:before="40"/>
      <w:ind w:firstLine="0"/>
    </w:pPr>
    <w:rPr>
      <w:sz w:val="22"/>
    </w:rPr>
  </w:style>
  <w:style w:type="paragraph" w:customStyle="1" w:styleId="YSObrzek">
    <w:name w:val="YS: Obrázek"/>
    <w:basedOn w:val="YSNormlnZanadpisemiobjektem"/>
    <w:next w:val="YSNormln"/>
    <w:qFormat/>
    <w:rsid w:val="006B5D3E"/>
    <w:pPr>
      <w:spacing w:line="240" w:lineRule="auto"/>
      <w:jc w:val="center"/>
    </w:pPr>
    <w:rPr>
      <w:noProof/>
    </w:rPr>
  </w:style>
  <w:style w:type="paragraph" w:customStyle="1" w:styleId="YSObsah">
    <w:name w:val="YS: Obsah"/>
    <w:basedOn w:val="YSNormln"/>
    <w:link w:val="YSObsahChar"/>
    <w:qFormat/>
    <w:rsid w:val="006B5D3E"/>
    <w:pPr>
      <w:tabs>
        <w:tab w:val="left" w:pos="369"/>
        <w:tab w:val="right" w:leader="dot" w:pos="8219"/>
      </w:tabs>
    </w:pPr>
    <w:rPr>
      <w:noProof/>
      <w:szCs w:val="23"/>
    </w:rPr>
  </w:style>
  <w:style w:type="character" w:customStyle="1" w:styleId="YSObsahChar">
    <w:name w:val="YS: Obsah Char"/>
    <w:basedOn w:val="Standardnpsmoodstavce"/>
    <w:link w:val="YSObsah"/>
    <w:rsid w:val="006B5D3E"/>
    <w:rPr>
      <w:rFonts w:eastAsia="Calibri" w:cs="Times New Roman"/>
      <w:noProof/>
      <w:sz w:val="20"/>
      <w:szCs w:val="23"/>
      <w:lang w:eastAsia="cs-CZ"/>
    </w:rPr>
  </w:style>
  <w:style w:type="paragraph" w:customStyle="1" w:styleId="YSOdrkyrovn1">
    <w:name w:val="YS: Odrážky úrovně 1"/>
    <w:basedOn w:val="YSNormln"/>
    <w:qFormat/>
    <w:rsid w:val="006B5D3E"/>
    <w:pPr>
      <w:contextualSpacing/>
    </w:pPr>
  </w:style>
  <w:style w:type="table" w:customStyle="1" w:styleId="YSTabulka1">
    <w:name w:val="YS: Tabulka 1"/>
    <w:basedOn w:val="Svtlmkatabulky"/>
    <w:uiPriority w:val="99"/>
    <w:rsid w:val="008C3C42"/>
    <w:pPr>
      <w:spacing w:before="120" w:after="120"/>
      <w:ind w:left="57" w:right="57"/>
    </w:pPr>
    <w:rPr>
      <w:rFonts w:ascii="Calibri" w:eastAsia="Calibri" w:hAnsi="Calibri" w:cs="Times New Roman"/>
      <w:sz w:val="18"/>
      <w:szCs w:val="20"/>
      <w:lang w:eastAsia="cs-CZ"/>
    </w:rPr>
    <w:tblPr>
      <w:tblStyleRowBandSize w:val="1"/>
      <w:jc w:val="center"/>
      <w:tblBorders>
        <w:top w:val="single" w:sz="4" w:space="0" w:color="2B3593"/>
        <w:left w:val="single" w:sz="4" w:space="0" w:color="2B3593"/>
        <w:bottom w:val="single" w:sz="4" w:space="0" w:color="2B3593"/>
        <w:right w:val="single" w:sz="4" w:space="0" w:color="2B3593"/>
        <w:insideH w:val="single" w:sz="4" w:space="0" w:color="2B3593"/>
        <w:insideV w:val="single" w:sz="4" w:space="0" w:color="2B3593"/>
      </w:tblBorders>
      <w:tblCellMar>
        <w:left w:w="0" w:type="dxa"/>
        <w:right w:w="0" w:type="dxa"/>
      </w:tblCellMar>
    </w:tblPr>
    <w:trPr>
      <w:jc w:val="center"/>
    </w:trPr>
    <w:tcPr>
      <w:shd w:val="clear" w:color="auto" w:fill="FFFFFF" w:themeFill="background1"/>
      <w:vAlign w:val="center"/>
    </w:tcPr>
    <w:tblStylePr w:type="firstRow">
      <w:rPr>
        <w:b/>
        <w:color w:val="FFFFFF" w:themeColor="background1"/>
      </w:rPr>
      <w:tblPr/>
      <w:tcPr>
        <w:tcBorders>
          <w:top w:val="nil"/>
          <w:left w:val="nil"/>
          <w:bottom w:val="nil"/>
          <w:right w:val="nil"/>
          <w:insideH w:val="nil"/>
          <w:insideV w:val="single" w:sz="4" w:space="0" w:color="FFFFFF" w:themeColor="background1"/>
        </w:tcBorders>
        <w:shd w:val="clear" w:color="auto" w:fill="2B3593"/>
      </w:tcPr>
    </w:tblStylePr>
    <w:tblStylePr w:type="lastRow">
      <w:rPr>
        <w:b/>
      </w:rPr>
      <w:tblPr/>
      <w:tcPr>
        <w:shd w:val="clear" w:color="auto" w:fill="BFBFBF" w:themeFill="background1" w:themeFillShade="BF"/>
      </w:tcPr>
    </w:tblStylePr>
    <w:tblStylePr w:type="firstCol">
      <w:rPr>
        <w:b w:val="0"/>
      </w:rPr>
    </w:tblStylePr>
    <w:tblStylePr w:type="lastCol">
      <w:rPr>
        <w:b w:val="0"/>
      </w:rPr>
    </w:tblStylePr>
  </w:style>
  <w:style w:type="table" w:styleId="Svtlmkatabulky">
    <w:name w:val="Grid Table Light"/>
    <w:basedOn w:val="Normlntabulka"/>
    <w:uiPriority w:val="40"/>
    <w:rsid w:val="006B5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YSTexttabulky">
    <w:name w:val="YS: Text tabulky"/>
    <w:basedOn w:val="YSNormln"/>
    <w:qFormat/>
    <w:rsid w:val="00F6623A"/>
    <w:pPr>
      <w:keepNext/>
      <w:keepLines/>
      <w:spacing w:before="60" w:after="60" w:line="260" w:lineRule="exact"/>
      <w:ind w:left="62" w:right="62" w:firstLine="0"/>
      <w:jc w:val="left"/>
    </w:pPr>
    <w:rPr>
      <w:color w:val="000000" w:themeColor="text1"/>
    </w:rPr>
  </w:style>
  <w:style w:type="paragraph" w:customStyle="1" w:styleId="YSZpatLich">
    <w:name w:val="YS: Zápatí: Liché"/>
    <w:basedOn w:val="Zpat"/>
    <w:qFormat/>
    <w:rsid w:val="006B5D3E"/>
    <w:pPr>
      <w:jc w:val="right"/>
    </w:pPr>
    <w:rPr>
      <w:rFonts w:eastAsia="Calibri" w:cs="Times New Roman"/>
      <w:b/>
      <w:sz w:val="18"/>
      <w:szCs w:val="20"/>
      <w:lang w:eastAsia="cs-CZ"/>
    </w:rPr>
  </w:style>
  <w:style w:type="paragraph" w:styleId="Zpat">
    <w:name w:val="footer"/>
    <w:basedOn w:val="Normln"/>
    <w:link w:val="ZpatChar"/>
    <w:uiPriority w:val="99"/>
    <w:unhideWhenUsed/>
    <w:rsid w:val="006B5D3E"/>
    <w:pPr>
      <w:tabs>
        <w:tab w:val="center" w:pos="4536"/>
        <w:tab w:val="right" w:pos="9072"/>
      </w:tabs>
      <w:spacing w:after="0" w:line="240" w:lineRule="auto"/>
    </w:pPr>
  </w:style>
  <w:style w:type="character" w:customStyle="1" w:styleId="ZpatChar">
    <w:name w:val="Zápatí Char"/>
    <w:basedOn w:val="Standardnpsmoodstavce"/>
    <w:link w:val="Zpat"/>
    <w:uiPriority w:val="99"/>
    <w:rsid w:val="006B5D3E"/>
  </w:style>
  <w:style w:type="paragraph" w:customStyle="1" w:styleId="YSZpatSud">
    <w:name w:val="YS: Zápatí: Sudé"/>
    <w:basedOn w:val="YSZpatLich"/>
    <w:qFormat/>
    <w:rsid w:val="006B5D3E"/>
    <w:pPr>
      <w:jc w:val="left"/>
    </w:pPr>
  </w:style>
  <w:style w:type="paragraph" w:customStyle="1" w:styleId="YSZdrojtabulkyiobrzku">
    <w:name w:val="YS: Zdroj tabulky či obrázku"/>
    <w:basedOn w:val="YSNormln"/>
    <w:qFormat/>
    <w:rsid w:val="006B5D3E"/>
    <w:pPr>
      <w:spacing w:before="40" w:line="280" w:lineRule="exact"/>
      <w:jc w:val="center"/>
    </w:pPr>
    <w:rPr>
      <w:color w:val="2B3593"/>
    </w:rPr>
  </w:style>
  <w:style w:type="character" w:customStyle="1" w:styleId="YSZvraznnTun">
    <w:name w:val="YS: Zvýraznění: Tučné"/>
    <w:basedOn w:val="Standardnpsmoodstavce"/>
    <w:uiPriority w:val="1"/>
    <w:qFormat/>
    <w:rsid w:val="006B5D3E"/>
    <w:rPr>
      <w:b/>
    </w:rPr>
  </w:style>
  <w:style w:type="paragraph" w:styleId="Zhlav">
    <w:name w:val="header"/>
    <w:basedOn w:val="Normln"/>
    <w:link w:val="ZhlavChar"/>
    <w:uiPriority w:val="99"/>
    <w:unhideWhenUsed/>
    <w:rsid w:val="008072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273"/>
  </w:style>
  <w:style w:type="table" w:styleId="Mkatabulky">
    <w:name w:val="Table Grid"/>
    <w:basedOn w:val="Normlntabulka"/>
    <w:uiPriority w:val="59"/>
    <w:rsid w:val="00450023"/>
    <w:pPr>
      <w:spacing w:after="0" w:line="240" w:lineRule="auto"/>
    </w:pPr>
    <w:rPr>
      <w:rFonts w:eastAsia="Calibri" w:cs="Times New Roman"/>
      <w:sz w:val="20"/>
      <w:szCs w:val="20"/>
      <w:lang w:eastAsia="cs-CZ"/>
    </w:rPr>
    <w:tblPr>
      <w:tblStyleRowBandSize w:val="1"/>
      <w:tblStyleColBandSize w:val="1"/>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Pr>
  </w:style>
  <w:style w:type="paragraph" w:customStyle="1" w:styleId="Pa0">
    <w:name w:val="Pa0"/>
    <w:basedOn w:val="Normln"/>
    <w:next w:val="Normln"/>
    <w:uiPriority w:val="99"/>
    <w:rsid w:val="00807273"/>
    <w:pPr>
      <w:autoSpaceDE w:val="0"/>
      <w:autoSpaceDN w:val="0"/>
      <w:adjustRightInd w:val="0"/>
      <w:spacing w:after="0" w:line="241" w:lineRule="atLeast"/>
    </w:pPr>
    <w:rPr>
      <w:rFonts w:ascii="Calibri" w:hAnsi="Calibri"/>
      <w:sz w:val="24"/>
      <w:szCs w:val="24"/>
    </w:rPr>
  </w:style>
  <w:style w:type="character" w:customStyle="1" w:styleId="A0">
    <w:name w:val="A0"/>
    <w:uiPriority w:val="99"/>
    <w:rsid w:val="00807273"/>
    <w:rPr>
      <w:rFonts w:cs="Calibri"/>
      <w:color w:val="000000"/>
      <w:sz w:val="16"/>
      <w:szCs w:val="16"/>
    </w:rPr>
  </w:style>
  <w:style w:type="paragraph" w:styleId="Odstavecseseznamem">
    <w:name w:val="List Paragraph"/>
    <w:aliases w:val="YS: Odstavec se seznamem"/>
    <w:basedOn w:val="Normln"/>
    <w:uiPriority w:val="34"/>
    <w:qFormat/>
    <w:rsid w:val="000D5061"/>
    <w:pPr>
      <w:ind w:left="720"/>
      <w:contextualSpacing/>
    </w:pPr>
    <w:rPr>
      <w:sz w:val="20"/>
    </w:rPr>
  </w:style>
  <w:style w:type="character" w:customStyle="1" w:styleId="Nadpis2Char">
    <w:name w:val="Nadpis 2 Char"/>
    <w:basedOn w:val="Standardnpsmoodstavce"/>
    <w:link w:val="Nadpis2"/>
    <w:rsid w:val="00204240"/>
    <w:rPr>
      <w:rFonts w:ascii="Times New Roman" w:eastAsia="Times New Roman" w:hAnsi="Times New Roman" w:cs="Times New Roman"/>
      <w:sz w:val="24"/>
      <w:szCs w:val="20"/>
    </w:rPr>
  </w:style>
  <w:style w:type="character" w:customStyle="1" w:styleId="Nadpis1Char">
    <w:name w:val="Nadpis 1 Char"/>
    <w:basedOn w:val="Standardnpsmoodstavce"/>
    <w:link w:val="Nadpis1"/>
    <w:uiPriority w:val="9"/>
    <w:rsid w:val="0020424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0D5061"/>
    <w:rPr>
      <w:rFonts w:asciiTheme="majorHAnsi" w:eastAsiaTheme="majorEastAsia" w:hAnsiTheme="majorHAnsi" w:cstheme="majorBidi"/>
      <w:color w:val="1F4D78" w:themeColor="accent1" w:themeShade="7F"/>
      <w:sz w:val="24"/>
      <w:szCs w:val="24"/>
    </w:rPr>
  </w:style>
  <w:style w:type="paragraph" w:customStyle="1" w:styleId="Bodyby">
    <w:name w:val="Body.by"/>
    <w:basedOn w:val="Normln"/>
    <w:rsid w:val="006A0C53"/>
    <w:pPr>
      <w:overflowPunct w:val="0"/>
      <w:autoSpaceDE w:val="0"/>
      <w:autoSpaceDN w:val="0"/>
      <w:adjustRightInd w:val="0"/>
      <w:spacing w:after="130" w:line="260" w:lineRule="exact"/>
      <w:textAlignment w:val="baseline"/>
    </w:pPr>
    <w:rPr>
      <w:rFonts w:ascii="Times New Roman" w:eastAsia="Times New Roman" w:hAnsi="Times New Roman" w:cs="Times New Roman"/>
      <w:lang w:val="en-US" w:bidi="en-US"/>
    </w:rPr>
  </w:style>
  <w:style w:type="paragraph" w:styleId="Zkladntextodsazen">
    <w:name w:val="Body Text Indent"/>
    <w:basedOn w:val="Normln"/>
    <w:link w:val="ZkladntextodsazenChar"/>
    <w:rsid w:val="008C3C42"/>
    <w:pPr>
      <w:spacing w:after="120" w:line="240" w:lineRule="auto"/>
      <w:ind w:left="360"/>
      <w:jc w:val="both"/>
    </w:pPr>
    <w:rPr>
      <w:rFonts w:ascii="Garamond" w:eastAsia="Times New Roman" w:hAnsi="Garamond" w:cs="Times New Roman"/>
      <w:sz w:val="24"/>
      <w:szCs w:val="20"/>
      <w:lang w:eastAsia="cs-CZ"/>
    </w:rPr>
  </w:style>
  <w:style w:type="character" w:customStyle="1" w:styleId="ZkladntextodsazenChar">
    <w:name w:val="Základní text odsazený Char"/>
    <w:basedOn w:val="Standardnpsmoodstavce"/>
    <w:link w:val="Zkladntextodsazen"/>
    <w:rsid w:val="008C3C42"/>
    <w:rPr>
      <w:rFonts w:ascii="Garamond" w:eastAsia="Times New Roman" w:hAnsi="Garamond" w:cs="Times New Roman"/>
      <w:sz w:val="24"/>
      <w:szCs w:val="20"/>
      <w:lang w:eastAsia="cs-CZ"/>
    </w:rPr>
  </w:style>
  <w:style w:type="paragraph" w:styleId="Normlnodsazen">
    <w:name w:val="Normal Indent"/>
    <w:basedOn w:val="Normln"/>
    <w:rsid w:val="008C3C42"/>
    <w:pPr>
      <w:overflowPunct w:val="0"/>
      <w:autoSpaceDE w:val="0"/>
      <w:autoSpaceDN w:val="0"/>
      <w:adjustRightInd w:val="0"/>
      <w:spacing w:after="0" w:line="280" w:lineRule="atLeast"/>
      <w:ind w:left="720"/>
      <w:jc w:val="both"/>
      <w:textAlignment w:val="baseline"/>
    </w:pPr>
    <w:rPr>
      <w:rFonts w:ascii="Times New Roman" w:eastAsia="Times New Roman" w:hAnsi="Times New Roman" w:cs="Times New Roman"/>
      <w:sz w:val="24"/>
      <w:szCs w:val="20"/>
    </w:rPr>
  </w:style>
  <w:style w:type="paragraph" w:customStyle="1" w:styleId="Textnormln">
    <w:name w:val="Text normální"/>
    <w:link w:val="TextnormlnChar"/>
    <w:rsid w:val="00EB3BA5"/>
    <w:pPr>
      <w:overflowPunct w:val="0"/>
      <w:autoSpaceDE w:val="0"/>
      <w:autoSpaceDN w:val="0"/>
      <w:adjustRightInd w:val="0"/>
      <w:spacing w:before="60" w:after="80" w:line="240" w:lineRule="auto"/>
      <w:ind w:left="170"/>
    </w:pPr>
    <w:rPr>
      <w:rFonts w:ascii="Arial" w:eastAsia="Times New Roman" w:hAnsi="Arial" w:cs="Times New Roman"/>
      <w:sz w:val="20"/>
      <w:szCs w:val="17"/>
      <w:lang w:eastAsia="cs-CZ"/>
    </w:rPr>
  </w:style>
  <w:style w:type="character" w:customStyle="1" w:styleId="TextnormlnChar">
    <w:name w:val="Text normální Char"/>
    <w:basedOn w:val="Standardnpsmoodstavce"/>
    <w:link w:val="Textnormln"/>
    <w:rsid w:val="00EB3BA5"/>
    <w:rPr>
      <w:rFonts w:ascii="Arial" w:eastAsia="Times New Roman" w:hAnsi="Arial" w:cs="Times New Roman"/>
      <w:sz w:val="20"/>
      <w:szCs w:val="17"/>
      <w:lang w:eastAsia="cs-CZ"/>
    </w:rPr>
  </w:style>
  <w:style w:type="paragraph" w:styleId="Zkladntext">
    <w:name w:val="Body Text"/>
    <w:basedOn w:val="Normln"/>
    <w:link w:val="ZkladntextChar"/>
    <w:uiPriority w:val="99"/>
    <w:semiHidden/>
    <w:unhideWhenUsed/>
    <w:rsid w:val="00B91B76"/>
    <w:pPr>
      <w:spacing w:after="120"/>
    </w:pPr>
  </w:style>
  <w:style w:type="character" w:customStyle="1" w:styleId="ZkladntextChar">
    <w:name w:val="Základní text Char"/>
    <w:basedOn w:val="Standardnpsmoodstavce"/>
    <w:link w:val="Zkladntext"/>
    <w:uiPriority w:val="99"/>
    <w:semiHidden/>
    <w:rsid w:val="00B9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AE38E052D1AC45BA17AAB461B2DF2F" ma:contentTypeVersion="10" ma:contentTypeDescription="Vytvoří nový dokument" ma:contentTypeScope="" ma:versionID="d32b372b03efeecee7c8478605c56e3c">
  <xsd:schema xmlns:xsd="http://www.w3.org/2001/XMLSchema" xmlns:xs="http://www.w3.org/2001/XMLSchema" xmlns:p="http://schemas.microsoft.com/office/2006/metadata/properties" xmlns:ns3="f0ea5fb9-33b8-4f73-917c-ec9e9e5d89cf" xmlns:ns4="6bb01a45-b159-467e-8f54-fa2147023217" targetNamespace="http://schemas.microsoft.com/office/2006/metadata/properties" ma:root="true" ma:fieldsID="726415437bcfd1e2552c6e7eef42aedb" ns3:_="" ns4:_="">
    <xsd:import namespace="f0ea5fb9-33b8-4f73-917c-ec9e9e5d89cf"/>
    <xsd:import namespace="6bb01a45-b159-467e-8f54-fa2147023217"/>
    <xsd:element name="properties">
      <xsd:complexType>
        <xsd:sequence>
          <xsd:element name="documentManagement">
            <xsd:complexType>
              <xsd:all>
                <xsd:element ref="ns3:SharedWithUsers" minOccurs="0"/>
                <xsd:element ref="ns3:SharedWithDetails" minOccurs="0"/>
                <xsd:element ref="ns4:MediaServiceMetadata" minOccurs="0"/>
                <xsd:element ref="ns4:MediaServiceFastMetadata" minOccurs="0"/>
                <xsd:element ref="ns4:_x0160_ablona_x0020_Off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a5fb9-33b8-4f73-917c-ec9e9e5d89c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01a45-b159-467e-8f54-fa214702321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_x0160_ablona_x0020_Office" ma:index="16" nillable="true" ma:displayName="Šablona Office" ma:description="Šablona přímo v aplikacích Word, Excel, PowerPoint" ma:format="Dropdown" ma:internalName="_x0160_ablona_x0020_Office">
      <xsd:simpleType>
        <xsd:restriction base="dms:Choice">
          <xsd:enumeration value="Nákup"/>
          <xsd:enumeration value="Obecné"/>
          <xsd:enumeration value="Obchod"/>
          <xsd:enumeration value="Octo"/>
          <xsd:enumeration value="Personalistika"/>
          <xsd:enumeration value="Protokoly"/>
          <xsd:enumeration value="Servisní protokoly"/>
          <xsd:enumeration value="Servisní smlouv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or"/>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9" ma:displayName="Komentář"/>
        <xsd:element name="keywords" minOccurs="0" maxOccurs="1" type="xsd:string" ma:index="8" ma:displayName="Klíčová slova"/>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160_ablona_x0020_Office xmlns="6bb01a45-b159-467e-8f54-fa2147023217" xsi:nil="true"/>
  </documentManagement>
</p:properties>
</file>

<file path=customXml/itemProps1.xml><?xml version="1.0" encoding="utf-8"?>
<ds:datastoreItem xmlns:ds="http://schemas.openxmlformats.org/officeDocument/2006/customXml" ds:itemID="{07ECBFB1-6F0C-4AD9-B214-58DFEB150589}">
  <ds:schemaRefs>
    <ds:schemaRef ds:uri="http://schemas.microsoft.com/sharepoint/v3/contenttype/forms"/>
  </ds:schemaRefs>
</ds:datastoreItem>
</file>

<file path=customXml/itemProps2.xml><?xml version="1.0" encoding="utf-8"?>
<ds:datastoreItem xmlns:ds="http://schemas.openxmlformats.org/officeDocument/2006/customXml" ds:itemID="{5F49DAB4-C9D0-4B62-BF83-3E62A18DF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a5fb9-33b8-4f73-917c-ec9e9e5d89cf"/>
    <ds:schemaRef ds:uri="6bb01a45-b159-467e-8f54-fa2147023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9A054-5CAF-4E75-8577-022CBB1FE930}">
  <ds:schemaRefs>
    <ds:schemaRef ds:uri="http://schemas.microsoft.com/office/2006/metadata/properties"/>
    <ds:schemaRef ds:uri="http://schemas.microsoft.com/office/infopath/2007/PartnerControls"/>
    <ds:schemaRef ds:uri="6bb01a45-b159-467e-8f54-fa214702321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3369</Words>
  <Characters>19878</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Kupní smlouva</vt:lpstr>
    </vt:vector>
  </TitlesOfParts>
  <Company>Your System spol. s r.o.</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brigadnik2</dc:creator>
  <cp:keywords/>
  <dc:description>Prodávající se touto Smlouvou zavazuje dodat Kupujícímu technické vybavení a převést na Kupujícího vlastnické právo (souladu s ustanovením § 2079 a násl. z. č. 89/2012 Sb., občanský zákoník).</dc:description>
  <cp:lastModifiedBy>Dvořáková Anna</cp:lastModifiedBy>
  <cp:revision>2</cp:revision>
  <dcterms:created xsi:type="dcterms:W3CDTF">2023-06-13T07:17:00Z</dcterms:created>
  <dcterms:modified xsi:type="dcterms:W3CDTF">2023-06-13T07:17:00Z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0x01010079AE38E052D1AC45BA17AAB461B2DF2F</vt:lpwstr>
  </property>
</Properties>
</file>