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1210600022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Správa</w:t>
      </w:r>
      <w:r>
        <w:rPr>
          <w:spacing w:val="-4"/>
        </w:rPr>
        <w:t> </w:t>
      </w:r>
      <w:r>
        <w:rPr/>
        <w:t>Národního</w:t>
      </w:r>
      <w:r>
        <w:rPr>
          <w:spacing w:val="-2"/>
        </w:rPr>
        <w:t> </w:t>
      </w:r>
      <w:r>
        <w:rPr/>
        <w:t>parku</w:t>
      </w:r>
      <w:r>
        <w:rPr>
          <w:spacing w:val="-3"/>
        </w:rPr>
        <w:t> </w:t>
      </w:r>
      <w:r>
        <w:rPr/>
        <w:t>České</w:t>
      </w:r>
      <w:r>
        <w:rPr>
          <w:spacing w:val="-4"/>
        </w:rPr>
        <w:t> </w:t>
      </w:r>
      <w:r>
        <w:rPr/>
        <w:t>Švýcarsko</w:t>
      </w:r>
    </w:p>
    <w:p>
      <w:pPr>
        <w:pStyle w:val="BodyText"/>
        <w:spacing w:line="265" w:lineRule="exact" w:before="1"/>
        <w:ind w:left="382"/>
        <w:jc w:val="left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Pražská</w:t>
      </w:r>
      <w:r>
        <w:rPr>
          <w:spacing w:val="-4"/>
        </w:rPr>
        <w:t> </w:t>
      </w:r>
      <w:r>
        <w:rPr/>
        <w:t>457/52,</w:t>
      </w:r>
      <w:r>
        <w:rPr>
          <w:spacing w:val="-3"/>
        </w:rPr>
        <w:t> </w:t>
      </w:r>
      <w:r>
        <w:rPr/>
        <w:t>407</w:t>
      </w:r>
      <w:r>
        <w:rPr>
          <w:spacing w:val="-1"/>
        </w:rPr>
        <w:t> </w:t>
      </w:r>
      <w:r>
        <w:rPr/>
        <w:t>46</w:t>
      </w:r>
      <w:r>
        <w:rPr>
          <w:spacing w:val="-3"/>
        </w:rPr>
        <w:t> </w:t>
      </w:r>
      <w:r>
        <w:rPr/>
        <w:t>Krásná</w:t>
      </w:r>
      <w:r>
        <w:rPr>
          <w:spacing w:val="-3"/>
        </w:rPr>
        <w:t> </w:t>
      </w:r>
      <w:r>
        <w:rPr/>
        <w:t>Lípa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IČO:</w:t>
        <w:tab/>
        <w:t>06342477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zastoupená: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4"/>
        </w:rPr>
        <w:t> </w:t>
      </w:r>
      <w:r>
        <w:rPr/>
        <w:t>K ř</w:t>
      </w:r>
      <w:r>
        <w:rPr>
          <w:spacing w:val="-2"/>
        </w:rPr>
        <w:t> </w:t>
      </w:r>
      <w:r>
        <w:rPr/>
        <w:t>í</w:t>
      </w:r>
      <w:r>
        <w:rPr>
          <w:spacing w:val="-2"/>
        </w:rPr>
        <w:t> </w:t>
      </w:r>
      <w:r>
        <w:rPr/>
        <w:t>ž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477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10006-5331431/0710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30"/>
      </w:pPr>
      <w:r>
        <w:rPr/>
        <w:t>„Smlouva“) se uzavírá na základě Rozhodnutí ministra životního prostředí č. 1210600022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33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25" w:header="0" w:top="1060" w:bottom="162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394"/>
        <w:jc w:val="left"/>
      </w:pPr>
      <w:r>
        <w:rPr/>
        <w:t>„Údolím</w:t>
      </w:r>
      <w:r>
        <w:rPr>
          <w:spacing w:val="-3"/>
        </w:rPr>
        <w:t> </w:t>
      </w:r>
      <w:r>
        <w:rPr/>
        <w:t>říčky</w:t>
      </w:r>
      <w:r>
        <w:rPr>
          <w:spacing w:val="-2"/>
        </w:rPr>
        <w:t> </w:t>
      </w:r>
      <w:r>
        <w:rPr/>
        <w:t>Křinice</w:t>
      </w:r>
      <w:r>
        <w:rPr>
          <w:spacing w:val="-2"/>
        </w:rPr>
        <w:t> </w:t>
      </w:r>
      <w:r>
        <w:rPr/>
        <w:t>všemi</w:t>
      </w:r>
      <w:r>
        <w:rPr>
          <w:spacing w:val="-2"/>
        </w:rPr>
        <w:t> </w:t>
      </w:r>
      <w:r>
        <w:rPr/>
        <w:t>smysly“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až</w:t>
      </w:r>
      <w:r>
        <w:rPr>
          <w:spacing w:val="-2"/>
        </w:rPr>
        <w:t> </w:t>
      </w:r>
      <w:r>
        <w:rPr/>
        <w:t>2025.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945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446,04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devět set</w:t>
      </w:r>
      <w:r>
        <w:rPr>
          <w:spacing w:val="1"/>
          <w:sz w:val="20"/>
        </w:rPr>
        <w:t> </w:t>
      </w:r>
      <w:r>
        <w:rPr>
          <w:sz w:val="20"/>
        </w:rPr>
        <w:t>čtyřicet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 čtyřicet</w:t>
      </w:r>
      <w:r>
        <w:rPr>
          <w:spacing w:val="-2"/>
          <w:sz w:val="20"/>
        </w:rPr>
        <w:t> </w:t>
      </w:r>
      <w:r>
        <w:rPr>
          <w:sz w:val="20"/>
        </w:rPr>
        <w:t>šest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4"/>
          <w:sz w:val="20"/>
        </w:rPr>
        <w:t> </w:t>
      </w:r>
      <w:r>
        <w:rPr>
          <w:sz w:val="20"/>
        </w:rPr>
        <w:t>haléře).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</w:t>
      </w:r>
      <w:r>
        <w:rPr>
          <w:spacing w:val="1"/>
          <w:sz w:val="20"/>
        </w:rPr>
        <w:t> </w:t>
      </w:r>
      <w:r>
        <w:rPr>
          <w:sz w:val="20"/>
        </w:rPr>
        <w:t>112</w:t>
      </w:r>
      <w:r>
        <w:rPr>
          <w:spacing w:val="1"/>
          <w:sz w:val="20"/>
        </w:rPr>
        <w:t> </w:t>
      </w:r>
      <w:r>
        <w:rPr>
          <w:sz w:val="20"/>
        </w:rPr>
        <w:t>289,46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9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3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124" w:after="0"/>
        <w:ind w:left="665" w:right="13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6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/>
        <w:t>III.</w:t>
      </w:r>
    </w:p>
    <w:p>
      <w:pPr>
        <w:pStyle w:val="Heading2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2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2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4895"/>
      </w:tblGrid>
      <w:tr>
        <w:trPr>
          <w:trHeight w:val="506" w:hRule="atLeast"/>
        </w:trPr>
        <w:tc>
          <w:tcPr>
            <w:tcW w:w="4503" w:type="dxa"/>
          </w:tcPr>
          <w:p>
            <w:pPr>
              <w:pStyle w:val="TableParagraph"/>
              <w:spacing w:before="120"/>
              <w:ind w:left="198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95" w:type="dxa"/>
          </w:tcPr>
          <w:p>
            <w:pPr>
              <w:pStyle w:val="TableParagraph"/>
              <w:spacing w:before="120"/>
              <w:ind w:left="0" w:right="1957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03" w:type="dxa"/>
          </w:tcPr>
          <w:p>
            <w:pPr>
              <w:pStyle w:val="TableParagraph"/>
              <w:spacing w:before="120"/>
              <w:ind w:left="2034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95" w:type="dxa"/>
          </w:tcPr>
          <w:p>
            <w:pPr>
              <w:pStyle w:val="TableParagraph"/>
              <w:spacing w:before="120"/>
              <w:ind w:left="0" w:right="1956"/>
              <w:jc w:val="right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446,04</w:t>
            </w:r>
          </w:p>
        </w:tc>
      </w:tr>
      <w:tr>
        <w:trPr>
          <w:trHeight w:val="506" w:hRule="atLeast"/>
        </w:trPr>
        <w:tc>
          <w:tcPr>
            <w:tcW w:w="4503" w:type="dxa"/>
          </w:tcPr>
          <w:p>
            <w:pPr>
              <w:pStyle w:val="TableParagraph"/>
              <w:spacing w:before="120"/>
              <w:ind w:left="2034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4895" w:type="dxa"/>
          </w:tcPr>
          <w:p>
            <w:pPr>
              <w:pStyle w:val="TableParagraph"/>
              <w:spacing w:before="120"/>
              <w:ind w:left="0" w:right="195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40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 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18" w:after="0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121" w:after="0"/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0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35" w:right="468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52" w:right="2310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25" w:top="1060" w:bottom="1660" w:left="1320" w:right="1000"/>
          <w:cols w:num="2" w:equalWidth="0">
            <w:col w:w="2266" w:space="40"/>
            <w:col w:w="761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94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provedena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projektové</w:t>
      </w:r>
      <w:r>
        <w:rPr>
          <w:spacing w:val="-4"/>
          <w:sz w:val="20"/>
        </w:rPr>
        <w:t> </w:t>
      </w:r>
      <w:r>
        <w:rPr>
          <w:sz w:val="20"/>
        </w:rPr>
        <w:t>dokumentace</w:t>
      </w:r>
      <w:r>
        <w:rPr>
          <w:spacing w:val="-4"/>
          <w:sz w:val="20"/>
        </w:rPr>
        <w:t> </w:t>
      </w:r>
      <w:r>
        <w:rPr>
          <w:sz w:val="20"/>
        </w:rPr>
        <w:t>"Údolím</w:t>
      </w:r>
      <w:r>
        <w:rPr>
          <w:spacing w:val="-4"/>
          <w:sz w:val="20"/>
        </w:rPr>
        <w:t> </w:t>
      </w:r>
      <w:r>
        <w:rPr>
          <w:sz w:val="20"/>
        </w:rPr>
        <w:t>říčky</w:t>
      </w:r>
      <w:r>
        <w:rPr>
          <w:spacing w:val="-4"/>
          <w:sz w:val="20"/>
        </w:rPr>
        <w:t> </w:t>
      </w:r>
      <w:r>
        <w:rPr>
          <w:sz w:val="20"/>
        </w:rPr>
        <w:t>Křinice</w:t>
      </w:r>
      <w:r>
        <w:rPr>
          <w:spacing w:val="-4"/>
          <w:sz w:val="20"/>
        </w:rPr>
        <w:t> </w:t>
      </w:r>
      <w:r>
        <w:rPr>
          <w:sz w:val="20"/>
        </w:rPr>
        <w:t>všemi</w:t>
      </w:r>
      <w:r>
        <w:rPr>
          <w:spacing w:val="-3"/>
          <w:sz w:val="20"/>
        </w:rPr>
        <w:t> </w:t>
      </w:r>
      <w:r>
        <w:rPr>
          <w:sz w:val="20"/>
        </w:rPr>
        <w:t>smysly",</w:t>
      </w:r>
      <w:r>
        <w:rPr>
          <w:spacing w:val="-53"/>
          <w:sz w:val="20"/>
        </w:rPr>
        <w:t> </w:t>
      </w:r>
      <w:r>
        <w:rPr>
          <w:sz w:val="20"/>
        </w:rPr>
        <w:t>zpracované</w:t>
      </w:r>
      <w:r>
        <w:rPr>
          <w:spacing w:val="-2"/>
          <w:sz w:val="20"/>
        </w:rPr>
        <w:t> </w:t>
      </w:r>
      <w:r>
        <w:rPr>
          <w:sz w:val="20"/>
        </w:rPr>
        <w:t>Mgr. Milenou Nagelovou (10/2021),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075" w:hanging="286"/>
        <w:jc w:val="both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> </w:t>
      </w:r>
      <w:r>
        <w:rPr>
          <w:sz w:val="20"/>
        </w:rPr>
        <w:t>naučnou</w:t>
      </w:r>
      <w:r>
        <w:rPr>
          <w:spacing w:val="-2"/>
          <w:sz w:val="20"/>
        </w:rPr>
        <w:t> </w:t>
      </w:r>
      <w:r>
        <w:rPr>
          <w:sz w:val="20"/>
        </w:rPr>
        <w:t>stezku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zastaveními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3"/>
          <w:sz w:val="20"/>
        </w:rPr>
        <w:t> </w:t>
      </w:r>
      <w:r>
        <w:rPr>
          <w:sz w:val="20"/>
        </w:rPr>
        <w:t>instalace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ks mobiliáře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52"/>
          <w:sz w:val="20"/>
        </w:rPr>
        <w:t> </w:t>
      </w:r>
      <w:r>
        <w:rPr>
          <w:sz w:val="20"/>
        </w:rPr>
        <w:t>infrastrukturních</w:t>
      </w:r>
      <w:r>
        <w:rPr>
          <w:spacing w:val="-1"/>
          <w:sz w:val="20"/>
        </w:rPr>
        <w:t> </w:t>
      </w:r>
      <w:r>
        <w:rPr>
          <w:sz w:val="20"/>
        </w:rPr>
        <w:t>prvků,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8"/>
          <w:sz w:val="20"/>
        </w:rPr>
        <w:t> </w:t>
      </w:r>
      <w:r>
        <w:rPr>
          <w:sz w:val="20"/>
        </w:rPr>
        <w:t>souhlas</w:t>
      </w:r>
      <w:r>
        <w:rPr>
          <w:spacing w:val="-52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3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3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27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5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3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konce</w:t>
      </w:r>
      <w:r>
        <w:rPr>
          <w:spacing w:val="-8"/>
          <w:sz w:val="20"/>
        </w:rPr>
        <w:t> </w:t>
      </w:r>
      <w:r>
        <w:rPr>
          <w:sz w:val="20"/>
        </w:rPr>
        <w:t>1/2025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1/2023,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2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4/2025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6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4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25" w:top="1060" w:bottom="162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BodyText"/>
        <w:spacing w:before="120"/>
        <w:ind w:right="12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2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8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3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1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2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4"/>
          <w:sz w:val="20"/>
        </w:rPr>
        <w:t> </w:t>
      </w:r>
      <w:r>
        <w:rPr>
          <w:sz w:val="20"/>
        </w:rPr>
        <w:t>stanovená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5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320" w:right="1000"/>
        </w:sectPr>
      </w:pPr>
    </w:p>
    <w:p>
      <w:pPr>
        <w:pStyle w:val="Heading1"/>
        <w:spacing w:before="73"/>
        <w:ind w:left="3414"/>
      </w:pPr>
      <w:r>
        <w:rPr/>
        <w:t>V.</w:t>
      </w:r>
    </w:p>
    <w:p>
      <w:pPr>
        <w:pStyle w:val="Heading2"/>
        <w:ind w:left="1295" w:right="1047"/>
      </w:pPr>
      <w:r>
        <w:rPr/>
        <w:t>Porušení</w:t>
      </w:r>
      <w:r>
        <w:rPr>
          <w:spacing w:val="-3"/>
        </w:rPr>
        <w:t> </w:t>
      </w:r>
      <w:r>
        <w:rPr/>
        <w:t>smluvních 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3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8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8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3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2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2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33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dojde</w:t>
      </w:r>
      <w:r>
        <w:rPr>
          <w:spacing w:val="-8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8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k),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52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3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417"/>
      </w:pPr>
      <w:r>
        <w:rPr/>
        <w:t>VI.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3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32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0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73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Stanovení</w:t>
      </w:r>
      <w:r>
        <w:rPr>
          <w:spacing w:val="1"/>
        </w:rPr>
        <w:t> </w:t>
      </w:r>
      <w:r>
        <w:rPr/>
        <w:t>odvodů,</w:t>
      </w:r>
      <w:r>
        <w:rPr>
          <w:spacing w:val="1"/>
        </w:rPr>
        <w:t> </w:t>
      </w:r>
      <w:r>
        <w:rPr/>
        <w:t>které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použijí</w:t>
      </w:r>
      <w:r>
        <w:rPr>
          <w:spacing w:val="1"/>
        </w:rPr>
        <w:t> </w:t>
      </w:r>
      <w:r>
        <w:rPr/>
        <w:t>v případě</w:t>
      </w:r>
      <w:r>
        <w:rPr>
          <w:spacing w:val="1"/>
        </w:rPr>
        <w:t> </w:t>
      </w:r>
      <w:r>
        <w:rPr/>
        <w:t>porušení</w:t>
      </w:r>
      <w:r>
        <w:rPr>
          <w:spacing w:val="1"/>
        </w:rPr>
        <w:t> </w:t>
      </w:r>
      <w:r>
        <w:rPr/>
        <w:t>povinností</w:t>
      </w:r>
      <w:r>
        <w:rPr>
          <w:spacing w:val="1"/>
        </w:rPr>
        <w:t> </w:t>
      </w:r>
      <w:r>
        <w:rPr/>
        <w:t>při</w:t>
      </w:r>
      <w:r>
        <w:rPr>
          <w:spacing w:val="1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25" w:top="1060" w:bottom="1660" w:left="1320" w:right="100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</w:t>
      </w:r>
      <w:r>
        <w:rPr>
          <w:spacing w:val="1"/>
        </w:rPr>
        <w:t> </w:t>
      </w:r>
      <w:r>
        <w:rPr/>
        <w:t>se použijí v</w:t>
      </w:r>
      <w:r>
        <w:rPr>
          <w:spacing w:val="1"/>
        </w:rPr>
        <w:t> </w:t>
      </w:r>
      <w:r>
        <w:rPr/>
        <w:t>případě</w:t>
      </w:r>
      <w:r>
        <w:rPr>
          <w:spacing w:val="1"/>
        </w:rPr>
        <w:t> </w:t>
      </w:r>
      <w:r>
        <w:rPr/>
        <w:t>porušení povinností při zadávání zakázek/</w:t>
      </w:r>
      <w:r>
        <w:rPr>
          <w:spacing w:val="1"/>
        </w:rPr>
        <w:t> </w:t>
      </w:r>
      <w:r>
        <w:rPr/>
        <w:t>veřejných</w:t>
      </w:r>
      <w:r>
        <w:rPr>
          <w:spacing w:val="-53"/>
        </w:rPr>
        <w:t> </w:t>
      </w:r>
      <w:r>
        <w:rPr/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53"/>
          <w:sz w:val="20"/>
        </w:rPr>
        <w:t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 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3"/>
          <w:sz w:val="20"/>
        </w:rPr>
        <w:t> </w:t>
      </w:r>
      <w:r>
        <w:rPr>
          <w:sz w:val="20"/>
        </w:rPr>
        <w:t>B.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hlediska</w:t>
      </w:r>
      <w:r>
        <w:rPr>
          <w:spacing w:val="-3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základních</w:t>
      </w:r>
      <w:r>
        <w:rPr>
          <w:spacing w:val="-4"/>
          <w:sz w:val="20"/>
        </w:rPr>
        <w:t> </w:t>
      </w:r>
      <w:r>
        <w:rPr>
          <w:sz w:val="20"/>
        </w:rPr>
        <w:t>zásad</w:t>
      </w:r>
      <w:r>
        <w:rPr>
          <w:spacing w:val="-5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z</w:t>
      </w:r>
      <w:r>
        <w:rPr>
          <w:spacing w:val="-52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4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4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2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 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3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0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3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25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25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9184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2023-06-13T06:50:12Z</dcterms:created>
  <dcterms:modified xsi:type="dcterms:W3CDTF">2023-06-13T06:50:12Z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