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700" w:firstLine="0"/>
        <w:jc w:val="right"/>
        <w:rPr>
          <w:sz w:val="15"/>
          <w:szCs w:val="15"/>
        </w:rPr>
      </w:pPr>
      <w:r>
        <w:rPr>
          <w:rStyle w:val="CharStyle5"/>
          <w:sz w:val="15"/>
          <w:szCs w:val="15"/>
        </w:rPr>
        <w:t>2023004222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305" w:lineRule="auto"/>
        <w:ind w:left="0" w:right="0" w:firstLine="0"/>
        <w:jc w:val="center"/>
      </w:pPr>
      <w:r>
        <w:rPr>
          <w:rStyle w:val="CharStyle3"/>
          <w:b/>
          <w:bCs/>
          <w:u w:val="single"/>
        </w:rPr>
        <w:t>KUPNÍ SMLOUVA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41"/>
        </w:rPr>
        <w:t>uzavřená v souladu s ustanovením § 2079 a násl. zákona č. 89/2012 Sb., občanský zákoník,</w:t>
        <w:br/>
        <w:t>mezi níže uvedenými smluvními stranami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12700</wp:posOffset>
                </wp:positionV>
                <wp:extent cx="1645920" cy="14630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463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549999999999997pt;margin-top:1.pt;width:129.59999999999999pt;height:115.2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MUDr. Hana Albrechtová, ředitelka 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4"/>
          <w:shd w:val="clear" w:color="auto" w:fill="000000"/>
        </w:rPr>
        <w:t>........</w:t>
      </w:r>
      <w:r>
        <w:rPr>
          <w:rStyle w:val="CharStyle3"/>
          <w:spacing w:val="5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3"/>
          <w:u w:val="single"/>
          <w:shd w:val="clear" w:color="auto" w:fill="000000"/>
        </w:rPr>
        <w:t>..........</w:t>
      </w:r>
      <w:r>
        <w:rPr>
          <w:rStyle w:val="CharStyle3"/>
          <w:spacing w:val="4"/>
          <w:u w:val="single"/>
          <w:shd w:val="clear" w:color="auto" w:fill="000000"/>
        </w:rPr>
        <w:t>...</w:t>
      </w:r>
      <w:r>
        <w:rPr>
          <w:rStyle w:val="CharStyle3"/>
          <w:spacing w:val="21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..​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/>
        <w:ind w:left="0" w:right="0" w:firstLine="0"/>
        <w:jc w:val="both"/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„kupující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12700</wp:posOffset>
                </wp:positionV>
                <wp:extent cx="1649095" cy="129857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049999999999997pt;margin-top:1.pt;width:129.84999999999999pt;height:102.25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</w:rPr>
        <w:t>ELVAC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Hasičská 930/53, Hrabůvka, 700 30 Ostrava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Ing. Jaroslav Chýlek, MBA,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  <w:spacing w:val="2"/>
          <w:shd w:val="clear" w:color="auto" w:fill="000000"/>
        </w:rPr>
        <w:t>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​.....................</w:t>
      </w:r>
      <w:r>
        <w:rPr>
          <w:rStyle w:val="CharStyle3"/>
          <w:spacing w:val="1"/>
          <w:shd w:val="clear" w:color="auto" w:fill="000000"/>
        </w:rPr>
        <w:t>...................</w:t>
      </w:r>
      <w:r>
        <w:rPr>
          <w:rStyle w:val="CharStyle3"/>
        </w:rPr>
        <w:t xml:space="preserve"> 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CZ25833812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Krajský soud v Ostravě sp. zn.: B 2179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left"/>
      </w:pPr>
      <w:r>
        <w:rPr>
          <w:rStyle w:val="CharStyle3"/>
        </w:rPr>
        <w:t xml:space="preserve">Česká spořitelna a.s., číslo účtu: 4041192/0800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„prodávající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Prodávající je oprávněn na základě svého vlastnického práva nakládat se zbožím v podobě 19 </w:t>
      </w:r>
      <w:r>
        <w:rPr>
          <w:rStyle w:val="CharStyle3"/>
          <w:b/>
          <w:bCs/>
        </w:rPr>
        <w:t xml:space="preserve">kusů tabletů. </w:t>
      </w: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Prodávající se zavazuje splnit svůj závazek k dodání zboží podle čl. 1 této smlouvy nejpozději do 12 týdnů ode dne účinnosti této smlouvy, a to v místě splnění tohoto závazku, kterým je sídlo kupujícího Kamenice 798/1 d, 625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 xml:space="preserve">1 117 808,00,-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1 352 547,68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výše ceny bude možná pouze na základě změny sazby DPH vyhlášené příslušným zákonem.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Kupující má v úmyslu financovat toto zboží, jež je předmětem této smlouvy, z prostředků z fondu zábrany škod České kanceláře pojistitelů.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A4C1DC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P23V00001546. </w:t>
      </w:r>
      <w:r>
        <w:rPr>
          <w:rStyle w:val="CharStyle3"/>
        </w:rPr>
        <w:t>Přílohou faktury bude předávací protokol.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Není-li dále ujednáno jinak, je s převodem zboží podle čl. 1 této smlouvy spojena záruka za jeho jakost v trvání 60 měsíců 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9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3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93700" distB="12065" distL="0" distR="0" simplePos="0" relativeHeight="12582938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393700</wp:posOffset>
                </wp:positionV>
                <wp:extent cx="1606550" cy="1524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47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450000000000003pt;margin-top:31.pt;width:126.5pt;height:12.pt;z-index:-125829371;mso-wrap-distance-left:0;mso-wrap-distance-top:31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5765" distB="0" distL="0" distR="0" simplePos="0" relativeHeight="125829384" behindDoc="0" locked="0" layoutInCell="1" allowOverlap="1">
                <wp:simplePos x="0" y="0"/>
                <wp:positionH relativeFrom="page">
                  <wp:posOffset>4148455</wp:posOffset>
                </wp:positionH>
                <wp:positionV relativeFrom="paragraph">
                  <wp:posOffset>405765</wp:posOffset>
                </wp:positionV>
                <wp:extent cx="1475105" cy="1524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Ostravě dne 26.05.2023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6.65000000000003pt;margin-top:31.949999999999999pt;width:116.15000000000001pt;height:12.pt;z-index:-125829369;mso-wrap-distance-left:0;mso-wrap-distance-top:31.9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Ostravě dne 26.05.2023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83845" distB="645795" distL="0" distR="0" simplePos="0" relativeHeight="125829386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283845</wp:posOffset>
                </wp:positionV>
                <wp:extent cx="2331720" cy="5549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172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"/>
                                <w:spacing w:val="3"/>
                                <w:sz w:val="15"/>
                                <w:szCs w:val="1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................</w:t>
                            </w:r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bookmarkStart w:id="0" w:name="bookmark0"/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5.150000000000006pt;margin-top:22.350000000000001pt;width:183.59999999999999pt;height:43.700000000000003pt;z-index:-125829367;mso-wrap-distance-left:0;mso-wrap-distance-top:22.350000000000001pt;mso-wrap-distance-right:0;mso-wrap-distance-bottom:50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b/>
                          <w:bCs/>
                          <w:spacing w:val="4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5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pacing w:val="6"/>
                          <w:sz w:val="19"/>
                          <w:szCs w:val="19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"/>
                          <w:spacing w:val="3"/>
                          <w:sz w:val="15"/>
                          <w:szCs w:val="1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5"/>
                          <w:sz w:val="19"/>
                          <w:szCs w:val="1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b/>
                          <w:bCs/>
                          <w:spacing w:val="6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z w:val="15"/>
                          <w:szCs w:val="15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5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................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spacing w:val="1"/>
                          <w:shd w:val="clear" w:color="auto" w:fill="000000"/>
                        </w:rPr>
                        <w:t>..............</w:t>
                      </w:r>
                      <w:bookmarkStart w:id="0" w:name="bookmark0"/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6470" distB="21590" distL="0" distR="0" simplePos="0" relativeHeight="12582938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966470</wp:posOffset>
                </wp:positionV>
                <wp:extent cx="1395730" cy="4965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573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450000000000003pt;margin-top:76.100000000000009pt;width:109.90000000000001pt;height:39.100000000000001pt;z-index:-125829365;mso-wrap-distance-left:0;mso-wrap-distance-top:76.100000000000009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0" distR="0" simplePos="0" relativeHeight="125829390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165100</wp:posOffset>
                </wp:positionV>
                <wp:extent cx="1725295" cy="13195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5295" cy="1319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142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30" w:val="left"/>
                              </w:tabs>
                              <w:bidi w:val="0"/>
                              <w:spacing w:before="0" w:after="0" w:line="178" w:lineRule="auto"/>
                              <w:ind w:left="0" w:right="440" w:firstLine="0"/>
                              <w:jc w:val="right"/>
                            </w:pPr>
                            <w:r>
                              <w:rPr>
                                <w:rStyle w:val="CharStyle5"/>
                                <w:sz w:val="22"/>
                                <w:szCs w:val="22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CharStyle5"/>
                                <w:spacing w:val="1"/>
                                <w:sz w:val="22"/>
                                <w:szCs w:val="2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22"/>
                                <w:szCs w:val="2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  <w:vertAlign w:val="superscript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0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11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4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z w:val="22"/>
                                <w:szCs w:val="2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22"/>
                                <w:szCs w:val="2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z w:val="22"/>
                                <w:szCs w:val="2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4"/>
                                <w:sz w:val="22"/>
                                <w:szCs w:val="2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5"/>
                                <w:sz w:val="22"/>
                                <w:szCs w:val="2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30" w:lineRule="auto"/>
                              <w:ind w:left="142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Jaroslav Chýlek ředitel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6.90000000000003pt;margin-top:13.pt;width:135.84999999999999pt;height:103.90000000000001pt;z-index:-125829363;mso-wrap-distance-left:0;mso-wrap-distance-top:13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1420" w:right="0" w:firstLine="0"/>
                        <w:jc w:val="left"/>
                      </w:pP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30" w:val="left"/>
                        </w:tabs>
                        <w:bidi w:val="0"/>
                        <w:spacing w:before="0" w:after="0" w:line="178" w:lineRule="auto"/>
                        <w:ind w:left="0" w:right="440" w:firstLine="0"/>
                        <w:jc w:val="right"/>
                      </w:pPr>
                      <w:r>
                        <w:rPr>
                          <w:rStyle w:val="CharStyle5"/>
                          <w:sz w:val="22"/>
                          <w:szCs w:val="22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5"/>
                          <w:spacing w:val="1"/>
                          <w:sz w:val="22"/>
                          <w:szCs w:val="2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2"/>
                          <w:sz w:val="22"/>
                          <w:szCs w:val="2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hd w:val="clear" w:color="auto" w:fill="000000"/>
                          <w:vertAlign w:val="superscript"/>
                        </w:rPr>
                        <w:t>​</w:t>
                      </w:r>
                      <w:r>
                        <w:rPr>
                          <w:rStyle w:val="CharStyle5"/>
                          <w:spacing w:val="10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5"/>
                          <w:spacing w:val="11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5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z w:val="22"/>
                          <w:szCs w:val="2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"/>
                          <w:spacing w:val="1"/>
                          <w:sz w:val="22"/>
                          <w:szCs w:val="2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z w:val="22"/>
                          <w:szCs w:val="2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4"/>
                          <w:sz w:val="22"/>
                          <w:szCs w:val="2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5"/>
                          <w:sz w:val="22"/>
                          <w:szCs w:val="2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30" w:lineRule="auto"/>
                        <w:ind w:left="1420" w:right="0" w:firstLine="0"/>
                        <w:jc w:val="left"/>
                      </w:pPr>
                      <w:r>
                        <w:rPr>
                          <w:rStyle w:val="CharStyle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Jaroslav Chýlek 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37" w:right="1191" w:bottom="1471" w:left="1133" w:header="609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Ceník a Technická specifikace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20" w:right="0" w:firstLine="0"/>
        <w:jc w:val="left"/>
      </w:pPr>
      <w:r>
        <w:rPr>
          <w:rStyle w:val="CharStyle59"/>
          <w:b/>
          <w:bCs/>
        </w:rPr>
        <w:t>TECHNICKÁ SPECIFIKACE</w:t>
      </w:r>
    </w:p>
    <w:tbl>
      <w:tblPr>
        <w:tblOverlap w:val="never"/>
        <w:jc w:val="center"/>
        <w:tblLayout w:type="fixed"/>
      </w:tblPr>
      <w:tblGrid>
        <w:gridCol w:w="2928"/>
        <w:gridCol w:w="6634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Model - typové/výrobní označeni: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Výrobce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61"/>
                <w:sz w:val="15"/>
                <w:szCs w:val="15"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19</w:t>
            </w:r>
          </w:p>
        </w:tc>
      </w:tr>
    </w:tbl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2942"/>
        <w:gridCol w:w="3581"/>
        <w:gridCol w:w="3053"/>
      </w:tblGrid>
      <w:tr>
        <w:trPr>
          <w:trHeight w:val="29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1"/>
                <w:b/>
                <w:bCs/>
              </w:rPr>
              <w:t>Tablety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Hodnota parametru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Hodnota nabízená účastníkem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Minimálně 4-jádrový, 8 vláken; 14nm; benchmark 6500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Minimálně 16 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Hard disk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Technologie SSD, minimálně 500 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Možnosti připojeni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LTE, WI-FI, Bluetooth, USB, dokovaci 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Minimálně 10"; rozlišení 1920x1200 WUXGA; dotykový; anti-reflexní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Odolnost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IP 65; MIL-STD810H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Vestavěná přední i zadní kamera, kožený křiž pro držení v ruce, digitizér, vyjímatelná baterie Li-lon s kapacitou minimálně 4300 mAh, napájecí adaptér na 230 V, interní modul RFID čtečka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Windows 10 Pro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 (licence Win 11 Pro)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Kompatibilita se stávajícími systémy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Tablet musí splňovat zpětnou kompatibilitu, tj. plné funkční s již používanými zařízeními, originální dokovaci stanicí a Software MZD a funkce, které zajišťuje.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sz w:val="14"/>
                <w:szCs w:val="14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60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61"/>
                <w:i/>
                <w:iCs/>
                <w:color w:val="D9A4B7"/>
                <w:sz w:val="14"/>
                <w:szCs w:val="14"/>
              </w:rPr>
              <w:t>ano</w:t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143" w:right="1251" w:bottom="1783" w:left="1073" w:header="0" w:footer="1355" w:gutter="0"/>
          <w:cols w:space="720"/>
          <w:noEndnote/>
          <w:rtlGutter w:val="0"/>
          <w:docGrid w:linePitch="360"/>
        </w:sectPr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6" w:right="0" w:firstLine="0"/>
        <w:jc w:val="left"/>
      </w:pPr>
      <w:r>
        <w:rPr>
          <w:rStyle w:val="CharStyle59"/>
          <w:b/>
          <w:bCs/>
        </w:rPr>
        <w:t>CENÍK</w:t>
      </w:r>
    </w:p>
    <w:tbl>
      <w:tblPr>
        <w:tblOverlap w:val="never"/>
        <w:jc w:val="center"/>
        <w:tblLayout w:type="fixed"/>
      </w:tblPr>
      <w:tblGrid>
        <w:gridCol w:w="1392"/>
        <w:gridCol w:w="2117"/>
        <w:gridCol w:w="566"/>
        <w:gridCol w:w="1378"/>
        <w:gridCol w:w="1363"/>
        <w:gridCol w:w="1387"/>
        <w:gridCol w:w="141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Nabízené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Jednotková cena v Kč vč. 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Celková cena v Kč bez DPH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Celková cena v Kč včetně DPH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61"/>
                <w:sz w:val="14"/>
                <w:szCs w:val="14"/>
              </w:rPr>
              <w:t>Tablety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i/>
                <w:iCs/>
                <w:color w:val="D9A4B7"/>
                <w:sz w:val="13"/>
                <w:szCs w:val="13"/>
              </w:rPr>
              <w:t>TOUGHBOOK</w:t>
            </w:r>
            <w:r>
              <w:rPr>
                <w:rStyle w:val="CharStyle61"/>
                <w:color w:val="D9A4B7"/>
                <w:sz w:val="13"/>
                <w:szCs w:val="13"/>
              </w:rPr>
              <w:t xml:space="preserve"> G2 </w:t>
            </w:r>
            <w:r>
              <w:rPr>
                <w:rStyle w:val="CharStyle61"/>
                <w:i/>
                <w:iCs/>
                <w:color w:val="D9A4B7"/>
                <w:sz w:val="13"/>
                <w:szCs w:val="13"/>
              </w:rPr>
              <w:t>MK1 (FZ- G2AZ05WB4)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58 832,00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71 186,72 Kč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1 117 808,00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1 352 547,68 Kč</w:t>
            </w:r>
          </w:p>
        </w:tc>
      </w:tr>
      <w:tr>
        <w:trPr>
          <w:trHeight w:val="341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1 117 808,00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61"/>
                <w:sz w:val="13"/>
                <w:szCs w:val="13"/>
              </w:rPr>
              <w:t>1 352 547,68 Kč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104" w:right="1082" w:bottom="1744" w:left="1204" w:header="0" w:footer="131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955675</wp:posOffset>
              </wp:positionH>
              <wp:positionV relativeFrom="page">
                <wp:posOffset>10144125</wp:posOffset>
              </wp:positionV>
              <wp:extent cx="154813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04_2023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5.25pt;margin-top:798.75pt;width:121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04_2023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1012825</wp:posOffset>
              </wp:positionV>
              <wp:extent cx="111887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88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37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Příloha č. 1 Kupní smlouvy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6.75pt;margin-top:79.75pt;width:88.100000000000009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37"/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Příloha č. 1 Kupní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Nadpis #1_"/>
    <w:basedOn w:val="DefaultParagraphFont"/>
    <w:link w:val="Style17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7">
    <w:name w:val="Záhlaví nebo zápatí (2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Nadpis #2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9">
    <w:name w:val="Titulek tabulky_"/>
    <w:basedOn w:val="DefaultParagraphFont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1">
    <w:name w:val="Jiné_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30" w:line="1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auto"/>
      <w:outlineLvl w:val="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36">
    <w:name w:val="Záhlaví nebo zápatí (2)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0">
    <w:name w:val="Nadpis #2"/>
    <w:basedOn w:val="Normal"/>
    <w:link w:val="CharStyle41"/>
    <w:pPr>
      <w:widowControl w:val="0"/>
      <w:shd w:val="clear" w:color="auto" w:fill="auto"/>
      <w:spacing w:after="460" w:line="290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8">
    <w:name w:val="Titulek tabulky"/>
    <w:basedOn w:val="Normal"/>
    <w:link w:val="CharStyle5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60">
    <w:name w:val="Jiné"/>
    <w:basedOn w:val="Normal"/>
    <w:link w:val="CharStyle61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
</file>