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F4006" w:rsidRDefault="00571CDA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zpracování osobních údajů</w:t>
      </w:r>
    </w:p>
    <w:p w14:paraId="00000002" w14:textId="77777777" w:rsidR="00BF4006" w:rsidRDefault="00571CDA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Správce</w:t>
      </w:r>
    </w:p>
    <w:p w14:paraId="7CA8E1EE" w14:textId="77777777" w:rsidR="00571CDA" w:rsidRDefault="00571CDA" w:rsidP="00571CD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VOŠ a SPŠ, Volyně, Resslova 440</w:t>
      </w:r>
    </w:p>
    <w:p w14:paraId="75F06350" w14:textId="77777777" w:rsidR="00571CDA" w:rsidRDefault="00571CDA" w:rsidP="00571CD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Resslova 440, 387 01 Volyně</w:t>
      </w:r>
    </w:p>
    <w:p w14:paraId="221EFE02" w14:textId="77777777" w:rsidR="00571CDA" w:rsidRDefault="00571CDA" w:rsidP="00571CD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60650494</w:t>
      </w:r>
    </w:p>
    <w:p w14:paraId="1A0355A4" w14:textId="77777777" w:rsidR="00571CDA" w:rsidRDefault="00571CDA" w:rsidP="00571CD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DIČ: CZ 60650494</w:t>
      </w:r>
    </w:p>
    <w:p w14:paraId="0CF92FED" w14:textId="77777777" w:rsidR="00571CDA" w:rsidRDefault="00571CDA" w:rsidP="00571CD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ředitelem školy RNDr. Jiřím Homolkou</w:t>
      </w:r>
    </w:p>
    <w:p w14:paraId="00000008" w14:textId="4EB0452E" w:rsidR="00BF4006" w:rsidRDefault="00571CDA" w:rsidP="00571CD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 xml:space="preserve"> (dále jako „Správce“)</w:t>
      </w:r>
    </w:p>
    <w:p w14:paraId="00000009" w14:textId="77777777" w:rsidR="00BF4006" w:rsidRDefault="00571CDA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BF4006" w:rsidRDefault="00BF4006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BF4006" w:rsidRDefault="00571CDA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Zpracovatel</w:t>
      </w:r>
    </w:p>
    <w:p w14:paraId="0000000C" w14:textId="77777777" w:rsidR="00BF4006" w:rsidRDefault="00571CD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0000000D" w14:textId="77777777" w:rsidR="00BF4006" w:rsidRDefault="00571CD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 : Tomkova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2099, 390 01 Tábor</w:t>
      </w:r>
    </w:p>
    <w:p w14:paraId="0000000E" w14:textId="77777777" w:rsidR="00BF4006" w:rsidRDefault="00571CD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CZ05700582), datová schránka: dvj9x5c</w:t>
      </w:r>
    </w:p>
    <w:p w14:paraId="0000000F" w14:textId="77777777" w:rsidR="00BF4006" w:rsidRDefault="00571CD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0000010" w14:textId="77777777" w:rsidR="00BF4006" w:rsidRDefault="00571CD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„Zpracovatel“)</w:t>
      </w:r>
    </w:p>
    <w:p w14:paraId="00000011" w14:textId="77777777" w:rsidR="00BF4006" w:rsidRDefault="00BF4006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BF4006" w:rsidRDefault="00571CDA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14:paraId="00000013" w14:textId="77777777" w:rsidR="00BF4006" w:rsidRDefault="00BF4006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4" w14:textId="77777777" w:rsidR="00BF4006" w:rsidRDefault="00571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00000015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Správce je správcem osobních údajů ve smyslu ustanovení nařízení Evropského parlamentu a Rady EU č. 2016/679 o ochraně fyzických osob v souvislosti se zpracováním osobních údajů a o volném pohybu těchto údajů a o zrušení směrnice 95/46/ES (obecné nařízení o ochraně osobních údajů) („GDPR“).</w:t>
      </w:r>
    </w:p>
    <w:p w14:paraId="00000016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Správce pověřuje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pracovatele zpracováním osobních údajů třetích osob pro níže popsané účely.</w:t>
      </w:r>
    </w:p>
    <w:p w14:paraId="00000017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Zpracovatel se zavazuje pro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právce v souladu s obecně závaznými právními předpisy a za podmínek ujednaných níže v této smlouvě osobní údaje třetích osob zpracovávat.</w:t>
      </w:r>
    </w:p>
    <w:p w14:paraId="00000018" w14:textId="77777777" w:rsidR="00BF4006" w:rsidRDefault="00BF400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9" w14:textId="77777777" w:rsidR="00BF4006" w:rsidRDefault="00571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Rozsah a účel zpracování osobních údajů</w:t>
      </w:r>
    </w:p>
    <w:p w14:paraId="0000001A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Zpracovatel bude zpracovávat osobní údaje v rozsahu, v jakém budou poskytnuty ze strany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ubjektů údajů či v jakém mu budou předány ze strany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právce, tj. zpravidla půjde o tyto osobní údaje: jméno a příjmení, pohlaví, adresa trvalého/přechodného bydliště, korespondenční adresa, datum narození, druh a číslo osobního dokladu, telefonní číslo, emailová adresa a případně další osobní údaje poskytnuté ze strany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ubjektů údajů (dále jen „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 údaje“).</w:t>
      </w:r>
    </w:p>
    <w:p w14:paraId="0000001B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Zpracováním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 se rozumí zejména získávání a shromažďování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údajů, jejich ukládání na nosiče informací, třídění, segmentace, úpravy, aktualizace, vyhledávání, uchovávání, kombinování, blokování, užití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 pro níže popsané účely, včetně rozeslání marketingových zpráv a obchodních sdělení, a zpětné předání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právci, jakož i archivování a likvidace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údajů. </w:t>
      </w:r>
      <w:proofErr w:type="gramStart"/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údaje budou zpracovávány prostředky automatickými (elektronickými) a manuálními.</w:t>
      </w:r>
    </w:p>
    <w:p w14:paraId="0000001C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Účelem zpracování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sobních údajů je zejména tvorba, implementace, provoz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údržba softwaru a dalších služeb dodávaných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pracovatelem pro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právce (dále jen „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>oskytování SW služeb“).</w:t>
      </w:r>
    </w:p>
    <w:p w14:paraId="0000001D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Zpracovatel je oprávněn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 údaje společně s dalšími údaji třetích osob anonymizovat a tato anonymizovaná data dále zpracovávat pro analytické potřeby za účelem poskytování lepších služeb.</w:t>
      </w:r>
    </w:p>
    <w:p w14:paraId="0000001E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Jakékoli jiné zpracování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sobních údajů se zakazuje.</w:t>
      </w:r>
    </w:p>
    <w:p w14:paraId="0000001F" w14:textId="77777777" w:rsidR="00BF4006" w:rsidRDefault="00BF400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00000020" w14:textId="77777777" w:rsidR="00BF4006" w:rsidRDefault="00571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Záruky</w:t>
      </w:r>
    </w:p>
    <w:p w14:paraId="00000021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Zpracovatel je povinen zabezpečit, aby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 údaje nebyly poskytnuty ani jakkoliv zpřístupněny třetím osobám s výjimkou poskytovatele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serverhostingových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služeb, pokud jsou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pracovatelem či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právcem využívány, a aby tyto údaje nebyly užity v rozporu s účelem sjednaným v této smlouvě.</w:t>
      </w:r>
    </w:p>
    <w:p w14:paraId="00000022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Zpracovatel je povinen zabezpečit, aby jeho zaměstnanci a další osoby, které se podílejí na zpracování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údajů, zachovávali mlčenlivost o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sobních údajích, jakož i o bezpečnostních opatřeních k zajištění jejich ochrany.</w:t>
      </w:r>
    </w:p>
    <w:p w14:paraId="00000023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Zpracovatel je povinen přijmout taková organizační a technická opatření, aby nemohlo dojít k neoprávněnému nebo nahodilému přístupu k 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sobním údajům, k jejich neoprávněné změně, zničení nebo ztrátě nebo jinému neoprávněnému zpracování a zneužití.</w:t>
      </w:r>
    </w:p>
    <w:p w14:paraId="00000024" w14:textId="77777777" w:rsidR="00BF4006" w:rsidRDefault="00BF400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14:paraId="00000025" w14:textId="77777777" w:rsidR="00BF4006" w:rsidRDefault="00571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Doba trvání smlouvy</w:t>
      </w:r>
    </w:p>
    <w:p w14:paraId="00000026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uzavřena na dobu trvání smluvního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>oskytování SW služeb.</w:t>
      </w:r>
    </w:p>
    <w:p w14:paraId="00000027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mlouva může být ukončena dohodou smluvních stran a dalšími způsoby stanovenými v zákoně.</w:t>
      </w:r>
    </w:p>
    <w:p w14:paraId="00000028" w14:textId="77777777" w:rsidR="00BF4006" w:rsidRDefault="00571CD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14:paraId="00000029" w14:textId="77777777" w:rsidR="00BF4006" w:rsidRDefault="00571CD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Závěrečná ustanovení</w:t>
      </w:r>
    </w:p>
    <w:p w14:paraId="0000002A" w14:textId="77777777" w:rsidR="00BF4006" w:rsidRDefault="00571CD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</w:t>
      </w:r>
      <w:r>
        <w:rPr>
          <w:rFonts w:ascii="Georgia" w:eastAsia="Georgia" w:hAnsi="Georgia" w:cs="Georgia"/>
          <w:sz w:val="22"/>
          <w:szCs w:val="22"/>
        </w:rPr>
        <w:t>se v souladu s právními předpisy EU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řídí právním řádem České republiky, zejména zákonem č. 89/2012 Sb., občanský zákoník a nařízením Evropského parlamentu a Rady EU č. 2016/679 o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ochraně fyzických osob v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souvislosti se zpracováním osobních údajů a o volném pohybu těchto údajů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zrušení směrnice 95/46/ES (obecné nařízení o ochraně osobních údajů) („GDPR“).</w:t>
      </w:r>
    </w:p>
    <w:p w14:paraId="0000002B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Nevymahatelnost či neplatnost kteréhokoliv ustanovení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nemá vliv na vymahatelnost či platnost zbývajících ustanovení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mlouvy, pokud z povahy nebo obsahu takového ustanovení nevyplývá, že nemůže být odděleno od ostatního obsahu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000002C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</w:t>
      </w:r>
      <w:r>
        <w:rPr>
          <w:rFonts w:ascii="Georgia" w:eastAsia="Georgia" w:hAnsi="Georgia" w:cs="Georgia"/>
          <w:sz w:val="22"/>
          <w:szCs w:val="22"/>
        </w:rPr>
        <w:t>měněna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0000002D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000002E" w14:textId="77777777" w:rsidR="00BF4006" w:rsidRDefault="00571C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nabývá platnosti a účinnosti v okamžiku jejího podpisu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0000002F" w14:textId="77777777" w:rsidR="00BF4006" w:rsidRDefault="00BF400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0" w14:textId="77777777" w:rsidR="00BF4006" w:rsidRDefault="00BF400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1" w14:textId="6EFCE144" w:rsidR="00BF4006" w:rsidRDefault="00571CDA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 Brně dne</w:t>
      </w:r>
      <w:r w:rsidR="00257231">
        <w:rPr>
          <w:rFonts w:ascii="Georgia" w:eastAsia="Georgia" w:hAnsi="Georgia" w:cs="Georgia"/>
          <w:sz w:val="22"/>
          <w:szCs w:val="22"/>
        </w:rPr>
        <w:t xml:space="preserve"> 9.6.2023</w:t>
      </w:r>
      <w:bookmarkStart w:id="0" w:name="_GoBack"/>
      <w:bookmarkEnd w:id="0"/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Ve Volyni dne 9.6.2023</w:t>
      </w:r>
    </w:p>
    <w:p w14:paraId="00000032" w14:textId="77777777" w:rsidR="00BF4006" w:rsidRDefault="00BF4006">
      <w:pPr>
        <w:ind w:firstLine="720"/>
        <w:rPr>
          <w:rFonts w:ascii="Georgia" w:eastAsia="Georgia" w:hAnsi="Georgia" w:cs="Georgia"/>
          <w:sz w:val="22"/>
          <w:szCs w:val="22"/>
        </w:rPr>
      </w:pPr>
    </w:p>
    <w:p w14:paraId="00000033" w14:textId="77777777" w:rsidR="00BF4006" w:rsidRDefault="00571CDA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00000034" w14:textId="0200F358" w:rsidR="00BF4006" w:rsidRDefault="00571CDA">
      <w:pPr>
        <w:spacing w:after="0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RNDr. Jiří Homolka, ředitel školy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(Zpracovatel)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(Správce)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BF4006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E8C88" w14:textId="77777777" w:rsidR="008E0CB0" w:rsidRDefault="00571CDA">
      <w:pPr>
        <w:spacing w:after="0" w:line="240" w:lineRule="auto"/>
      </w:pPr>
      <w:r>
        <w:separator/>
      </w:r>
    </w:p>
  </w:endnote>
  <w:endnote w:type="continuationSeparator" w:id="0">
    <w:p w14:paraId="420E9E31" w14:textId="77777777" w:rsidR="008E0CB0" w:rsidRDefault="0057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7" w14:textId="08453AF1" w:rsidR="00BF4006" w:rsidRDefault="00571CDA">
    <w:pPr>
      <w:jc w:val="right"/>
    </w:pPr>
    <w:r>
      <w:fldChar w:fldCharType="begin"/>
    </w:r>
    <w:r>
      <w:instrText>PAGE</w:instrText>
    </w:r>
    <w:r>
      <w:fldChar w:fldCharType="separate"/>
    </w:r>
    <w:r w:rsidR="0025723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6" w14:textId="77777777" w:rsidR="00BF4006" w:rsidRDefault="00BF40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299E4" w14:textId="77777777" w:rsidR="008E0CB0" w:rsidRDefault="00571CDA">
      <w:pPr>
        <w:spacing w:after="0" w:line="240" w:lineRule="auto"/>
      </w:pPr>
      <w:r>
        <w:separator/>
      </w:r>
    </w:p>
  </w:footnote>
  <w:footnote w:type="continuationSeparator" w:id="0">
    <w:p w14:paraId="1422AD22" w14:textId="77777777" w:rsidR="008E0CB0" w:rsidRDefault="0057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5" w14:textId="77777777" w:rsidR="00BF4006" w:rsidRDefault="00571CDA">
    <w:pPr>
      <w:jc w:val="right"/>
      <w:rPr>
        <w:sz w:val="16"/>
        <w:szCs w:val="16"/>
      </w:rPr>
    </w:pPr>
    <w:r>
      <w:rPr>
        <w:sz w:val="16"/>
        <w:szCs w:val="16"/>
      </w:rPr>
      <w:t>PDPA - Smlouva o zpracování osobních údajů - 20190305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3DA2"/>
    <w:multiLevelType w:val="multilevel"/>
    <w:tmpl w:val="8666913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06"/>
    <w:rsid w:val="00257231"/>
    <w:rsid w:val="00571CDA"/>
    <w:rsid w:val="008E0CB0"/>
    <w:rsid w:val="00B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3D0D"/>
  <w15:docId w15:val="{8A2AF416-028B-4EA6-BE03-50888ED2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HDQ</cp:lastModifiedBy>
  <cp:revision>3</cp:revision>
  <dcterms:created xsi:type="dcterms:W3CDTF">2023-06-08T16:24:00Z</dcterms:created>
  <dcterms:modified xsi:type="dcterms:W3CDTF">2023-06-09T06:18:00Z</dcterms:modified>
</cp:coreProperties>
</file>