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F9B0" w14:textId="77777777" w:rsidR="00156979" w:rsidRPr="008346AE" w:rsidRDefault="00156979" w:rsidP="00156979">
      <w:pPr>
        <w:jc w:val="both"/>
        <w:rPr>
          <w:rFonts w:eastAsia="Arial"/>
          <w:bCs/>
          <w:sz w:val="22"/>
          <w:szCs w:val="22"/>
        </w:rPr>
      </w:pPr>
      <w:r w:rsidRPr="008346AE">
        <w:rPr>
          <w:rFonts w:eastAsia="Arial"/>
          <w:bCs/>
          <w:sz w:val="22"/>
          <w:szCs w:val="22"/>
        </w:rPr>
        <w:t>Národní kulturní památka Vyšehrad</w:t>
      </w:r>
    </w:p>
    <w:p w14:paraId="5EBBA02A" w14:textId="77777777" w:rsidR="00156979" w:rsidRPr="008346AE" w:rsidRDefault="00156979" w:rsidP="00156979">
      <w:pPr>
        <w:jc w:val="both"/>
        <w:rPr>
          <w:rFonts w:eastAsia="Arial"/>
          <w:sz w:val="22"/>
          <w:szCs w:val="22"/>
        </w:rPr>
      </w:pPr>
      <w:r w:rsidRPr="008346AE">
        <w:rPr>
          <w:rFonts w:eastAsia="Arial"/>
          <w:sz w:val="22"/>
          <w:szCs w:val="22"/>
        </w:rPr>
        <w:t>sídlem: V Pevnosti 159/5b, 128 00 Praha 2</w:t>
      </w:r>
    </w:p>
    <w:p w14:paraId="5EFC532F" w14:textId="77777777" w:rsidR="00156979" w:rsidRPr="008346AE" w:rsidRDefault="00156979" w:rsidP="00156979">
      <w:pPr>
        <w:jc w:val="both"/>
        <w:rPr>
          <w:rFonts w:eastAsia="Arial"/>
          <w:sz w:val="22"/>
          <w:szCs w:val="22"/>
        </w:rPr>
      </w:pPr>
      <w:r w:rsidRPr="008346AE">
        <w:rPr>
          <w:rFonts w:eastAsia="Arial"/>
          <w:sz w:val="22"/>
          <w:szCs w:val="22"/>
        </w:rPr>
        <w:t>IČ: 00419745, DIČ: CZ00419745</w:t>
      </w:r>
    </w:p>
    <w:p w14:paraId="11100972" w14:textId="77777777" w:rsidR="00156979" w:rsidRPr="008346AE" w:rsidRDefault="00156979" w:rsidP="00156979">
      <w:pPr>
        <w:jc w:val="both"/>
        <w:rPr>
          <w:rFonts w:eastAsia="Arial"/>
          <w:sz w:val="22"/>
          <w:szCs w:val="22"/>
        </w:rPr>
      </w:pPr>
      <w:r w:rsidRPr="008346AE">
        <w:rPr>
          <w:rFonts w:eastAsia="Arial"/>
          <w:sz w:val="22"/>
          <w:szCs w:val="22"/>
        </w:rPr>
        <w:t>příspěvková organizace – zřizovatel hl. m. Praha</w:t>
      </w:r>
    </w:p>
    <w:p w14:paraId="2F4705F3" w14:textId="3E72BF63" w:rsidR="00156979" w:rsidRPr="008346AE" w:rsidRDefault="00156979" w:rsidP="00156979">
      <w:pPr>
        <w:jc w:val="both"/>
        <w:rPr>
          <w:rFonts w:eastAsia="Arial"/>
          <w:sz w:val="22"/>
          <w:szCs w:val="22"/>
        </w:rPr>
      </w:pPr>
      <w:r w:rsidRPr="008346AE">
        <w:rPr>
          <w:rFonts w:eastAsia="Arial"/>
          <w:sz w:val="22"/>
          <w:szCs w:val="22"/>
        </w:rPr>
        <w:t xml:space="preserve">zastoupená: </w:t>
      </w:r>
      <w:r w:rsidR="001C0FCF">
        <w:rPr>
          <w:rFonts w:eastAsia="Arial"/>
          <w:sz w:val="22"/>
          <w:szCs w:val="22"/>
        </w:rPr>
        <w:t>xxxxxxxxxxxxxxx</w:t>
      </w:r>
    </w:p>
    <w:p w14:paraId="52BC0335" w14:textId="77777777" w:rsidR="00156979" w:rsidRPr="008346AE" w:rsidRDefault="00156979" w:rsidP="00156979">
      <w:pPr>
        <w:jc w:val="both"/>
        <w:rPr>
          <w:rFonts w:eastAsia="Arial"/>
          <w:sz w:val="22"/>
          <w:szCs w:val="22"/>
        </w:rPr>
      </w:pPr>
      <w:r w:rsidRPr="008346AE">
        <w:rPr>
          <w:rFonts w:eastAsia="Arial"/>
          <w:sz w:val="22"/>
          <w:szCs w:val="22"/>
        </w:rPr>
        <w:t>DS: h528pgw</w:t>
      </w:r>
    </w:p>
    <w:p w14:paraId="11D3F07B" w14:textId="77777777" w:rsidR="00156979" w:rsidRPr="008346AE" w:rsidRDefault="00156979" w:rsidP="00156979">
      <w:pPr>
        <w:jc w:val="both"/>
        <w:rPr>
          <w:rFonts w:eastAsia="Arial"/>
          <w:sz w:val="22"/>
          <w:szCs w:val="22"/>
        </w:rPr>
      </w:pPr>
      <w:r w:rsidRPr="008346AE">
        <w:rPr>
          <w:rFonts w:eastAsia="Arial"/>
          <w:sz w:val="22"/>
          <w:szCs w:val="22"/>
        </w:rPr>
        <w:t>bankovní spojení: PPF banka, a.s.</w:t>
      </w:r>
    </w:p>
    <w:p w14:paraId="0ABD6B90" w14:textId="71064BFC" w:rsidR="00156979" w:rsidRPr="008346AE" w:rsidRDefault="00156979" w:rsidP="00156979">
      <w:pPr>
        <w:jc w:val="both"/>
        <w:rPr>
          <w:rFonts w:eastAsia="Arial"/>
          <w:sz w:val="22"/>
          <w:szCs w:val="22"/>
        </w:rPr>
      </w:pPr>
      <w:r w:rsidRPr="008346AE">
        <w:rPr>
          <w:rFonts w:eastAsia="Arial"/>
          <w:sz w:val="22"/>
          <w:szCs w:val="22"/>
        </w:rPr>
        <w:t xml:space="preserve">číslo účtu: </w:t>
      </w:r>
      <w:r w:rsidR="001C0FCF">
        <w:rPr>
          <w:rFonts w:eastAsia="Arial"/>
          <w:sz w:val="22"/>
          <w:szCs w:val="22"/>
        </w:rPr>
        <w:t>xxxxxxxxxxxxxx</w:t>
      </w:r>
    </w:p>
    <w:p w14:paraId="2AF78D00" w14:textId="43541B15" w:rsidR="00156979" w:rsidRPr="008346AE" w:rsidRDefault="00156979" w:rsidP="00156979">
      <w:pPr>
        <w:spacing w:before="100" w:after="200"/>
        <w:jc w:val="both"/>
        <w:rPr>
          <w:rFonts w:eastAsia="Arial"/>
          <w:sz w:val="22"/>
          <w:szCs w:val="22"/>
        </w:rPr>
      </w:pPr>
      <w:r w:rsidRPr="008346AE">
        <w:rPr>
          <w:rFonts w:eastAsia="Arial"/>
          <w:sz w:val="22"/>
          <w:szCs w:val="22"/>
        </w:rPr>
        <w:t>dále jen „</w:t>
      </w:r>
      <w:r w:rsidR="00363A46">
        <w:rPr>
          <w:rFonts w:eastAsia="Arial"/>
          <w:sz w:val="22"/>
          <w:szCs w:val="22"/>
        </w:rPr>
        <w:t>NKPV</w:t>
      </w:r>
      <w:r w:rsidRPr="008346AE">
        <w:rPr>
          <w:rFonts w:eastAsia="Arial"/>
          <w:sz w:val="22"/>
          <w:szCs w:val="22"/>
        </w:rPr>
        <w:t>“ na straně jedné</w:t>
      </w:r>
    </w:p>
    <w:p w14:paraId="75E91323" w14:textId="77777777" w:rsidR="00156979" w:rsidRPr="008346AE" w:rsidRDefault="00156979" w:rsidP="00156979">
      <w:pPr>
        <w:spacing w:before="100"/>
        <w:jc w:val="both"/>
        <w:rPr>
          <w:rFonts w:eastAsia="Arial"/>
          <w:sz w:val="22"/>
          <w:szCs w:val="22"/>
        </w:rPr>
      </w:pPr>
      <w:r w:rsidRPr="008346AE">
        <w:rPr>
          <w:rFonts w:eastAsia="Arial"/>
          <w:sz w:val="22"/>
          <w:szCs w:val="22"/>
        </w:rPr>
        <w:t>a</w:t>
      </w:r>
    </w:p>
    <w:p w14:paraId="09901343" w14:textId="77777777" w:rsidR="00156979" w:rsidRPr="008346AE" w:rsidRDefault="00156979" w:rsidP="00156979">
      <w:pPr>
        <w:jc w:val="both"/>
        <w:rPr>
          <w:rFonts w:eastAsia="Arial"/>
          <w:sz w:val="22"/>
          <w:szCs w:val="22"/>
        </w:rPr>
      </w:pPr>
    </w:p>
    <w:p w14:paraId="773FBA64" w14:textId="77777777" w:rsidR="00156979" w:rsidRPr="008346AE" w:rsidRDefault="00156979" w:rsidP="00156979">
      <w:pPr>
        <w:pStyle w:val="Vchoz"/>
        <w:spacing w:after="0" w:line="240" w:lineRule="auto"/>
        <w:jc w:val="both"/>
        <w:rPr>
          <w:rFonts w:eastAsia="Arial"/>
          <w:bCs/>
          <w:color w:val="auto"/>
          <w:sz w:val="22"/>
          <w:szCs w:val="22"/>
        </w:rPr>
      </w:pPr>
      <w:r w:rsidRPr="008346AE">
        <w:rPr>
          <w:rFonts w:eastAsia="Arial"/>
          <w:bCs/>
          <w:color w:val="auto"/>
          <w:sz w:val="22"/>
          <w:szCs w:val="22"/>
        </w:rPr>
        <w:t>Ústav pro interpretaci místního dědictví ČR, z.ú.</w:t>
      </w:r>
    </w:p>
    <w:p w14:paraId="62DE925A" w14:textId="77777777" w:rsidR="00156979" w:rsidRPr="008346AE" w:rsidRDefault="00156979" w:rsidP="00156979">
      <w:pPr>
        <w:pStyle w:val="Vchoz"/>
        <w:spacing w:after="0" w:line="240" w:lineRule="auto"/>
        <w:jc w:val="both"/>
        <w:rPr>
          <w:rFonts w:eastAsia="Arial"/>
          <w:color w:val="auto"/>
          <w:sz w:val="22"/>
          <w:szCs w:val="22"/>
        </w:rPr>
      </w:pPr>
      <w:r w:rsidRPr="008346AE">
        <w:rPr>
          <w:rFonts w:eastAsia="Arial"/>
          <w:color w:val="auto"/>
          <w:sz w:val="22"/>
          <w:szCs w:val="22"/>
        </w:rPr>
        <w:t>sídlem: č.p. 26, 751 21 Grymov</w:t>
      </w:r>
    </w:p>
    <w:p w14:paraId="0FA162A3" w14:textId="77777777" w:rsidR="00156979" w:rsidRPr="008346AE" w:rsidRDefault="00156979" w:rsidP="00156979">
      <w:pPr>
        <w:pStyle w:val="Vchoz"/>
        <w:spacing w:after="0" w:line="240" w:lineRule="auto"/>
        <w:jc w:val="both"/>
        <w:rPr>
          <w:rFonts w:eastAsia="Arial"/>
          <w:color w:val="auto"/>
          <w:sz w:val="22"/>
          <w:szCs w:val="22"/>
        </w:rPr>
      </w:pPr>
      <w:r w:rsidRPr="008346AE">
        <w:rPr>
          <w:rFonts w:eastAsia="Arial"/>
          <w:color w:val="auto"/>
          <w:sz w:val="22"/>
          <w:szCs w:val="22"/>
        </w:rPr>
        <w:t>korespondenční adresa: Trnec 654, 666 03 Tišnov</w:t>
      </w:r>
    </w:p>
    <w:p w14:paraId="3D51B5D2" w14:textId="28D0E150" w:rsidR="00156979" w:rsidRPr="008346AE" w:rsidRDefault="00156979" w:rsidP="00156979">
      <w:pPr>
        <w:pStyle w:val="Vchoz"/>
        <w:spacing w:after="0" w:line="240" w:lineRule="auto"/>
        <w:jc w:val="both"/>
        <w:rPr>
          <w:rFonts w:eastAsia="Arial"/>
          <w:color w:val="auto"/>
          <w:sz w:val="22"/>
          <w:szCs w:val="22"/>
        </w:rPr>
      </w:pPr>
      <w:r w:rsidRPr="008346AE">
        <w:rPr>
          <w:rFonts w:eastAsia="Arial"/>
          <w:color w:val="auto"/>
          <w:sz w:val="22"/>
          <w:szCs w:val="22"/>
        </w:rPr>
        <w:t xml:space="preserve">zastoupená: </w:t>
      </w:r>
      <w:r w:rsidR="001C0FCF">
        <w:rPr>
          <w:rFonts w:eastAsia="Arial"/>
          <w:color w:val="auto"/>
          <w:sz w:val="22"/>
          <w:szCs w:val="22"/>
        </w:rPr>
        <w:t>xxxxxxxxxxxxxxxxx</w:t>
      </w:r>
    </w:p>
    <w:p w14:paraId="02B91262" w14:textId="77777777" w:rsidR="00156979" w:rsidRPr="008346AE" w:rsidRDefault="00156979" w:rsidP="00156979">
      <w:pPr>
        <w:pStyle w:val="Vchoz"/>
        <w:spacing w:after="0" w:line="240" w:lineRule="auto"/>
        <w:jc w:val="both"/>
        <w:rPr>
          <w:rFonts w:eastAsia="Arial"/>
          <w:color w:val="auto"/>
          <w:sz w:val="22"/>
          <w:szCs w:val="22"/>
        </w:rPr>
      </w:pPr>
      <w:r w:rsidRPr="008346AE">
        <w:rPr>
          <w:rFonts w:eastAsia="Arial"/>
          <w:color w:val="auto"/>
          <w:sz w:val="22"/>
          <w:szCs w:val="22"/>
        </w:rPr>
        <w:t xml:space="preserve">IČ: 05952051, </w:t>
      </w:r>
    </w:p>
    <w:p w14:paraId="1102EBF5" w14:textId="77777777" w:rsidR="00156979" w:rsidRPr="008346AE" w:rsidRDefault="00156979" w:rsidP="00156979">
      <w:pPr>
        <w:pStyle w:val="Vchoz"/>
        <w:spacing w:after="0" w:line="240" w:lineRule="auto"/>
        <w:jc w:val="both"/>
        <w:rPr>
          <w:rFonts w:eastAsia="Arial"/>
          <w:color w:val="auto"/>
          <w:sz w:val="22"/>
          <w:szCs w:val="22"/>
        </w:rPr>
      </w:pPr>
      <w:r w:rsidRPr="008346AE">
        <w:rPr>
          <w:rFonts w:eastAsia="Arial"/>
          <w:color w:val="auto"/>
          <w:sz w:val="22"/>
          <w:szCs w:val="22"/>
        </w:rPr>
        <w:t>DS: 3st3q3b</w:t>
      </w:r>
    </w:p>
    <w:p w14:paraId="3822CBE1" w14:textId="77777777" w:rsidR="00156979" w:rsidRPr="008346AE" w:rsidRDefault="00156979" w:rsidP="00156979">
      <w:pPr>
        <w:pStyle w:val="Vchoz"/>
        <w:spacing w:after="0" w:line="240" w:lineRule="auto"/>
        <w:jc w:val="both"/>
        <w:rPr>
          <w:rFonts w:eastAsia="Arial"/>
          <w:color w:val="auto"/>
          <w:sz w:val="22"/>
          <w:szCs w:val="22"/>
        </w:rPr>
      </w:pPr>
      <w:r w:rsidRPr="008346AE">
        <w:rPr>
          <w:rFonts w:eastAsia="Arial"/>
          <w:color w:val="auto"/>
          <w:sz w:val="22"/>
          <w:szCs w:val="22"/>
        </w:rPr>
        <w:t>bankovní spojení: Fio banka, a.s.</w:t>
      </w:r>
    </w:p>
    <w:p w14:paraId="29F45839" w14:textId="2FFD211D" w:rsidR="00156979" w:rsidRPr="008346AE" w:rsidRDefault="00156979" w:rsidP="00156979">
      <w:pPr>
        <w:pStyle w:val="Vchoz"/>
        <w:spacing w:after="0" w:line="240" w:lineRule="auto"/>
        <w:jc w:val="both"/>
        <w:rPr>
          <w:rFonts w:eastAsia="Arial"/>
          <w:color w:val="auto"/>
          <w:sz w:val="22"/>
          <w:szCs w:val="22"/>
        </w:rPr>
      </w:pPr>
      <w:r w:rsidRPr="008346AE">
        <w:rPr>
          <w:rFonts w:eastAsia="Arial"/>
          <w:color w:val="auto"/>
          <w:sz w:val="22"/>
          <w:szCs w:val="22"/>
        </w:rPr>
        <w:t xml:space="preserve">číslo účtu: </w:t>
      </w:r>
      <w:r w:rsidR="001C0FCF">
        <w:rPr>
          <w:rFonts w:eastAsia="Arial"/>
          <w:color w:val="auto"/>
          <w:sz w:val="22"/>
          <w:szCs w:val="22"/>
        </w:rPr>
        <w:t>xxxxxxxxxxxxx</w:t>
      </w:r>
    </w:p>
    <w:p w14:paraId="1DE94240" w14:textId="77777777" w:rsidR="00156979" w:rsidRPr="008346AE" w:rsidRDefault="00156979" w:rsidP="00156979">
      <w:pPr>
        <w:pStyle w:val="Vchoz"/>
        <w:spacing w:after="0" w:line="240" w:lineRule="auto"/>
        <w:jc w:val="both"/>
        <w:rPr>
          <w:rFonts w:eastAsia="Arial"/>
          <w:color w:val="auto"/>
          <w:sz w:val="22"/>
          <w:szCs w:val="22"/>
        </w:rPr>
      </w:pPr>
      <w:r w:rsidRPr="008346AE">
        <w:rPr>
          <w:rFonts w:eastAsia="Arial"/>
          <w:color w:val="auto"/>
          <w:sz w:val="22"/>
          <w:szCs w:val="22"/>
        </w:rPr>
        <w:t>neplátce DPH</w:t>
      </w:r>
    </w:p>
    <w:p w14:paraId="314A632D" w14:textId="2A55D827" w:rsidR="00156979" w:rsidRPr="008346AE" w:rsidRDefault="00156979" w:rsidP="00156979">
      <w:pPr>
        <w:spacing w:before="120" w:after="120"/>
        <w:jc w:val="both"/>
        <w:rPr>
          <w:rFonts w:eastAsia="Arial"/>
          <w:sz w:val="22"/>
          <w:szCs w:val="22"/>
        </w:rPr>
      </w:pPr>
      <w:r w:rsidRPr="008346AE">
        <w:rPr>
          <w:rFonts w:eastAsia="Arial"/>
          <w:sz w:val="22"/>
          <w:szCs w:val="22"/>
        </w:rPr>
        <w:t>dále jen „</w:t>
      </w:r>
      <w:r w:rsidR="0068022E">
        <w:rPr>
          <w:rFonts w:eastAsia="Arial"/>
          <w:sz w:val="22"/>
          <w:szCs w:val="22"/>
        </w:rPr>
        <w:t>ÚIMD</w:t>
      </w:r>
      <w:r w:rsidRPr="008346AE">
        <w:rPr>
          <w:rFonts w:eastAsia="Arial"/>
          <w:sz w:val="22"/>
          <w:szCs w:val="22"/>
        </w:rPr>
        <w:t>“ na straně druhé</w:t>
      </w:r>
    </w:p>
    <w:p w14:paraId="56E9D84E" w14:textId="597C2F4B" w:rsidR="005941B4" w:rsidRDefault="005941B4" w:rsidP="005941B4">
      <w:pPr>
        <w:widowControl w:val="0"/>
        <w:ind w:right="147"/>
        <w:jc w:val="both"/>
        <w:rPr>
          <w:sz w:val="22"/>
          <w:szCs w:val="22"/>
        </w:rPr>
      </w:pPr>
      <w:r w:rsidRPr="008346AE">
        <w:rPr>
          <w:sz w:val="22"/>
          <w:szCs w:val="22"/>
        </w:rPr>
        <w:t>uzavřeli níže uvedeného dne, měsíce a roku, tuto dohodu o narovnání</w:t>
      </w:r>
      <w:r w:rsidR="008714AF">
        <w:rPr>
          <w:sz w:val="22"/>
          <w:szCs w:val="22"/>
        </w:rPr>
        <w:t xml:space="preserve"> podle § 1903 a násl. zákona č. 89/2012 Sb., občanský zákoník, ve znění pozdějších předpisů</w:t>
      </w:r>
      <w:r w:rsidRPr="008346AE">
        <w:rPr>
          <w:sz w:val="22"/>
          <w:szCs w:val="22"/>
        </w:rPr>
        <w:t>:</w:t>
      </w:r>
    </w:p>
    <w:p w14:paraId="421D41D6" w14:textId="77777777" w:rsidR="00CB24F3" w:rsidRPr="008346AE" w:rsidRDefault="00CB24F3" w:rsidP="005941B4">
      <w:pPr>
        <w:widowControl w:val="0"/>
        <w:ind w:right="147"/>
        <w:jc w:val="both"/>
        <w:rPr>
          <w:sz w:val="22"/>
          <w:szCs w:val="22"/>
        </w:rPr>
      </w:pPr>
    </w:p>
    <w:p w14:paraId="641C089E" w14:textId="77777777" w:rsidR="005941B4" w:rsidRPr="001E23DF" w:rsidRDefault="005941B4" w:rsidP="008130DC">
      <w:pPr>
        <w:widowControl w:val="0"/>
        <w:ind w:right="147"/>
        <w:jc w:val="center"/>
        <w:rPr>
          <w:b/>
          <w:bCs/>
          <w:sz w:val="22"/>
          <w:szCs w:val="22"/>
        </w:rPr>
      </w:pPr>
      <w:r w:rsidRPr="001E23DF">
        <w:rPr>
          <w:b/>
          <w:bCs/>
          <w:sz w:val="22"/>
          <w:szCs w:val="22"/>
        </w:rPr>
        <w:t>I.</w:t>
      </w:r>
    </w:p>
    <w:p w14:paraId="22837EE6" w14:textId="22D77D83" w:rsidR="005941B4" w:rsidRPr="001E23DF" w:rsidRDefault="001D6337" w:rsidP="008130DC">
      <w:pPr>
        <w:widowControl w:val="0"/>
        <w:ind w:right="147"/>
        <w:jc w:val="center"/>
        <w:rPr>
          <w:b/>
          <w:bCs/>
          <w:sz w:val="22"/>
          <w:szCs w:val="22"/>
        </w:rPr>
      </w:pPr>
      <w:r w:rsidRPr="001E23DF">
        <w:rPr>
          <w:b/>
          <w:bCs/>
          <w:sz w:val="22"/>
          <w:szCs w:val="22"/>
        </w:rPr>
        <w:t>Předmět dohody</w:t>
      </w:r>
    </w:p>
    <w:p w14:paraId="789E5B91" w14:textId="77777777" w:rsidR="001D6337" w:rsidRPr="008346AE" w:rsidRDefault="001D6337" w:rsidP="008130DC">
      <w:pPr>
        <w:widowControl w:val="0"/>
        <w:ind w:right="147"/>
        <w:jc w:val="center"/>
        <w:rPr>
          <w:sz w:val="22"/>
          <w:szCs w:val="22"/>
        </w:rPr>
      </w:pPr>
    </w:p>
    <w:p w14:paraId="15FECFFD" w14:textId="5C18DF89" w:rsidR="00E835F5" w:rsidRPr="008346AE" w:rsidRDefault="005941B4" w:rsidP="00985DA2">
      <w:pPr>
        <w:pStyle w:val="Odstavecseseznamem"/>
        <w:numPr>
          <w:ilvl w:val="1"/>
          <w:numId w:val="39"/>
        </w:numPr>
        <w:spacing w:after="200"/>
        <w:jc w:val="both"/>
        <w:rPr>
          <w:rFonts w:eastAsia="Arial"/>
          <w:sz w:val="22"/>
          <w:szCs w:val="22"/>
          <w:lang w:eastAsia="cs-CZ"/>
        </w:rPr>
      </w:pPr>
      <w:r w:rsidRPr="008346AE">
        <w:rPr>
          <w:rFonts w:eastAsia="Arial"/>
          <w:sz w:val="22"/>
          <w:szCs w:val="22"/>
          <w:lang w:eastAsia="cs-CZ"/>
        </w:rPr>
        <w:t xml:space="preserve">Strany této dohody uzavřely dne </w:t>
      </w:r>
      <w:r w:rsidR="00411A84" w:rsidRPr="008346AE">
        <w:rPr>
          <w:rFonts w:eastAsia="Arial"/>
          <w:sz w:val="22"/>
          <w:szCs w:val="22"/>
          <w:lang w:eastAsia="cs-CZ"/>
        </w:rPr>
        <w:t>1. 3. 2023</w:t>
      </w:r>
      <w:r w:rsidRPr="008346AE">
        <w:rPr>
          <w:rFonts w:eastAsia="Arial"/>
          <w:sz w:val="22"/>
          <w:szCs w:val="22"/>
          <w:lang w:eastAsia="cs-CZ"/>
        </w:rPr>
        <w:t xml:space="preserve"> smlouvu o dílo č. </w:t>
      </w:r>
      <w:r w:rsidR="00411A84" w:rsidRPr="008346AE">
        <w:rPr>
          <w:rFonts w:eastAsia="Arial"/>
          <w:sz w:val="22"/>
          <w:szCs w:val="22"/>
          <w:lang w:eastAsia="cs-CZ"/>
        </w:rPr>
        <w:t>SD/405/2023</w:t>
      </w:r>
      <w:r w:rsidRPr="008346AE">
        <w:rPr>
          <w:rFonts w:eastAsia="Arial"/>
          <w:sz w:val="22"/>
          <w:szCs w:val="22"/>
          <w:lang w:eastAsia="cs-CZ"/>
        </w:rPr>
        <w:t xml:space="preserve">, kterou se zhotovitel zavázal </w:t>
      </w:r>
      <w:r w:rsidR="00E835F5" w:rsidRPr="008346AE">
        <w:rPr>
          <w:rFonts w:eastAsia="Arial"/>
          <w:sz w:val="22"/>
          <w:szCs w:val="22"/>
          <w:lang w:eastAsia="cs-CZ"/>
        </w:rPr>
        <w:t xml:space="preserve">provést a zpracovat </w:t>
      </w:r>
      <w:r w:rsidR="00341C90" w:rsidRPr="008346AE">
        <w:rPr>
          <w:rFonts w:eastAsia="Arial"/>
          <w:sz w:val="22"/>
          <w:szCs w:val="22"/>
          <w:lang w:eastAsia="cs-CZ"/>
        </w:rPr>
        <w:t>ve sjednané době návrh obsahové části nové stálé expozice NKP</w:t>
      </w:r>
      <w:r w:rsidR="0072285D" w:rsidRPr="008346AE">
        <w:rPr>
          <w:rFonts w:eastAsia="Arial"/>
          <w:sz w:val="22"/>
          <w:szCs w:val="22"/>
          <w:lang w:eastAsia="cs-CZ"/>
        </w:rPr>
        <w:t> </w:t>
      </w:r>
      <w:r w:rsidR="00341C90" w:rsidRPr="008346AE">
        <w:rPr>
          <w:rFonts w:eastAsia="Arial"/>
          <w:sz w:val="22"/>
          <w:szCs w:val="22"/>
          <w:lang w:eastAsia="cs-CZ"/>
        </w:rPr>
        <w:t>Vyšehrad</w:t>
      </w:r>
      <w:r w:rsidR="0072285D" w:rsidRPr="008346AE">
        <w:rPr>
          <w:rFonts w:eastAsia="Arial"/>
          <w:sz w:val="22"/>
          <w:szCs w:val="22"/>
          <w:lang w:eastAsia="cs-CZ"/>
        </w:rPr>
        <w:t xml:space="preserve">, který se skládá z interpretačního plánu, libreta expozice a scénáře expozice, a následného provedení autorského dozoru a poskytnutí </w:t>
      </w:r>
      <w:r w:rsidR="0068022E" w:rsidRPr="008346AE">
        <w:rPr>
          <w:rFonts w:eastAsia="Arial"/>
          <w:sz w:val="22"/>
          <w:szCs w:val="22"/>
          <w:lang w:eastAsia="cs-CZ"/>
        </w:rPr>
        <w:t>spolupráce při</w:t>
      </w:r>
      <w:r w:rsidR="0072285D" w:rsidRPr="008346AE">
        <w:rPr>
          <w:rFonts w:eastAsia="Arial"/>
          <w:sz w:val="22"/>
          <w:szCs w:val="22"/>
          <w:lang w:eastAsia="cs-CZ"/>
        </w:rPr>
        <w:t xml:space="preserve"> realizaci nové stálé expozice NKPV Vyšehrad.</w:t>
      </w:r>
      <w:r w:rsidR="00EC7BFE" w:rsidRPr="008346AE">
        <w:rPr>
          <w:rFonts w:eastAsia="Arial"/>
          <w:sz w:val="22"/>
          <w:szCs w:val="22"/>
          <w:lang w:eastAsia="cs-CZ"/>
        </w:rPr>
        <w:t xml:space="preserve"> </w:t>
      </w:r>
      <w:r w:rsidR="00E41FDB" w:rsidRPr="008346AE">
        <w:rPr>
          <w:rFonts w:eastAsia="Arial"/>
          <w:sz w:val="22"/>
          <w:szCs w:val="22"/>
          <w:lang w:eastAsia="cs-CZ"/>
        </w:rPr>
        <w:t xml:space="preserve">Dohodnutá cena za provedení </w:t>
      </w:r>
      <w:r w:rsidR="00E73150" w:rsidRPr="008346AE">
        <w:rPr>
          <w:rFonts w:eastAsia="Arial"/>
          <w:sz w:val="22"/>
          <w:szCs w:val="22"/>
          <w:lang w:eastAsia="cs-CZ"/>
        </w:rPr>
        <w:t>D</w:t>
      </w:r>
      <w:r w:rsidR="00E41FDB" w:rsidRPr="008346AE">
        <w:rPr>
          <w:rFonts w:eastAsia="Arial"/>
          <w:sz w:val="22"/>
          <w:szCs w:val="22"/>
          <w:lang w:eastAsia="cs-CZ"/>
        </w:rPr>
        <w:t>íla</w:t>
      </w:r>
      <w:r w:rsidR="00E73150" w:rsidRPr="008346AE">
        <w:rPr>
          <w:rFonts w:eastAsia="Arial"/>
          <w:sz w:val="22"/>
          <w:szCs w:val="22"/>
          <w:lang w:eastAsia="cs-CZ"/>
        </w:rPr>
        <w:t xml:space="preserve"> a poskytnutí licence je ve výši </w:t>
      </w:r>
      <w:r w:rsidR="00FE2DCB" w:rsidRPr="008346AE">
        <w:rPr>
          <w:rFonts w:eastAsia="Arial"/>
          <w:sz w:val="22"/>
          <w:szCs w:val="22"/>
          <w:lang w:eastAsia="cs-CZ"/>
        </w:rPr>
        <w:t>348.000, -</w:t>
      </w:r>
      <w:r w:rsidR="00E73150" w:rsidRPr="008346AE">
        <w:rPr>
          <w:rFonts w:eastAsia="Arial"/>
          <w:sz w:val="22"/>
          <w:szCs w:val="22"/>
          <w:lang w:eastAsia="cs-CZ"/>
        </w:rPr>
        <w:t xml:space="preserve"> Kč (slovy: tři sta čtyřicet osm tisíc korun českých)</w:t>
      </w:r>
      <w:r w:rsidR="00D81777" w:rsidRPr="008346AE">
        <w:rPr>
          <w:rFonts w:eastAsia="Arial"/>
          <w:sz w:val="22"/>
          <w:szCs w:val="22"/>
          <w:lang w:eastAsia="cs-CZ"/>
        </w:rPr>
        <w:t>, která je rozdělena do dílčího plnění následovně:</w:t>
      </w:r>
    </w:p>
    <w:p w14:paraId="69E85AD2" w14:textId="2C05D852" w:rsidR="00D81777" w:rsidRPr="008346AE" w:rsidRDefault="00D81777" w:rsidP="00FE2DCB">
      <w:pPr>
        <w:pStyle w:val="Odstavecseseznamem"/>
        <w:spacing w:after="200"/>
        <w:ind w:left="1413" w:hanging="705"/>
        <w:jc w:val="both"/>
        <w:rPr>
          <w:rFonts w:eastAsia="Arial"/>
          <w:sz w:val="22"/>
          <w:szCs w:val="22"/>
          <w:lang w:eastAsia="cs-CZ"/>
        </w:rPr>
      </w:pPr>
      <w:r w:rsidRPr="008346AE">
        <w:rPr>
          <w:rFonts w:eastAsia="Arial"/>
          <w:sz w:val="22"/>
          <w:szCs w:val="22"/>
          <w:lang w:eastAsia="cs-CZ"/>
        </w:rPr>
        <w:t>a.</w:t>
      </w:r>
      <w:r w:rsidRPr="008346AE">
        <w:rPr>
          <w:rFonts w:eastAsia="Arial"/>
          <w:sz w:val="22"/>
          <w:szCs w:val="22"/>
          <w:lang w:eastAsia="cs-CZ"/>
        </w:rPr>
        <w:tab/>
        <w:t xml:space="preserve">Dílčí odměna za zpracování interpretačního plánu nové stálé expozice NKP Vyšehrad (část B.0) včetně poskytnutí licence činí </w:t>
      </w:r>
      <w:r w:rsidR="00D444C8" w:rsidRPr="008346AE">
        <w:rPr>
          <w:rFonts w:eastAsia="Arial"/>
          <w:sz w:val="22"/>
          <w:szCs w:val="22"/>
          <w:lang w:eastAsia="cs-CZ"/>
        </w:rPr>
        <w:t>88.100, -</w:t>
      </w:r>
      <w:r w:rsidRPr="008346AE">
        <w:rPr>
          <w:rFonts w:eastAsia="Arial"/>
          <w:sz w:val="22"/>
          <w:szCs w:val="22"/>
          <w:lang w:eastAsia="cs-CZ"/>
        </w:rPr>
        <w:t xml:space="preserve"> Kč.</w:t>
      </w:r>
    </w:p>
    <w:p w14:paraId="11F12B78" w14:textId="3BE08106" w:rsidR="00D81777" w:rsidRPr="008346AE" w:rsidRDefault="00D81777" w:rsidP="00FE2DCB">
      <w:pPr>
        <w:pStyle w:val="Odstavecseseznamem"/>
        <w:spacing w:after="200"/>
        <w:ind w:left="1413" w:hanging="705"/>
        <w:jc w:val="both"/>
        <w:rPr>
          <w:rFonts w:eastAsia="Arial"/>
          <w:sz w:val="22"/>
          <w:szCs w:val="22"/>
          <w:lang w:eastAsia="cs-CZ"/>
        </w:rPr>
      </w:pPr>
      <w:r w:rsidRPr="008346AE">
        <w:rPr>
          <w:rFonts w:eastAsia="Arial"/>
          <w:sz w:val="22"/>
          <w:szCs w:val="22"/>
          <w:lang w:eastAsia="cs-CZ"/>
        </w:rPr>
        <w:t>b.</w:t>
      </w:r>
      <w:r w:rsidRPr="008346AE">
        <w:rPr>
          <w:rFonts w:eastAsia="Arial"/>
          <w:sz w:val="22"/>
          <w:szCs w:val="22"/>
          <w:lang w:eastAsia="cs-CZ"/>
        </w:rPr>
        <w:tab/>
        <w:t xml:space="preserve">Dílčí odměna za zpracování libreta nové stálé expozice NKP Vyšehrad (část B.1) včetně poskytnutí licence činí </w:t>
      </w:r>
      <w:r w:rsidR="00D444C8" w:rsidRPr="008346AE">
        <w:rPr>
          <w:rFonts w:eastAsia="Arial"/>
          <w:sz w:val="22"/>
          <w:szCs w:val="22"/>
          <w:lang w:eastAsia="cs-CZ"/>
        </w:rPr>
        <w:t>94.000, -</w:t>
      </w:r>
      <w:r w:rsidRPr="008346AE">
        <w:rPr>
          <w:rFonts w:eastAsia="Arial"/>
          <w:sz w:val="22"/>
          <w:szCs w:val="22"/>
          <w:lang w:eastAsia="cs-CZ"/>
        </w:rPr>
        <w:t xml:space="preserve"> Kč.</w:t>
      </w:r>
    </w:p>
    <w:p w14:paraId="6C1D53C3" w14:textId="4BDABEF7" w:rsidR="00D81777" w:rsidRPr="008346AE" w:rsidRDefault="00D81777" w:rsidP="00FE2DCB">
      <w:pPr>
        <w:pStyle w:val="Odstavecseseznamem"/>
        <w:spacing w:after="200"/>
        <w:ind w:left="1413" w:hanging="705"/>
        <w:jc w:val="both"/>
        <w:rPr>
          <w:rFonts w:eastAsia="Arial"/>
          <w:sz w:val="22"/>
          <w:szCs w:val="22"/>
          <w:lang w:eastAsia="cs-CZ"/>
        </w:rPr>
      </w:pPr>
      <w:r w:rsidRPr="008346AE">
        <w:rPr>
          <w:rFonts w:eastAsia="Arial"/>
          <w:sz w:val="22"/>
          <w:szCs w:val="22"/>
          <w:lang w:eastAsia="cs-CZ"/>
        </w:rPr>
        <w:t>c.</w:t>
      </w:r>
      <w:r w:rsidRPr="008346AE">
        <w:rPr>
          <w:rFonts w:eastAsia="Arial"/>
          <w:sz w:val="22"/>
          <w:szCs w:val="22"/>
          <w:lang w:eastAsia="cs-CZ"/>
        </w:rPr>
        <w:tab/>
        <w:t xml:space="preserve">Dílčí odměna za zpracování scénáře nové stálé expozice NKP Vyšehrad (část B.2) včetně poskytnutí licence činí </w:t>
      </w:r>
      <w:r w:rsidR="00D444C8" w:rsidRPr="008346AE">
        <w:rPr>
          <w:rFonts w:eastAsia="Arial"/>
          <w:sz w:val="22"/>
          <w:szCs w:val="22"/>
          <w:lang w:eastAsia="cs-CZ"/>
        </w:rPr>
        <w:t>149.900, -</w:t>
      </w:r>
      <w:r w:rsidRPr="008346AE">
        <w:rPr>
          <w:rFonts w:eastAsia="Arial"/>
          <w:sz w:val="22"/>
          <w:szCs w:val="22"/>
          <w:lang w:eastAsia="cs-CZ"/>
        </w:rPr>
        <w:t xml:space="preserve"> Kč.</w:t>
      </w:r>
    </w:p>
    <w:p w14:paraId="0ECAA1AC" w14:textId="4C795515" w:rsidR="00D81777" w:rsidRPr="008346AE" w:rsidRDefault="00D81777" w:rsidP="00985DA2">
      <w:pPr>
        <w:pStyle w:val="Odstavecseseznamem"/>
        <w:spacing w:after="200"/>
        <w:ind w:left="708"/>
        <w:jc w:val="both"/>
        <w:rPr>
          <w:rFonts w:eastAsia="Arial"/>
          <w:sz w:val="22"/>
          <w:szCs w:val="22"/>
          <w:lang w:eastAsia="cs-CZ"/>
        </w:rPr>
      </w:pPr>
      <w:r w:rsidRPr="008346AE">
        <w:rPr>
          <w:rFonts w:eastAsia="Arial"/>
          <w:sz w:val="22"/>
          <w:szCs w:val="22"/>
          <w:lang w:eastAsia="cs-CZ"/>
        </w:rPr>
        <w:t>d.</w:t>
      </w:r>
      <w:r w:rsidRPr="008346AE">
        <w:rPr>
          <w:rFonts w:eastAsia="Arial"/>
          <w:sz w:val="22"/>
          <w:szCs w:val="22"/>
          <w:lang w:eastAsia="cs-CZ"/>
        </w:rPr>
        <w:tab/>
        <w:t xml:space="preserve">Dílčí odměna za autorský dozor a spolupráci při realizaci (část B.3) činí </w:t>
      </w:r>
      <w:r w:rsidR="00D444C8" w:rsidRPr="008346AE">
        <w:rPr>
          <w:rFonts w:eastAsia="Arial"/>
          <w:sz w:val="22"/>
          <w:szCs w:val="22"/>
          <w:lang w:eastAsia="cs-CZ"/>
        </w:rPr>
        <w:t>16.000, -</w:t>
      </w:r>
      <w:r w:rsidRPr="008346AE">
        <w:rPr>
          <w:rFonts w:eastAsia="Arial"/>
          <w:sz w:val="22"/>
          <w:szCs w:val="22"/>
          <w:lang w:eastAsia="cs-CZ"/>
        </w:rPr>
        <w:t xml:space="preserve"> Kč.</w:t>
      </w:r>
    </w:p>
    <w:p w14:paraId="5B1A9E43" w14:textId="77777777" w:rsidR="00985DA2" w:rsidRPr="008346AE" w:rsidRDefault="00985DA2" w:rsidP="00985DA2">
      <w:pPr>
        <w:pStyle w:val="Odstavecseseznamem"/>
        <w:spacing w:after="200"/>
        <w:ind w:left="708"/>
        <w:jc w:val="both"/>
        <w:rPr>
          <w:rFonts w:eastAsia="Arial"/>
          <w:sz w:val="22"/>
          <w:szCs w:val="22"/>
          <w:lang w:eastAsia="cs-CZ"/>
        </w:rPr>
      </w:pPr>
    </w:p>
    <w:p w14:paraId="1B084450" w14:textId="77777777" w:rsidR="002D6ABB" w:rsidRDefault="005941B4" w:rsidP="00985DA2">
      <w:pPr>
        <w:pStyle w:val="Odstavecseseznamem"/>
        <w:numPr>
          <w:ilvl w:val="1"/>
          <w:numId w:val="39"/>
        </w:numPr>
        <w:spacing w:after="200"/>
        <w:jc w:val="both"/>
        <w:rPr>
          <w:rFonts w:eastAsia="Arial"/>
          <w:sz w:val="22"/>
          <w:szCs w:val="22"/>
          <w:lang w:eastAsia="cs-CZ"/>
        </w:rPr>
      </w:pPr>
      <w:r w:rsidRPr="008346AE">
        <w:rPr>
          <w:rFonts w:eastAsia="Arial"/>
          <w:sz w:val="22"/>
          <w:szCs w:val="22"/>
          <w:lang w:eastAsia="cs-CZ"/>
        </w:rPr>
        <w:t xml:space="preserve">Na smlouvu se vztahovala povinnost uveřejnění v registru smluv dle zákona č. 340/2015 Sb., o registru smluv, ve znění pozdějších předpisů. Administrativní chybou však smlouva </w:t>
      </w:r>
      <w:r w:rsidR="004E013F">
        <w:rPr>
          <w:rFonts w:eastAsia="Arial"/>
          <w:sz w:val="22"/>
          <w:szCs w:val="22"/>
          <w:lang w:eastAsia="cs-CZ"/>
        </w:rPr>
        <w:t>nebyla</w:t>
      </w:r>
      <w:r w:rsidRPr="008346AE">
        <w:rPr>
          <w:rFonts w:eastAsia="Arial"/>
          <w:sz w:val="22"/>
          <w:szCs w:val="22"/>
          <w:lang w:eastAsia="cs-CZ"/>
        </w:rPr>
        <w:t xml:space="preserve"> v registru smluv</w:t>
      </w:r>
      <w:r w:rsidR="00A32A07" w:rsidRPr="00A32A07">
        <w:t xml:space="preserve"> </w:t>
      </w:r>
      <w:r w:rsidR="00A32A07" w:rsidRPr="00A32A07">
        <w:rPr>
          <w:rFonts w:eastAsia="Arial"/>
          <w:sz w:val="22"/>
          <w:szCs w:val="22"/>
          <w:lang w:eastAsia="cs-CZ"/>
        </w:rPr>
        <w:t>uveřejněna</w:t>
      </w:r>
      <w:r w:rsidRPr="008346AE">
        <w:rPr>
          <w:rFonts w:eastAsia="Arial"/>
          <w:sz w:val="22"/>
          <w:szCs w:val="22"/>
          <w:lang w:eastAsia="cs-CZ"/>
        </w:rPr>
        <w:t xml:space="preserve">. Vzhledem k tomu, že smlouva </w:t>
      </w:r>
      <w:r w:rsidR="000356FC">
        <w:rPr>
          <w:rFonts w:eastAsia="Arial"/>
          <w:sz w:val="22"/>
          <w:szCs w:val="22"/>
          <w:lang w:eastAsia="cs-CZ"/>
        </w:rPr>
        <w:t xml:space="preserve">nebyla v registru </w:t>
      </w:r>
      <w:r w:rsidR="000E72DC">
        <w:rPr>
          <w:rFonts w:eastAsia="Arial"/>
          <w:sz w:val="22"/>
          <w:szCs w:val="22"/>
          <w:lang w:eastAsia="cs-CZ"/>
        </w:rPr>
        <w:t xml:space="preserve">smluv </w:t>
      </w:r>
      <w:r w:rsidR="000E72DC" w:rsidRPr="008346AE">
        <w:rPr>
          <w:rFonts w:eastAsia="Arial"/>
          <w:sz w:val="22"/>
          <w:szCs w:val="22"/>
          <w:lang w:eastAsia="cs-CZ"/>
        </w:rPr>
        <w:t>uveřejněna</w:t>
      </w:r>
      <w:r w:rsidRPr="008346AE">
        <w:rPr>
          <w:rFonts w:eastAsia="Arial"/>
          <w:sz w:val="22"/>
          <w:szCs w:val="22"/>
          <w:lang w:eastAsia="cs-CZ"/>
        </w:rPr>
        <w:t xml:space="preserve"> v registru smluv ani 3 měsíce od jejich</w:t>
      </w:r>
      <w:r w:rsidR="00F01DD5" w:rsidRPr="008346AE">
        <w:rPr>
          <w:rFonts w:eastAsia="Arial"/>
          <w:sz w:val="22"/>
          <w:szCs w:val="22"/>
          <w:lang w:eastAsia="cs-CZ"/>
        </w:rPr>
        <w:t xml:space="preserve"> </w:t>
      </w:r>
      <w:r w:rsidRPr="008346AE">
        <w:rPr>
          <w:rFonts w:eastAsia="Arial"/>
          <w:sz w:val="22"/>
          <w:szCs w:val="22"/>
          <w:lang w:eastAsia="cs-CZ"/>
        </w:rPr>
        <w:t>uzavření</w:t>
      </w:r>
      <w:r w:rsidR="000356FC">
        <w:rPr>
          <w:rFonts w:eastAsia="Arial"/>
          <w:sz w:val="22"/>
          <w:szCs w:val="22"/>
          <w:lang w:eastAsia="cs-CZ"/>
        </w:rPr>
        <w:t xml:space="preserve"> je</w:t>
      </w:r>
      <w:r w:rsidRPr="008346AE">
        <w:rPr>
          <w:rFonts w:eastAsia="Arial"/>
          <w:sz w:val="22"/>
          <w:szCs w:val="22"/>
          <w:lang w:eastAsia="cs-CZ"/>
        </w:rPr>
        <w:t xml:space="preserve"> smlouva od počátku neplatn</w:t>
      </w:r>
      <w:r w:rsidR="000356FC">
        <w:rPr>
          <w:rFonts w:eastAsia="Arial"/>
          <w:sz w:val="22"/>
          <w:szCs w:val="22"/>
          <w:lang w:eastAsia="cs-CZ"/>
        </w:rPr>
        <w:t>á</w:t>
      </w:r>
      <w:r w:rsidRPr="008346AE">
        <w:rPr>
          <w:rFonts w:eastAsia="Arial"/>
          <w:sz w:val="22"/>
          <w:szCs w:val="22"/>
          <w:lang w:eastAsia="cs-CZ"/>
        </w:rPr>
        <w:t xml:space="preserve"> dle ust. § 7 odst. 1 zákona o registru smluv. </w:t>
      </w:r>
    </w:p>
    <w:p w14:paraId="2E46A428" w14:textId="77777777" w:rsidR="002D6ABB" w:rsidRDefault="002D6ABB" w:rsidP="00480EDF">
      <w:pPr>
        <w:pStyle w:val="Odstavecseseznamem"/>
        <w:spacing w:after="200"/>
        <w:ind w:left="360"/>
        <w:jc w:val="both"/>
        <w:rPr>
          <w:rFonts w:eastAsia="Arial"/>
          <w:sz w:val="22"/>
          <w:szCs w:val="22"/>
          <w:lang w:eastAsia="cs-CZ"/>
        </w:rPr>
      </w:pPr>
    </w:p>
    <w:p w14:paraId="7BDF877A" w14:textId="77777777" w:rsidR="008346AE" w:rsidRPr="008346AE" w:rsidRDefault="008346AE" w:rsidP="008346AE">
      <w:pPr>
        <w:pStyle w:val="Odstavecseseznamem"/>
        <w:spacing w:after="200"/>
        <w:ind w:left="360"/>
        <w:jc w:val="both"/>
        <w:rPr>
          <w:rFonts w:eastAsia="Arial"/>
          <w:sz w:val="22"/>
          <w:szCs w:val="22"/>
          <w:lang w:eastAsia="cs-CZ"/>
        </w:rPr>
      </w:pPr>
    </w:p>
    <w:p w14:paraId="18DEF585" w14:textId="42A15077" w:rsidR="008346AE" w:rsidRPr="00003268" w:rsidRDefault="005941B4" w:rsidP="00003268">
      <w:pPr>
        <w:pStyle w:val="Odstavecseseznamem"/>
        <w:numPr>
          <w:ilvl w:val="1"/>
          <w:numId w:val="39"/>
        </w:numPr>
        <w:spacing w:after="200"/>
        <w:jc w:val="both"/>
        <w:rPr>
          <w:rFonts w:eastAsia="Arial"/>
          <w:sz w:val="22"/>
          <w:szCs w:val="22"/>
          <w:lang w:eastAsia="cs-CZ"/>
        </w:rPr>
      </w:pPr>
      <w:r w:rsidRPr="008346AE">
        <w:rPr>
          <w:rFonts w:eastAsia="Arial"/>
          <w:sz w:val="22"/>
          <w:szCs w:val="22"/>
          <w:lang w:eastAsia="cs-CZ"/>
        </w:rPr>
        <w:t xml:space="preserve">Na základě neplatné smlouvy však již byly služby spočívající </w:t>
      </w:r>
      <w:r w:rsidR="00435321" w:rsidRPr="008346AE">
        <w:rPr>
          <w:rFonts w:eastAsia="Arial"/>
          <w:sz w:val="22"/>
          <w:szCs w:val="22"/>
          <w:lang w:eastAsia="cs-CZ"/>
        </w:rPr>
        <w:t xml:space="preserve">ve </w:t>
      </w:r>
      <w:r w:rsidR="00D444C8" w:rsidRPr="008346AE">
        <w:rPr>
          <w:rFonts w:eastAsia="Arial"/>
          <w:sz w:val="22"/>
          <w:szCs w:val="22"/>
          <w:lang w:eastAsia="cs-CZ"/>
        </w:rPr>
        <w:t>zpracování interpretačního</w:t>
      </w:r>
      <w:r w:rsidR="00435321" w:rsidRPr="008346AE">
        <w:rPr>
          <w:rFonts w:eastAsia="Arial"/>
          <w:sz w:val="22"/>
          <w:szCs w:val="22"/>
          <w:lang w:eastAsia="cs-CZ"/>
        </w:rPr>
        <w:t xml:space="preserve"> plánu nové stálé expozice NKP Vyšehrad (část B.0) včetně poskytnutí licence </w:t>
      </w:r>
      <w:r w:rsidR="00864117" w:rsidRPr="008346AE">
        <w:rPr>
          <w:rFonts w:eastAsia="Arial"/>
          <w:sz w:val="22"/>
          <w:szCs w:val="22"/>
          <w:lang w:eastAsia="cs-CZ"/>
        </w:rPr>
        <w:t xml:space="preserve">ve </w:t>
      </w:r>
      <w:r w:rsidR="008346AE" w:rsidRPr="008346AE">
        <w:rPr>
          <w:rFonts w:eastAsia="Arial"/>
          <w:sz w:val="22"/>
          <w:szCs w:val="22"/>
          <w:lang w:eastAsia="cs-CZ"/>
        </w:rPr>
        <w:t xml:space="preserve">výši </w:t>
      </w:r>
      <w:r w:rsidR="00003268" w:rsidRPr="008346AE">
        <w:rPr>
          <w:rFonts w:eastAsia="Arial"/>
          <w:sz w:val="22"/>
          <w:szCs w:val="22"/>
          <w:lang w:eastAsia="cs-CZ"/>
        </w:rPr>
        <w:t>88.100, -</w:t>
      </w:r>
      <w:r w:rsidR="00435321" w:rsidRPr="008346AE">
        <w:rPr>
          <w:rFonts w:eastAsia="Arial"/>
          <w:sz w:val="22"/>
          <w:szCs w:val="22"/>
          <w:lang w:eastAsia="cs-CZ"/>
        </w:rPr>
        <w:t xml:space="preserve"> Kč</w:t>
      </w:r>
      <w:r w:rsidR="00864117" w:rsidRPr="008346AE">
        <w:rPr>
          <w:rFonts w:eastAsia="Arial"/>
          <w:sz w:val="22"/>
          <w:szCs w:val="22"/>
          <w:lang w:eastAsia="cs-CZ"/>
        </w:rPr>
        <w:t xml:space="preserve"> </w:t>
      </w:r>
      <w:r w:rsidR="00657160" w:rsidRPr="008346AE">
        <w:rPr>
          <w:rFonts w:eastAsia="Arial"/>
          <w:sz w:val="22"/>
          <w:szCs w:val="22"/>
          <w:lang w:eastAsia="cs-CZ"/>
        </w:rPr>
        <w:t>provedeny</w:t>
      </w:r>
      <w:r w:rsidR="00D400B1">
        <w:rPr>
          <w:rFonts w:eastAsia="Arial"/>
          <w:sz w:val="22"/>
          <w:szCs w:val="22"/>
          <w:lang w:eastAsia="cs-CZ"/>
        </w:rPr>
        <w:t xml:space="preserve"> a </w:t>
      </w:r>
      <w:r w:rsidR="00922CD9">
        <w:rPr>
          <w:rFonts w:eastAsia="Arial"/>
          <w:sz w:val="22"/>
          <w:szCs w:val="22"/>
          <w:lang w:eastAsia="cs-CZ"/>
        </w:rPr>
        <w:t xml:space="preserve">na dalších </w:t>
      </w:r>
      <w:r w:rsidR="008D3670">
        <w:rPr>
          <w:rFonts w:eastAsia="Arial"/>
          <w:sz w:val="22"/>
          <w:szCs w:val="22"/>
          <w:lang w:eastAsia="cs-CZ"/>
        </w:rPr>
        <w:t xml:space="preserve">dílčích plnění </w:t>
      </w:r>
      <w:r w:rsidR="00DB7CB7">
        <w:rPr>
          <w:rFonts w:eastAsia="Arial"/>
          <w:sz w:val="22"/>
          <w:szCs w:val="22"/>
          <w:lang w:eastAsia="cs-CZ"/>
        </w:rPr>
        <w:t>ÚIMD</w:t>
      </w:r>
      <w:r w:rsidR="008D3670">
        <w:rPr>
          <w:rFonts w:eastAsia="Arial"/>
          <w:sz w:val="22"/>
          <w:szCs w:val="22"/>
          <w:lang w:eastAsia="cs-CZ"/>
        </w:rPr>
        <w:t xml:space="preserve"> pracuje</w:t>
      </w:r>
      <w:r w:rsidR="00B03742" w:rsidRPr="008346AE">
        <w:rPr>
          <w:rFonts w:eastAsia="Arial"/>
          <w:sz w:val="22"/>
          <w:szCs w:val="22"/>
          <w:lang w:eastAsia="cs-CZ"/>
        </w:rPr>
        <w:t>.</w:t>
      </w:r>
    </w:p>
    <w:p w14:paraId="3CB84A69" w14:textId="4F5164B2" w:rsidR="005F5399" w:rsidRPr="008346AE" w:rsidRDefault="005F5399" w:rsidP="00985DA2">
      <w:pPr>
        <w:pStyle w:val="Odstavecseseznamem"/>
        <w:numPr>
          <w:ilvl w:val="1"/>
          <w:numId w:val="39"/>
        </w:numPr>
        <w:spacing w:after="200"/>
        <w:jc w:val="both"/>
        <w:rPr>
          <w:rFonts w:eastAsia="Arial"/>
          <w:sz w:val="22"/>
          <w:szCs w:val="22"/>
          <w:lang w:eastAsia="cs-CZ"/>
        </w:rPr>
      </w:pPr>
      <w:r w:rsidRPr="008346AE">
        <w:rPr>
          <w:rFonts w:eastAsia="Arial"/>
          <w:sz w:val="22"/>
          <w:szCs w:val="22"/>
          <w:lang w:eastAsia="cs-CZ"/>
        </w:rPr>
        <w:lastRenderedPageBreak/>
        <w:t xml:space="preserve">V čl. </w:t>
      </w:r>
      <w:r w:rsidR="00F54C12" w:rsidRPr="008346AE">
        <w:rPr>
          <w:rFonts w:eastAsia="Arial"/>
          <w:sz w:val="22"/>
          <w:szCs w:val="22"/>
          <w:lang w:eastAsia="cs-CZ"/>
        </w:rPr>
        <w:t>VIII.</w:t>
      </w:r>
      <w:r w:rsidRPr="008346AE">
        <w:rPr>
          <w:rFonts w:eastAsia="Arial"/>
          <w:sz w:val="22"/>
          <w:szCs w:val="22"/>
          <w:lang w:eastAsia="cs-CZ"/>
        </w:rPr>
        <w:t xml:space="preserve"> odst. </w:t>
      </w:r>
      <w:r w:rsidR="00F54C12" w:rsidRPr="008346AE">
        <w:rPr>
          <w:rFonts w:eastAsia="Arial"/>
          <w:sz w:val="22"/>
          <w:szCs w:val="22"/>
          <w:lang w:eastAsia="cs-CZ"/>
        </w:rPr>
        <w:t>8.2.</w:t>
      </w:r>
      <w:r w:rsidRPr="008346AE">
        <w:rPr>
          <w:rFonts w:eastAsia="Arial"/>
          <w:sz w:val="22"/>
          <w:szCs w:val="22"/>
          <w:lang w:eastAsia="cs-CZ"/>
        </w:rPr>
        <w:t xml:space="preserve"> </w:t>
      </w:r>
      <w:r w:rsidR="00F54C12" w:rsidRPr="008346AE">
        <w:rPr>
          <w:rFonts w:eastAsia="Arial"/>
          <w:sz w:val="22"/>
          <w:szCs w:val="22"/>
          <w:lang w:eastAsia="cs-CZ"/>
        </w:rPr>
        <w:t>s</w:t>
      </w:r>
      <w:r w:rsidRPr="008346AE">
        <w:rPr>
          <w:rFonts w:eastAsia="Arial"/>
          <w:sz w:val="22"/>
          <w:szCs w:val="22"/>
          <w:lang w:eastAsia="cs-CZ"/>
        </w:rPr>
        <w:t>mlouvy bylo sjednáno, že Smlouva nabývá účinnosti dnem jejího uveřejnění v registru smluv dle zákona č. 340/2015 Sb., o zvláštních podmínkách účinnosti některých smluv, uveřejněni těchto smluv a o registru smluv (zákon o registru smluv), ve znění pozdějších předpisů (dále „zákon o registru smluv“). Smluvní strany zjistily, že Smlouva nebyla uveřejněna prostřednictvím registru smluv dle zákona o registru smluv ve lhůtě 3 měsíců od jejího uzavření.</w:t>
      </w:r>
    </w:p>
    <w:p w14:paraId="1FA491E9" w14:textId="65865A91" w:rsidR="005F5399" w:rsidRPr="008346AE" w:rsidRDefault="005F5399" w:rsidP="009B0B5D">
      <w:pPr>
        <w:pStyle w:val="Odstavecseseznamem"/>
        <w:numPr>
          <w:ilvl w:val="1"/>
          <w:numId w:val="39"/>
        </w:numPr>
        <w:spacing w:after="200"/>
        <w:jc w:val="both"/>
        <w:rPr>
          <w:rFonts w:eastAsia="Arial"/>
          <w:sz w:val="22"/>
          <w:szCs w:val="22"/>
          <w:lang w:eastAsia="cs-CZ"/>
        </w:rPr>
      </w:pPr>
      <w:r w:rsidRPr="008346AE">
        <w:rPr>
          <w:rFonts w:eastAsia="Arial"/>
          <w:sz w:val="22"/>
          <w:szCs w:val="22"/>
          <w:lang w:eastAsia="cs-CZ"/>
        </w:rPr>
        <w:t>Dle § 7 odst. 1 zákona o registru smluv platí, že nebyla-li smlouva, na niž se vztahuje</w:t>
      </w:r>
      <w:r w:rsidR="00B03742" w:rsidRPr="008346AE">
        <w:rPr>
          <w:rFonts w:eastAsia="Arial"/>
          <w:sz w:val="22"/>
          <w:szCs w:val="22"/>
          <w:lang w:eastAsia="cs-CZ"/>
        </w:rPr>
        <w:t>.</w:t>
      </w:r>
      <w:r w:rsidRPr="008346AE">
        <w:rPr>
          <w:rFonts w:eastAsia="Arial"/>
          <w:sz w:val="22"/>
          <w:szCs w:val="22"/>
          <w:lang w:eastAsia="cs-CZ"/>
        </w:rPr>
        <w:t xml:space="preserve"> po</w:t>
      </w:r>
      <w:r w:rsidR="00507FFD" w:rsidRPr="008346AE">
        <w:rPr>
          <w:rFonts w:eastAsia="Arial"/>
          <w:sz w:val="22"/>
          <w:szCs w:val="22"/>
          <w:lang w:eastAsia="cs-CZ"/>
        </w:rPr>
        <w:t>v</w:t>
      </w:r>
      <w:r w:rsidRPr="008346AE">
        <w:rPr>
          <w:rFonts w:eastAsia="Arial"/>
          <w:sz w:val="22"/>
          <w:szCs w:val="22"/>
          <w:lang w:eastAsia="cs-CZ"/>
        </w:rPr>
        <w:t>innost uveřejnění prostřednictvím registru smluv, uveřejněna prostřednictvím registru</w:t>
      </w:r>
      <w:r w:rsidR="009B0B5D" w:rsidRPr="008346AE">
        <w:rPr>
          <w:rFonts w:eastAsia="Arial"/>
          <w:sz w:val="22"/>
          <w:szCs w:val="22"/>
          <w:lang w:eastAsia="cs-CZ"/>
        </w:rPr>
        <w:t xml:space="preserve"> </w:t>
      </w:r>
      <w:r w:rsidRPr="008346AE">
        <w:rPr>
          <w:rFonts w:eastAsia="Arial"/>
          <w:sz w:val="22"/>
          <w:szCs w:val="22"/>
          <w:lang w:eastAsia="cs-CZ"/>
        </w:rPr>
        <w:t>smluv ani do tří měsíců ode dne, kdy byla uzavřena, platí, že je zrušena od počátku.</w:t>
      </w:r>
      <w:r w:rsidR="009B0B5D" w:rsidRPr="008346AE">
        <w:rPr>
          <w:rFonts w:eastAsia="Arial"/>
          <w:sz w:val="22"/>
          <w:szCs w:val="22"/>
          <w:lang w:eastAsia="cs-CZ"/>
        </w:rPr>
        <w:t xml:space="preserve"> </w:t>
      </w:r>
      <w:r w:rsidRPr="008346AE">
        <w:rPr>
          <w:rFonts w:eastAsia="Arial"/>
          <w:sz w:val="22"/>
          <w:szCs w:val="22"/>
          <w:lang w:eastAsia="cs-CZ"/>
        </w:rPr>
        <w:t>Na základě tohoto ustanovení došlo ke zrušení Smlouvy od počátku, v důsledku čehož došlo</w:t>
      </w:r>
      <w:r w:rsidR="009B0B5D" w:rsidRPr="008346AE">
        <w:rPr>
          <w:rFonts w:eastAsia="Arial"/>
          <w:sz w:val="22"/>
          <w:szCs w:val="22"/>
          <w:lang w:eastAsia="cs-CZ"/>
        </w:rPr>
        <w:t xml:space="preserve"> </w:t>
      </w:r>
      <w:r w:rsidRPr="008346AE">
        <w:rPr>
          <w:rFonts w:eastAsia="Arial"/>
          <w:sz w:val="22"/>
          <w:szCs w:val="22"/>
          <w:lang w:eastAsia="cs-CZ"/>
        </w:rPr>
        <w:t>na obou stranách k bezdůvodnému obohacení ve smyslu ustanovení § 2993 občanského</w:t>
      </w:r>
      <w:r w:rsidR="009B0B5D" w:rsidRPr="008346AE">
        <w:rPr>
          <w:rFonts w:eastAsia="Arial"/>
          <w:sz w:val="22"/>
          <w:szCs w:val="22"/>
          <w:lang w:eastAsia="cs-CZ"/>
        </w:rPr>
        <w:t xml:space="preserve"> </w:t>
      </w:r>
      <w:r w:rsidRPr="008346AE">
        <w:rPr>
          <w:rFonts w:eastAsia="Arial"/>
          <w:sz w:val="22"/>
          <w:szCs w:val="22"/>
          <w:lang w:eastAsia="cs-CZ"/>
        </w:rPr>
        <w:t>zákoníku.</w:t>
      </w:r>
    </w:p>
    <w:p w14:paraId="26C95E24" w14:textId="77777777" w:rsidR="005941B4" w:rsidRPr="001E23DF" w:rsidRDefault="005941B4" w:rsidP="007C60E3">
      <w:pPr>
        <w:widowControl w:val="0"/>
        <w:ind w:right="147"/>
        <w:jc w:val="center"/>
        <w:rPr>
          <w:b/>
          <w:bCs/>
          <w:sz w:val="22"/>
          <w:szCs w:val="22"/>
        </w:rPr>
      </w:pPr>
      <w:r w:rsidRPr="001E23DF">
        <w:rPr>
          <w:b/>
          <w:bCs/>
          <w:sz w:val="22"/>
          <w:szCs w:val="22"/>
        </w:rPr>
        <w:t>II.</w:t>
      </w:r>
    </w:p>
    <w:p w14:paraId="162D61A0" w14:textId="46DD3EEF" w:rsidR="005941B4" w:rsidRPr="001E23DF" w:rsidRDefault="007C60E3" w:rsidP="007C60E3">
      <w:pPr>
        <w:widowControl w:val="0"/>
        <w:ind w:right="147"/>
        <w:jc w:val="center"/>
        <w:rPr>
          <w:b/>
          <w:bCs/>
          <w:sz w:val="22"/>
          <w:szCs w:val="22"/>
        </w:rPr>
      </w:pPr>
      <w:r w:rsidRPr="001E23DF">
        <w:rPr>
          <w:b/>
          <w:bCs/>
          <w:sz w:val="22"/>
          <w:szCs w:val="22"/>
        </w:rPr>
        <w:t>Vypořádání bezdůvodného obohacení</w:t>
      </w:r>
    </w:p>
    <w:p w14:paraId="3BD75793" w14:textId="77777777" w:rsidR="007C60E3" w:rsidRPr="008346AE" w:rsidRDefault="007C60E3" w:rsidP="007C60E3">
      <w:pPr>
        <w:widowControl w:val="0"/>
        <w:ind w:right="147"/>
        <w:jc w:val="center"/>
        <w:rPr>
          <w:sz w:val="22"/>
          <w:szCs w:val="22"/>
        </w:rPr>
      </w:pPr>
    </w:p>
    <w:p w14:paraId="16691F67" w14:textId="08092551" w:rsidR="007C60E3" w:rsidRPr="008346AE" w:rsidRDefault="007C60E3" w:rsidP="006C2044">
      <w:pPr>
        <w:pStyle w:val="Odstavecseseznamem"/>
        <w:numPr>
          <w:ilvl w:val="1"/>
          <w:numId w:val="36"/>
        </w:numPr>
        <w:spacing w:after="200"/>
        <w:jc w:val="both"/>
        <w:rPr>
          <w:rFonts w:eastAsia="Arial"/>
          <w:sz w:val="22"/>
          <w:szCs w:val="22"/>
          <w:lang w:eastAsia="cs-CZ"/>
        </w:rPr>
      </w:pPr>
      <w:r w:rsidRPr="008346AE">
        <w:rPr>
          <w:rFonts w:eastAsia="Arial"/>
          <w:sz w:val="22"/>
          <w:szCs w:val="22"/>
          <w:lang w:eastAsia="cs-CZ"/>
        </w:rPr>
        <w:t xml:space="preserve">Smluvní strany si tímto ujednáním vzájemně stvrzují, že obsah vzájemných práv a povinností, který touto dohodou nově sjednávají, je zcela a beze zbytku vyjádřen textem Smlouvy, jejíž obsah je oběma stranám dobře znám, a smluvní strany mají i nadále vůli být závazky uvedenými ve Smlouvě </w:t>
      </w:r>
      <w:r w:rsidR="00E61738">
        <w:rPr>
          <w:rFonts w:eastAsia="Arial"/>
          <w:sz w:val="22"/>
          <w:szCs w:val="22"/>
          <w:lang w:eastAsia="cs-CZ"/>
        </w:rPr>
        <w:t xml:space="preserve">č. SD/405/2023 </w:t>
      </w:r>
      <w:r w:rsidRPr="008346AE">
        <w:rPr>
          <w:rFonts w:eastAsia="Arial"/>
          <w:sz w:val="22"/>
          <w:szCs w:val="22"/>
          <w:lang w:eastAsia="cs-CZ"/>
        </w:rPr>
        <w:t>vázány.</w:t>
      </w:r>
    </w:p>
    <w:p w14:paraId="7F85492E" w14:textId="1CCE75CF" w:rsidR="007C60E3" w:rsidRDefault="007C60E3" w:rsidP="0015663B">
      <w:pPr>
        <w:pStyle w:val="Odstavecseseznamem"/>
        <w:numPr>
          <w:ilvl w:val="1"/>
          <w:numId w:val="36"/>
        </w:numPr>
        <w:spacing w:after="200"/>
        <w:jc w:val="both"/>
        <w:rPr>
          <w:rFonts w:eastAsia="Arial"/>
          <w:sz w:val="22"/>
          <w:szCs w:val="22"/>
          <w:lang w:eastAsia="cs-CZ"/>
        </w:rPr>
      </w:pPr>
      <w:r w:rsidRPr="008346AE">
        <w:rPr>
          <w:rFonts w:eastAsia="Arial"/>
          <w:sz w:val="22"/>
          <w:szCs w:val="22"/>
          <w:lang w:eastAsia="cs-CZ"/>
        </w:rPr>
        <w:t>Smluvní strany prohlašují, že veškerá vzájemně poskytnutá plnění na základě Smlouvy považují za plnění dle této dohody a že v souvislosti se vzájemně poskytnutým plněním nebudou vzájemně vznášet vůči druhé smluvní straně nároky z titulu bezdůvodného obohacení. Smluvní strany tak prohlašují, že vzájemná plnění byla plně vypořádána a smluvní strany vůči sobě nemají z titulu Smlouvy žádné nevypořádané závazky.</w:t>
      </w:r>
    </w:p>
    <w:p w14:paraId="0ED3AC38" w14:textId="795E36BF" w:rsidR="006D6EEB" w:rsidRPr="006D6EEB" w:rsidRDefault="006D6EEB" w:rsidP="006D6EEB">
      <w:pPr>
        <w:pStyle w:val="Odstavecseseznamem"/>
        <w:numPr>
          <w:ilvl w:val="1"/>
          <w:numId w:val="36"/>
        </w:numPr>
        <w:spacing w:after="200"/>
        <w:jc w:val="both"/>
        <w:rPr>
          <w:rFonts w:eastAsia="Arial"/>
          <w:sz w:val="22"/>
          <w:szCs w:val="22"/>
          <w:lang w:eastAsia="cs-CZ"/>
        </w:rPr>
      </w:pPr>
      <w:r>
        <w:rPr>
          <w:rFonts w:eastAsia="Arial"/>
          <w:sz w:val="22"/>
          <w:szCs w:val="22"/>
          <w:lang w:eastAsia="cs-CZ"/>
        </w:rPr>
        <w:t xml:space="preserve">Smlouva SD/405/2023 byla uveřejněna v registru smluv dne 6. června 2023 odkaz na záznam v registru smluv </w:t>
      </w:r>
      <w:r w:rsidRPr="002D6ABB">
        <w:rPr>
          <w:rFonts w:eastAsia="Arial"/>
          <w:sz w:val="22"/>
          <w:szCs w:val="22"/>
          <w:lang w:eastAsia="cs-CZ"/>
        </w:rPr>
        <w:t>https://smlouvy.gov.cz/smlouva/24692191</w:t>
      </w:r>
      <w:r>
        <w:rPr>
          <w:rFonts w:eastAsia="Arial"/>
          <w:sz w:val="22"/>
          <w:szCs w:val="22"/>
          <w:lang w:eastAsia="cs-CZ"/>
        </w:rPr>
        <w:t>.</w:t>
      </w:r>
    </w:p>
    <w:p w14:paraId="02D27B15" w14:textId="2D8D3246" w:rsidR="007C60E3" w:rsidRDefault="007C60E3" w:rsidP="00C92382">
      <w:pPr>
        <w:pStyle w:val="Odstavecseseznamem"/>
        <w:numPr>
          <w:ilvl w:val="1"/>
          <w:numId w:val="36"/>
        </w:numPr>
        <w:spacing w:after="200"/>
        <w:jc w:val="both"/>
        <w:rPr>
          <w:rFonts w:eastAsia="Arial"/>
          <w:sz w:val="22"/>
          <w:szCs w:val="22"/>
          <w:lang w:eastAsia="cs-CZ"/>
        </w:rPr>
      </w:pPr>
      <w:r w:rsidRPr="008346AE">
        <w:rPr>
          <w:rFonts w:eastAsia="Arial"/>
          <w:sz w:val="22"/>
          <w:szCs w:val="22"/>
          <w:lang w:eastAsia="cs-CZ"/>
        </w:rPr>
        <w:t>Ustanovením čl. II. odst. 2 nejsou nijak dotčena další práva a povinnosti smluvních stran, vyplývající ze Smlouvy dle příslušných právních předpisů, než ta práva a povinnosti, jež jsou předmětem této dohody.</w:t>
      </w:r>
    </w:p>
    <w:p w14:paraId="605F74D8" w14:textId="77777777" w:rsidR="009C4073" w:rsidRPr="001E23DF" w:rsidRDefault="009C4073" w:rsidP="00DC1714">
      <w:pPr>
        <w:widowControl w:val="0"/>
        <w:ind w:left="3540" w:right="147" w:firstLine="708"/>
        <w:rPr>
          <w:b/>
          <w:bCs/>
          <w:sz w:val="22"/>
          <w:szCs w:val="22"/>
        </w:rPr>
      </w:pPr>
      <w:r w:rsidRPr="001E23DF">
        <w:rPr>
          <w:b/>
          <w:bCs/>
          <w:sz w:val="22"/>
          <w:szCs w:val="22"/>
        </w:rPr>
        <w:t>III.</w:t>
      </w:r>
    </w:p>
    <w:p w14:paraId="491275DC" w14:textId="77777777" w:rsidR="009C4073" w:rsidRPr="001E23DF" w:rsidRDefault="009C4073" w:rsidP="009C4073">
      <w:pPr>
        <w:widowControl w:val="0"/>
        <w:ind w:right="147"/>
        <w:jc w:val="center"/>
        <w:rPr>
          <w:b/>
          <w:bCs/>
          <w:sz w:val="22"/>
          <w:szCs w:val="22"/>
        </w:rPr>
      </w:pPr>
      <w:r w:rsidRPr="001E23DF">
        <w:rPr>
          <w:b/>
          <w:bCs/>
          <w:sz w:val="22"/>
          <w:szCs w:val="22"/>
        </w:rPr>
        <w:t>Závěrečná ustanovení</w:t>
      </w:r>
    </w:p>
    <w:p w14:paraId="405100B5" w14:textId="77777777" w:rsidR="00F91586" w:rsidRPr="008346AE" w:rsidRDefault="00F91586" w:rsidP="008A4E3B">
      <w:pPr>
        <w:spacing w:after="200"/>
        <w:jc w:val="both"/>
        <w:rPr>
          <w:rFonts w:eastAsia="Arial"/>
          <w:vanish/>
          <w:sz w:val="22"/>
          <w:szCs w:val="22"/>
          <w:lang w:eastAsia="cs-CZ"/>
        </w:rPr>
      </w:pPr>
    </w:p>
    <w:p w14:paraId="6443A543" w14:textId="6C061498" w:rsidR="000D0D21" w:rsidRPr="008346AE" w:rsidRDefault="009C4073" w:rsidP="00C83B99">
      <w:pPr>
        <w:pStyle w:val="Odstavecseseznamem"/>
        <w:numPr>
          <w:ilvl w:val="1"/>
          <w:numId w:val="40"/>
        </w:numPr>
        <w:spacing w:after="200"/>
        <w:jc w:val="both"/>
        <w:rPr>
          <w:rFonts w:eastAsia="Arial"/>
          <w:sz w:val="22"/>
          <w:szCs w:val="22"/>
          <w:lang w:eastAsia="cs-CZ"/>
        </w:rPr>
      </w:pPr>
      <w:r w:rsidRPr="008346AE">
        <w:rPr>
          <w:rFonts w:eastAsia="Arial"/>
          <w:sz w:val="22"/>
          <w:szCs w:val="22"/>
          <w:lang w:eastAsia="cs-CZ"/>
        </w:rPr>
        <w:t>Tato dohoda je vyhotovena ve dvou stejnopisech, přičemž každá smluvní strana obdrží po jednom</w:t>
      </w:r>
      <w:r w:rsidR="00A85231" w:rsidRPr="008346AE">
        <w:rPr>
          <w:rFonts w:eastAsia="Arial"/>
          <w:sz w:val="22"/>
          <w:szCs w:val="22"/>
          <w:lang w:eastAsia="cs-CZ"/>
        </w:rPr>
        <w:t>.</w:t>
      </w:r>
    </w:p>
    <w:p w14:paraId="75D2DA9A" w14:textId="77777777" w:rsidR="000D0D21" w:rsidRPr="008346AE" w:rsidRDefault="009C4073" w:rsidP="00C83B99">
      <w:pPr>
        <w:pStyle w:val="Odstavecseseznamem"/>
        <w:numPr>
          <w:ilvl w:val="1"/>
          <w:numId w:val="40"/>
        </w:numPr>
        <w:spacing w:after="200"/>
        <w:jc w:val="both"/>
        <w:rPr>
          <w:rFonts w:eastAsia="Arial"/>
          <w:sz w:val="22"/>
          <w:szCs w:val="22"/>
          <w:lang w:eastAsia="cs-CZ"/>
        </w:rPr>
      </w:pPr>
      <w:r w:rsidRPr="008346AE">
        <w:rPr>
          <w:rFonts w:eastAsia="Arial"/>
          <w:sz w:val="22"/>
          <w:szCs w:val="22"/>
          <w:lang w:eastAsia="cs-CZ"/>
        </w:rPr>
        <w:t xml:space="preserve">Tato dohoda nabývá platnosti dnem podpisu smluvních stran a účinnosti dnem jeho uveřejnění v registru smluv dle zákona č. 340/2015 Sb., o zvláštních podmínkách účinnosti některých smluv, uveřejňování těchto smluv a o registru smluv (zákon o registru smluv), ve znění pozdějších předpisů. Smluvní strany tímto souhlasí s uveřejněním této dohody prostřednictvím registru smluv. Smluvní strany se dohodly, že uveřejnění této dohody v souladu s výše citovaným zákonem zajistí </w:t>
      </w:r>
      <w:r w:rsidR="000D0D21" w:rsidRPr="008346AE">
        <w:rPr>
          <w:rFonts w:eastAsia="Arial"/>
          <w:sz w:val="22"/>
          <w:szCs w:val="22"/>
          <w:lang w:eastAsia="cs-CZ"/>
        </w:rPr>
        <w:t>Národní kulturní památka Vyšehrad</w:t>
      </w:r>
      <w:r w:rsidRPr="008346AE">
        <w:rPr>
          <w:rFonts w:eastAsia="Arial"/>
          <w:sz w:val="22"/>
          <w:szCs w:val="22"/>
          <w:lang w:eastAsia="cs-CZ"/>
        </w:rPr>
        <w:t>.</w:t>
      </w:r>
    </w:p>
    <w:p w14:paraId="1F2AF448" w14:textId="2A3B93F9" w:rsidR="000D0D21" w:rsidRPr="008346AE" w:rsidRDefault="009C4073" w:rsidP="00C83B99">
      <w:pPr>
        <w:pStyle w:val="Odstavecseseznamem"/>
        <w:numPr>
          <w:ilvl w:val="1"/>
          <w:numId w:val="40"/>
        </w:numPr>
        <w:spacing w:after="200"/>
        <w:jc w:val="both"/>
        <w:rPr>
          <w:rFonts w:eastAsia="Arial"/>
          <w:sz w:val="22"/>
          <w:szCs w:val="22"/>
          <w:lang w:eastAsia="cs-CZ"/>
        </w:rPr>
      </w:pPr>
      <w:r w:rsidRPr="008346AE">
        <w:rPr>
          <w:rFonts w:eastAsia="Arial"/>
          <w:sz w:val="22"/>
          <w:szCs w:val="22"/>
          <w:lang w:eastAsia="cs-CZ"/>
        </w:rPr>
        <w:t>Smluvní strany prohlašují, že si tuto dohodu před jejím podpisem přečetly, že s</w:t>
      </w:r>
      <w:r w:rsidR="000D0D21" w:rsidRPr="008346AE">
        <w:rPr>
          <w:rFonts w:eastAsia="Arial"/>
          <w:sz w:val="22"/>
          <w:szCs w:val="22"/>
          <w:lang w:eastAsia="cs-CZ"/>
        </w:rPr>
        <w:t> </w:t>
      </w:r>
      <w:r w:rsidRPr="008346AE">
        <w:rPr>
          <w:rFonts w:eastAsia="Arial"/>
          <w:sz w:val="22"/>
          <w:szCs w:val="22"/>
          <w:lang w:eastAsia="cs-CZ"/>
        </w:rPr>
        <w:t>jejím</w:t>
      </w:r>
    </w:p>
    <w:p w14:paraId="2B69C24B" w14:textId="3E72E36B" w:rsidR="00A711F4" w:rsidRPr="00DC1714" w:rsidRDefault="009C4073" w:rsidP="00DC1714">
      <w:pPr>
        <w:pStyle w:val="Odstavecseseznamem"/>
        <w:spacing w:after="200"/>
        <w:ind w:left="360"/>
        <w:jc w:val="both"/>
        <w:rPr>
          <w:rFonts w:eastAsia="Arial"/>
          <w:sz w:val="22"/>
          <w:szCs w:val="22"/>
          <w:lang w:eastAsia="cs-CZ"/>
        </w:rPr>
      </w:pPr>
      <w:r w:rsidRPr="008346AE">
        <w:rPr>
          <w:rFonts w:eastAsia="Arial"/>
          <w:sz w:val="22"/>
          <w:szCs w:val="22"/>
          <w:lang w:eastAsia="cs-CZ"/>
        </w:rPr>
        <w:t>obsahem souhlasí, a na důkaz výše uvedeného připojují své podpisy.</w:t>
      </w:r>
    </w:p>
    <w:p w14:paraId="21892CAF" w14:textId="77777777" w:rsidR="00836843" w:rsidRPr="008346AE" w:rsidRDefault="00836843" w:rsidP="00A711F4">
      <w:pPr>
        <w:rPr>
          <w:sz w:val="22"/>
          <w:szCs w:val="22"/>
        </w:rPr>
      </w:pPr>
    </w:p>
    <w:p w14:paraId="134F77C3" w14:textId="61B669AA" w:rsidR="00A711F4" w:rsidRPr="008346AE" w:rsidRDefault="00A711F4" w:rsidP="00A711F4">
      <w:pPr>
        <w:rPr>
          <w:sz w:val="22"/>
          <w:szCs w:val="22"/>
        </w:rPr>
      </w:pPr>
      <w:r w:rsidRPr="008346AE">
        <w:rPr>
          <w:sz w:val="22"/>
          <w:szCs w:val="22"/>
        </w:rPr>
        <w:t>V Praze dne ………………</w:t>
      </w:r>
      <w:r w:rsidRPr="008346AE">
        <w:rPr>
          <w:sz w:val="22"/>
          <w:szCs w:val="22"/>
        </w:rPr>
        <w:tab/>
      </w:r>
      <w:r w:rsidRPr="008346AE">
        <w:rPr>
          <w:sz w:val="22"/>
          <w:szCs w:val="22"/>
        </w:rPr>
        <w:tab/>
      </w:r>
      <w:r w:rsidRPr="008346AE">
        <w:rPr>
          <w:sz w:val="22"/>
          <w:szCs w:val="22"/>
        </w:rPr>
        <w:tab/>
        <w:t>V Praze dne ………………</w:t>
      </w:r>
    </w:p>
    <w:p w14:paraId="6AB23660" w14:textId="77777777" w:rsidR="00A711F4" w:rsidRPr="008346AE" w:rsidRDefault="00A711F4" w:rsidP="00A711F4">
      <w:pPr>
        <w:rPr>
          <w:sz w:val="22"/>
          <w:szCs w:val="22"/>
        </w:rPr>
      </w:pPr>
    </w:p>
    <w:p w14:paraId="51DCE61A" w14:textId="4A9F96E9" w:rsidR="00A711F4" w:rsidRPr="008346AE" w:rsidRDefault="00A711F4" w:rsidP="00A711F4">
      <w:pPr>
        <w:rPr>
          <w:sz w:val="22"/>
          <w:szCs w:val="22"/>
        </w:rPr>
      </w:pPr>
    </w:p>
    <w:p w14:paraId="3B182F20" w14:textId="77777777" w:rsidR="00A711F4" w:rsidRPr="008346AE" w:rsidRDefault="00A711F4" w:rsidP="00A711F4">
      <w:pPr>
        <w:rPr>
          <w:sz w:val="22"/>
          <w:szCs w:val="22"/>
        </w:rPr>
      </w:pPr>
    </w:p>
    <w:p w14:paraId="22745C7F" w14:textId="5724471C" w:rsidR="00A711F4" w:rsidRDefault="00A711F4" w:rsidP="00A711F4">
      <w:pPr>
        <w:spacing w:line="360" w:lineRule="auto"/>
        <w:rPr>
          <w:sz w:val="22"/>
          <w:szCs w:val="22"/>
        </w:rPr>
      </w:pPr>
    </w:p>
    <w:p w14:paraId="4D7071F2" w14:textId="77777777" w:rsidR="00DC1714" w:rsidRPr="008346AE" w:rsidRDefault="00DC1714" w:rsidP="00A711F4">
      <w:pPr>
        <w:spacing w:line="360" w:lineRule="auto"/>
        <w:rPr>
          <w:sz w:val="22"/>
          <w:szCs w:val="22"/>
        </w:rPr>
      </w:pPr>
    </w:p>
    <w:p w14:paraId="16406F15" w14:textId="7FCFCB47" w:rsidR="00A711F4" w:rsidRPr="008346AE" w:rsidRDefault="00A711F4" w:rsidP="00A711F4">
      <w:pPr>
        <w:spacing w:line="360" w:lineRule="auto"/>
        <w:rPr>
          <w:sz w:val="22"/>
          <w:szCs w:val="22"/>
        </w:rPr>
      </w:pPr>
      <w:r w:rsidRPr="008346AE">
        <w:rPr>
          <w:sz w:val="22"/>
          <w:szCs w:val="22"/>
        </w:rPr>
        <w:t>…………………………………….</w:t>
      </w:r>
      <w:r w:rsidRPr="008346AE">
        <w:rPr>
          <w:sz w:val="22"/>
          <w:szCs w:val="22"/>
        </w:rPr>
        <w:tab/>
      </w:r>
      <w:r w:rsidRPr="008346AE">
        <w:rPr>
          <w:sz w:val="22"/>
          <w:szCs w:val="22"/>
        </w:rPr>
        <w:tab/>
        <w:t>…………………………………….</w:t>
      </w:r>
      <w:r w:rsidRPr="008346AE">
        <w:rPr>
          <w:sz w:val="22"/>
          <w:szCs w:val="22"/>
        </w:rPr>
        <w:tab/>
      </w:r>
    </w:p>
    <w:p w14:paraId="137B7D61" w14:textId="2C35F013" w:rsidR="00D42999" w:rsidRDefault="007B01D5" w:rsidP="00FE2DCB">
      <w:pPr>
        <w:ind w:firstLine="708"/>
        <w:rPr>
          <w:sz w:val="22"/>
          <w:szCs w:val="22"/>
        </w:rPr>
      </w:pPr>
      <w:r>
        <w:rPr>
          <w:sz w:val="22"/>
          <w:szCs w:val="22"/>
        </w:rPr>
        <w:t>Ing. arch. Petr Kučera, Ph.D.</w:t>
      </w:r>
      <w:r w:rsidR="00C333A5" w:rsidRPr="008346AE">
        <w:rPr>
          <w:sz w:val="22"/>
          <w:szCs w:val="22"/>
        </w:rPr>
        <w:t xml:space="preserve">                               </w:t>
      </w:r>
      <w:r w:rsidR="009E3CE8">
        <w:rPr>
          <w:sz w:val="22"/>
          <w:szCs w:val="22"/>
        </w:rPr>
        <w:t xml:space="preserve">Mgr. et. Mgr. Michal Medek, </w:t>
      </w:r>
      <w:r w:rsidR="00C333A5" w:rsidRPr="008346AE">
        <w:rPr>
          <w:sz w:val="22"/>
          <w:szCs w:val="22"/>
        </w:rPr>
        <w:t xml:space="preserve">                </w:t>
      </w:r>
      <w:r w:rsidR="00855FE1" w:rsidRPr="008346AE">
        <w:rPr>
          <w:sz w:val="22"/>
          <w:szCs w:val="22"/>
        </w:rPr>
        <w:t xml:space="preserve">        </w:t>
      </w:r>
    </w:p>
    <w:p w14:paraId="2DA731A2" w14:textId="6578AE03" w:rsidR="00BB30DE" w:rsidRDefault="001C0FCF" w:rsidP="00FE2DCB">
      <w:pPr>
        <w:ind w:firstLine="708"/>
        <w:rPr>
          <w:sz w:val="22"/>
          <w:szCs w:val="22"/>
        </w:rPr>
      </w:pPr>
      <w:r>
        <w:rPr>
          <w:sz w:val="22"/>
          <w:szCs w:val="22"/>
        </w:rPr>
        <w:t>xxxxxxxxx</w:t>
      </w:r>
      <w:r>
        <w:rPr>
          <w:sz w:val="22"/>
          <w:szCs w:val="22"/>
        </w:rPr>
        <w:tab/>
      </w:r>
      <w:r w:rsidR="009E3CE8">
        <w:rPr>
          <w:sz w:val="22"/>
          <w:szCs w:val="22"/>
        </w:rPr>
        <w:tab/>
      </w:r>
      <w:r w:rsidR="009E3CE8">
        <w:rPr>
          <w:sz w:val="22"/>
          <w:szCs w:val="22"/>
        </w:rPr>
        <w:tab/>
      </w:r>
      <w:r w:rsidR="009E3CE8">
        <w:rPr>
          <w:sz w:val="22"/>
          <w:szCs w:val="22"/>
        </w:rPr>
        <w:tab/>
      </w:r>
      <w:r w:rsidR="009E3CE8">
        <w:rPr>
          <w:sz w:val="22"/>
          <w:szCs w:val="22"/>
        </w:rPr>
        <w:tab/>
      </w:r>
      <w:r>
        <w:rPr>
          <w:sz w:val="22"/>
          <w:szCs w:val="22"/>
        </w:rPr>
        <w:t>xxxxxxxxxxxxxx</w:t>
      </w:r>
    </w:p>
    <w:sectPr w:rsidR="00BB30DE" w:rsidSect="00F741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8030" w14:textId="77777777" w:rsidR="00D05CD2" w:rsidRDefault="00D05CD2" w:rsidP="004F24B2">
      <w:r>
        <w:separator/>
      </w:r>
    </w:p>
  </w:endnote>
  <w:endnote w:type="continuationSeparator" w:id="0">
    <w:p w14:paraId="3E3EA282" w14:textId="77777777" w:rsidR="00D05CD2" w:rsidRDefault="00D05CD2" w:rsidP="004F24B2">
      <w:r>
        <w:continuationSeparator/>
      </w:r>
    </w:p>
  </w:endnote>
  <w:endnote w:type="continuationNotice" w:id="1">
    <w:p w14:paraId="3A7EB004" w14:textId="77777777" w:rsidR="00D05CD2" w:rsidRDefault="00D05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3E4F63">
      <w:rPr>
        <w:b/>
        <w:bCs/>
        <w:noProof/>
      </w:rPr>
      <w:t>3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3E4F63">
      <w:rPr>
        <w:b/>
        <w:bCs/>
        <w:noProof/>
      </w:rPr>
      <w:t>3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07EC" w14:textId="77777777" w:rsidR="00D05CD2" w:rsidRDefault="00D05CD2" w:rsidP="004F24B2">
      <w:r>
        <w:separator/>
      </w:r>
    </w:p>
  </w:footnote>
  <w:footnote w:type="continuationSeparator" w:id="0">
    <w:p w14:paraId="30F2DCD9" w14:textId="77777777" w:rsidR="00D05CD2" w:rsidRDefault="00D05CD2" w:rsidP="004F24B2">
      <w:r>
        <w:continuationSeparator/>
      </w:r>
    </w:p>
  </w:footnote>
  <w:footnote w:type="continuationNotice" w:id="1">
    <w:p w14:paraId="13E1AEFB" w14:textId="77777777" w:rsidR="00D05CD2" w:rsidRDefault="00D05C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5960" w14:textId="0FE5A7BD" w:rsidR="00696657" w:rsidRPr="000A5618" w:rsidRDefault="000A5618" w:rsidP="006E19D0">
    <w:pPr>
      <w:pStyle w:val="Standardnte"/>
      <w:tabs>
        <w:tab w:val="left" w:pos="828"/>
      </w:tabs>
      <w:jc w:val="right"/>
      <w:rPr>
        <w:b/>
        <w:bCs/>
        <w:szCs w:val="24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</w:t>
    </w:r>
    <w:r w:rsidR="006E19D0">
      <w:rPr>
        <w:sz w:val="20"/>
      </w:rPr>
      <w:tab/>
    </w:r>
    <w:r w:rsidR="00696657" w:rsidRPr="00F368DB">
      <w:rPr>
        <w:sz w:val="20"/>
      </w:rPr>
      <w:t xml:space="preserve">č. smlouvy: </w:t>
    </w:r>
    <w:r w:rsidR="00741627">
      <w:rPr>
        <w:b/>
        <w:bCs/>
        <w:szCs w:val="24"/>
      </w:rPr>
      <w:t>S</w:t>
    </w:r>
    <w:r w:rsidR="005569A4">
      <w:rPr>
        <w:b/>
        <w:bCs/>
        <w:szCs w:val="24"/>
      </w:rPr>
      <w:t>J</w:t>
    </w:r>
    <w:r w:rsidR="00741627">
      <w:rPr>
        <w:b/>
        <w:bCs/>
        <w:szCs w:val="24"/>
      </w:rPr>
      <w:t>/4</w:t>
    </w:r>
    <w:r w:rsidR="005569A4">
      <w:rPr>
        <w:b/>
        <w:bCs/>
        <w:szCs w:val="24"/>
      </w:rPr>
      <w:t>73</w:t>
    </w:r>
    <w:r w:rsidR="00741627">
      <w:rPr>
        <w:b/>
        <w:bCs/>
        <w:szCs w:val="24"/>
      </w:rPr>
      <w:t xml:space="preserve">/2023 </w:t>
    </w:r>
  </w:p>
  <w:p w14:paraId="758883A0" w14:textId="32287BF8" w:rsidR="00696657" w:rsidRPr="00F368DB" w:rsidRDefault="000A5618" w:rsidP="000A5618">
    <w:pPr>
      <w:pStyle w:val="Standardnte"/>
      <w:pBdr>
        <w:bottom w:val="single" w:sz="6" w:space="2" w:color="auto"/>
      </w:pBdr>
      <w:tabs>
        <w:tab w:val="left" w:pos="828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6E19D0">
      <w:rPr>
        <w:sz w:val="20"/>
      </w:rPr>
      <w:tab/>
    </w:r>
    <w:r w:rsidR="006E19D0">
      <w:rPr>
        <w:sz w:val="20"/>
      </w:rPr>
      <w:tab/>
    </w:r>
  </w:p>
  <w:p w14:paraId="112E8378" w14:textId="77777777" w:rsidR="00696657" w:rsidRDefault="00696657" w:rsidP="00696657">
    <w:pPr>
      <w:pStyle w:val="Zhlav"/>
    </w:pPr>
  </w:p>
  <w:p w14:paraId="66D51424" w14:textId="77777777" w:rsidR="00696657" w:rsidRDefault="006966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1643C9"/>
    <w:multiLevelType w:val="multilevel"/>
    <w:tmpl w:val="775695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1F2306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52BC5"/>
    <w:multiLevelType w:val="multilevel"/>
    <w:tmpl w:val="8EB8B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CD2359"/>
    <w:multiLevelType w:val="multilevel"/>
    <w:tmpl w:val="D2FC8A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D11671"/>
    <w:multiLevelType w:val="hybridMultilevel"/>
    <w:tmpl w:val="F942E546"/>
    <w:lvl w:ilvl="0" w:tplc="691A7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B30F9"/>
    <w:multiLevelType w:val="hybridMultilevel"/>
    <w:tmpl w:val="BF64E0E4"/>
    <w:lvl w:ilvl="0" w:tplc="F618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A3143"/>
    <w:multiLevelType w:val="hybridMultilevel"/>
    <w:tmpl w:val="D082847A"/>
    <w:lvl w:ilvl="0" w:tplc="E38E6E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463B97"/>
    <w:multiLevelType w:val="multilevel"/>
    <w:tmpl w:val="71D6B5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4" w15:restartNumberingAfterBreak="0">
    <w:nsid w:val="2D0668CF"/>
    <w:multiLevelType w:val="multilevel"/>
    <w:tmpl w:val="71D6B5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5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6DB2C10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3E3AF6"/>
    <w:multiLevelType w:val="multilevel"/>
    <w:tmpl w:val="D2FC8A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1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59013B"/>
    <w:multiLevelType w:val="hybridMultilevel"/>
    <w:tmpl w:val="EAA8EFAC"/>
    <w:lvl w:ilvl="0" w:tplc="E38E6E7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5312246A"/>
    <w:multiLevelType w:val="multilevel"/>
    <w:tmpl w:val="71D6B5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4" w15:restartNumberingAfterBreak="0">
    <w:nsid w:val="55B24C13"/>
    <w:multiLevelType w:val="multilevel"/>
    <w:tmpl w:val="91B8B69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8334A0"/>
    <w:multiLevelType w:val="multilevel"/>
    <w:tmpl w:val="D2FC8A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C9A37CD"/>
    <w:multiLevelType w:val="hybridMultilevel"/>
    <w:tmpl w:val="4EF229A2"/>
    <w:lvl w:ilvl="0" w:tplc="A80A1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165354D"/>
    <w:multiLevelType w:val="hybridMultilevel"/>
    <w:tmpl w:val="BF64E0E4"/>
    <w:lvl w:ilvl="0" w:tplc="F618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97B42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403BDB"/>
    <w:multiLevelType w:val="hybridMultilevel"/>
    <w:tmpl w:val="EAA8EFAC"/>
    <w:lvl w:ilvl="0" w:tplc="E38E6E7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2038F3"/>
    <w:multiLevelType w:val="multilevel"/>
    <w:tmpl w:val="144A9E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8FE0BA9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2E39B9"/>
    <w:multiLevelType w:val="hybridMultilevel"/>
    <w:tmpl w:val="D082847A"/>
    <w:lvl w:ilvl="0" w:tplc="E38E6E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6"/>
  </w:num>
  <w:num w:numId="2">
    <w:abstractNumId w:val="5"/>
  </w:num>
  <w:num w:numId="3">
    <w:abstractNumId w:val="36"/>
  </w:num>
  <w:num w:numId="4">
    <w:abstractNumId w:val="21"/>
  </w:num>
  <w:num w:numId="5">
    <w:abstractNumId w:val="26"/>
  </w:num>
  <w:num w:numId="6">
    <w:abstractNumId w:val="16"/>
  </w:num>
  <w:num w:numId="7">
    <w:abstractNumId w:val="20"/>
  </w:num>
  <w:num w:numId="8">
    <w:abstractNumId w:val="18"/>
  </w:num>
  <w:num w:numId="9">
    <w:abstractNumId w:val="27"/>
  </w:num>
  <w:num w:numId="10">
    <w:abstractNumId w:val="34"/>
  </w:num>
  <w:num w:numId="11">
    <w:abstractNumId w:val="28"/>
  </w:num>
  <w:num w:numId="12">
    <w:abstractNumId w:val="29"/>
  </w:num>
  <w:num w:numId="13">
    <w:abstractNumId w:val="0"/>
  </w:num>
  <w:num w:numId="14">
    <w:abstractNumId w:val="1"/>
  </w:num>
  <w:num w:numId="15">
    <w:abstractNumId w:val="9"/>
  </w:num>
  <w:num w:numId="16">
    <w:abstractNumId w:val="37"/>
  </w:num>
  <w:num w:numId="17">
    <w:abstractNumId w:val="3"/>
  </w:num>
  <w:num w:numId="18">
    <w:abstractNumId w:val="14"/>
  </w:num>
  <w:num w:numId="19">
    <w:abstractNumId w:val="32"/>
  </w:num>
  <w:num w:numId="20">
    <w:abstractNumId w:val="15"/>
  </w:num>
  <w:num w:numId="21">
    <w:abstractNumId w:val="30"/>
  </w:num>
  <w:num w:numId="22">
    <w:abstractNumId w:val="39"/>
  </w:num>
  <w:num w:numId="23">
    <w:abstractNumId w:val="10"/>
  </w:num>
  <w:num w:numId="24">
    <w:abstractNumId w:val="23"/>
  </w:num>
  <w:num w:numId="25">
    <w:abstractNumId w:val="22"/>
  </w:num>
  <w:num w:numId="26">
    <w:abstractNumId w:val="2"/>
  </w:num>
  <w:num w:numId="27">
    <w:abstractNumId w:val="13"/>
  </w:num>
  <w:num w:numId="28">
    <w:abstractNumId w:val="31"/>
  </w:num>
  <w:num w:numId="29">
    <w:abstractNumId w:val="11"/>
  </w:num>
  <w:num w:numId="30">
    <w:abstractNumId w:val="33"/>
  </w:num>
  <w:num w:numId="31">
    <w:abstractNumId w:val="17"/>
  </w:num>
  <w:num w:numId="32">
    <w:abstractNumId w:val="12"/>
  </w:num>
  <w:num w:numId="33">
    <w:abstractNumId w:val="38"/>
  </w:num>
  <w:num w:numId="34">
    <w:abstractNumId w:val="4"/>
  </w:num>
  <w:num w:numId="35">
    <w:abstractNumId w:val="24"/>
  </w:num>
  <w:num w:numId="36">
    <w:abstractNumId w:val="8"/>
  </w:num>
  <w:num w:numId="37">
    <w:abstractNumId w:val="35"/>
  </w:num>
  <w:num w:numId="38">
    <w:abstractNumId w:val="7"/>
  </w:num>
  <w:num w:numId="39">
    <w:abstractNumId w:val="2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3268"/>
    <w:rsid w:val="00012313"/>
    <w:rsid w:val="0001755A"/>
    <w:rsid w:val="000356FC"/>
    <w:rsid w:val="00036DF4"/>
    <w:rsid w:val="00040060"/>
    <w:rsid w:val="000526E3"/>
    <w:rsid w:val="00070FC5"/>
    <w:rsid w:val="000754A5"/>
    <w:rsid w:val="0007550B"/>
    <w:rsid w:val="00090841"/>
    <w:rsid w:val="000A5618"/>
    <w:rsid w:val="000C1C4B"/>
    <w:rsid w:val="000C2C21"/>
    <w:rsid w:val="000D0D21"/>
    <w:rsid w:val="000E72DC"/>
    <w:rsid w:val="000F3E0B"/>
    <w:rsid w:val="001145CE"/>
    <w:rsid w:val="00116EE3"/>
    <w:rsid w:val="00137E45"/>
    <w:rsid w:val="0014438F"/>
    <w:rsid w:val="0015663B"/>
    <w:rsid w:val="00156979"/>
    <w:rsid w:val="00165432"/>
    <w:rsid w:val="001728FE"/>
    <w:rsid w:val="00181741"/>
    <w:rsid w:val="0018582F"/>
    <w:rsid w:val="00185FF3"/>
    <w:rsid w:val="00195B8E"/>
    <w:rsid w:val="001B6206"/>
    <w:rsid w:val="001B6A2D"/>
    <w:rsid w:val="001C0FCF"/>
    <w:rsid w:val="001C7805"/>
    <w:rsid w:val="001D6337"/>
    <w:rsid w:val="001E12DB"/>
    <w:rsid w:val="001E23DF"/>
    <w:rsid w:val="00206C01"/>
    <w:rsid w:val="0021251D"/>
    <w:rsid w:val="00223468"/>
    <w:rsid w:val="00223636"/>
    <w:rsid w:val="00233DF5"/>
    <w:rsid w:val="00242ABF"/>
    <w:rsid w:val="002540B6"/>
    <w:rsid w:val="002634D7"/>
    <w:rsid w:val="00270673"/>
    <w:rsid w:val="002750B6"/>
    <w:rsid w:val="00277E07"/>
    <w:rsid w:val="0028487C"/>
    <w:rsid w:val="002C2D8E"/>
    <w:rsid w:val="002D6A26"/>
    <w:rsid w:val="002D6ABB"/>
    <w:rsid w:val="002E3964"/>
    <w:rsid w:val="002E5A49"/>
    <w:rsid w:val="002F193C"/>
    <w:rsid w:val="00300B92"/>
    <w:rsid w:val="003416B2"/>
    <w:rsid w:val="00341C90"/>
    <w:rsid w:val="0034673E"/>
    <w:rsid w:val="00363A46"/>
    <w:rsid w:val="00376F7E"/>
    <w:rsid w:val="00386DD2"/>
    <w:rsid w:val="00391A6F"/>
    <w:rsid w:val="0039295F"/>
    <w:rsid w:val="003A3239"/>
    <w:rsid w:val="003A3B1C"/>
    <w:rsid w:val="003B5AF4"/>
    <w:rsid w:val="003C0D6C"/>
    <w:rsid w:val="003E0100"/>
    <w:rsid w:val="003E1888"/>
    <w:rsid w:val="003E4F63"/>
    <w:rsid w:val="003E6B73"/>
    <w:rsid w:val="00411A84"/>
    <w:rsid w:val="00435321"/>
    <w:rsid w:val="004367C9"/>
    <w:rsid w:val="004637EF"/>
    <w:rsid w:val="00465D2D"/>
    <w:rsid w:val="00480EDF"/>
    <w:rsid w:val="00484F7E"/>
    <w:rsid w:val="00487778"/>
    <w:rsid w:val="00496AE6"/>
    <w:rsid w:val="004A14FC"/>
    <w:rsid w:val="004B6EA7"/>
    <w:rsid w:val="004E013F"/>
    <w:rsid w:val="004E3AB7"/>
    <w:rsid w:val="004F24B2"/>
    <w:rsid w:val="004F2671"/>
    <w:rsid w:val="00503E60"/>
    <w:rsid w:val="00506D33"/>
    <w:rsid w:val="00507FFD"/>
    <w:rsid w:val="00513950"/>
    <w:rsid w:val="005165C4"/>
    <w:rsid w:val="005569A4"/>
    <w:rsid w:val="00561371"/>
    <w:rsid w:val="0057006E"/>
    <w:rsid w:val="005941B4"/>
    <w:rsid w:val="0059639B"/>
    <w:rsid w:val="005A1AD6"/>
    <w:rsid w:val="005A332C"/>
    <w:rsid w:val="005B19AA"/>
    <w:rsid w:val="005B221D"/>
    <w:rsid w:val="005B6DBF"/>
    <w:rsid w:val="005E40FF"/>
    <w:rsid w:val="005F5399"/>
    <w:rsid w:val="005F5789"/>
    <w:rsid w:val="005F5F4B"/>
    <w:rsid w:val="00605807"/>
    <w:rsid w:val="00613B34"/>
    <w:rsid w:val="00614585"/>
    <w:rsid w:val="00617ABD"/>
    <w:rsid w:val="00653157"/>
    <w:rsid w:val="00657160"/>
    <w:rsid w:val="0068022E"/>
    <w:rsid w:val="00696657"/>
    <w:rsid w:val="006A4B02"/>
    <w:rsid w:val="006B4BC9"/>
    <w:rsid w:val="006B5B28"/>
    <w:rsid w:val="006C17E5"/>
    <w:rsid w:val="006C2044"/>
    <w:rsid w:val="006D6EEB"/>
    <w:rsid w:val="006E19D0"/>
    <w:rsid w:val="006E496B"/>
    <w:rsid w:val="006E7F99"/>
    <w:rsid w:val="0071074A"/>
    <w:rsid w:val="00715D6A"/>
    <w:rsid w:val="00720D1E"/>
    <w:rsid w:val="0072285D"/>
    <w:rsid w:val="00741627"/>
    <w:rsid w:val="007429A9"/>
    <w:rsid w:val="00746183"/>
    <w:rsid w:val="00747C64"/>
    <w:rsid w:val="00755769"/>
    <w:rsid w:val="00757A95"/>
    <w:rsid w:val="00790603"/>
    <w:rsid w:val="007973C1"/>
    <w:rsid w:val="007A3E05"/>
    <w:rsid w:val="007A5B2B"/>
    <w:rsid w:val="007B01D5"/>
    <w:rsid w:val="007B1DD1"/>
    <w:rsid w:val="007C0C4B"/>
    <w:rsid w:val="007C0C4D"/>
    <w:rsid w:val="007C60E3"/>
    <w:rsid w:val="007D0875"/>
    <w:rsid w:val="007E0609"/>
    <w:rsid w:val="007F3028"/>
    <w:rsid w:val="007F3360"/>
    <w:rsid w:val="008130DC"/>
    <w:rsid w:val="008346AE"/>
    <w:rsid w:val="00836843"/>
    <w:rsid w:val="00840037"/>
    <w:rsid w:val="00842E3E"/>
    <w:rsid w:val="00844E25"/>
    <w:rsid w:val="00846213"/>
    <w:rsid w:val="00855FE1"/>
    <w:rsid w:val="00864117"/>
    <w:rsid w:val="008676A3"/>
    <w:rsid w:val="008714AF"/>
    <w:rsid w:val="008A4E3B"/>
    <w:rsid w:val="008C315E"/>
    <w:rsid w:val="008D3670"/>
    <w:rsid w:val="008E5010"/>
    <w:rsid w:val="00922CD9"/>
    <w:rsid w:val="009761FB"/>
    <w:rsid w:val="00985DA2"/>
    <w:rsid w:val="009877D6"/>
    <w:rsid w:val="009A246B"/>
    <w:rsid w:val="009B0B5D"/>
    <w:rsid w:val="009B0E91"/>
    <w:rsid w:val="009C4073"/>
    <w:rsid w:val="009E3CE8"/>
    <w:rsid w:val="00A11111"/>
    <w:rsid w:val="00A2026E"/>
    <w:rsid w:val="00A32A07"/>
    <w:rsid w:val="00A52585"/>
    <w:rsid w:val="00A711F4"/>
    <w:rsid w:val="00A716D9"/>
    <w:rsid w:val="00A835EE"/>
    <w:rsid w:val="00A85231"/>
    <w:rsid w:val="00AB2F29"/>
    <w:rsid w:val="00AB6534"/>
    <w:rsid w:val="00AD621D"/>
    <w:rsid w:val="00B02DD5"/>
    <w:rsid w:val="00B0332E"/>
    <w:rsid w:val="00B03742"/>
    <w:rsid w:val="00B136A5"/>
    <w:rsid w:val="00B849EA"/>
    <w:rsid w:val="00B85D3C"/>
    <w:rsid w:val="00B94E61"/>
    <w:rsid w:val="00BA0AB5"/>
    <w:rsid w:val="00BA4329"/>
    <w:rsid w:val="00BB25CC"/>
    <w:rsid w:val="00BB30DE"/>
    <w:rsid w:val="00BC3845"/>
    <w:rsid w:val="00BD178D"/>
    <w:rsid w:val="00C0474A"/>
    <w:rsid w:val="00C13BD6"/>
    <w:rsid w:val="00C161C7"/>
    <w:rsid w:val="00C24BC2"/>
    <w:rsid w:val="00C25047"/>
    <w:rsid w:val="00C333A5"/>
    <w:rsid w:val="00C533BC"/>
    <w:rsid w:val="00C777C6"/>
    <w:rsid w:val="00C83B99"/>
    <w:rsid w:val="00C87117"/>
    <w:rsid w:val="00C92382"/>
    <w:rsid w:val="00CA1790"/>
    <w:rsid w:val="00CB24F3"/>
    <w:rsid w:val="00CB3D92"/>
    <w:rsid w:val="00CD6B67"/>
    <w:rsid w:val="00CF52C6"/>
    <w:rsid w:val="00D05CD2"/>
    <w:rsid w:val="00D219E8"/>
    <w:rsid w:val="00D22638"/>
    <w:rsid w:val="00D36FF9"/>
    <w:rsid w:val="00D400B1"/>
    <w:rsid w:val="00D42999"/>
    <w:rsid w:val="00D444C8"/>
    <w:rsid w:val="00D45C74"/>
    <w:rsid w:val="00D64E3C"/>
    <w:rsid w:val="00D720D3"/>
    <w:rsid w:val="00D81777"/>
    <w:rsid w:val="00D833C5"/>
    <w:rsid w:val="00D85066"/>
    <w:rsid w:val="00D87F7B"/>
    <w:rsid w:val="00D94D5D"/>
    <w:rsid w:val="00DB70FB"/>
    <w:rsid w:val="00DB7CB7"/>
    <w:rsid w:val="00DB7F02"/>
    <w:rsid w:val="00DC1714"/>
    <w:rsid w:val="00DD5A4D"/>
    <w:rsid w:val="00DE0CF8"/>
    <w:rsid w:val="00DE5D35"/>
    <w:rsid w:val="00E02A4C"/>
    <w:rsid w:val="00E10603"/>
    <w:rsid w:val="00E1416D"/>
    <w:rsid w:val="00E227DF"/>
    <w:rsid w:val="00E22C14"/>
    <w:rsid w:val="00E22C85"/>
    <w:rsid w:val="00E22DCD"/>
    <w:rsid w:val="00E2465B"/>
    <w:rsid w:val="00E41FDB"/>
    <w:rsid w:val="00E5458D"/>
    <w:rsid w:val="00E61738"/>
    <w:rsid w:val="00E73150"/>
    <w:rsid w:val="00E73B69"/>
    <w:rsid w:val="00E74025"/>
    <w:rsid w:val="00E835F5"/>
    <w:rsid w:val="00EB0EF6"/>
    <w:rsid w:val="00EC7BFE"/>
    <w:rsid w:val="00EF3D86"/>
    <w:rsid w:val="00F01DD5"/>
    <w:rsid w:val="00F22EF4"/>
    <w:rsid w:val="00F23434"/>
    <w:rsid w:val="00F368DB"/>
    <w:rsid w:val="00F47993"/>
    <w:rsid w:val="00F54C12"/>
    <w:rsid w:val="00F64D37"/>
    <w:rsid w:val="00F74174"/>
    <w:rsid w:val="00F91586"/>
    <w:rsid w:val="00F94EBC"/>
    <w:rsid w:val="00FA3F7A"/>
    <w:rsid w:val="00FB698A"/>
    <w:rsid w:val="00FC2580"/>
    <w:rsid w:val="00F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nte">
    <w:name w:val="Standardní te"/>
    <w:rsid w:val="0069665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7973C1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73C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44E25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5D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5D6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5D6A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5D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5D6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D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D6A"/>
    <w:rPr>
      <w:rFonts w:ascii="Segoe UI" w:eastAsia="Times New Roman" w:hAnsi="Segoe UI" w:cs="Segoe UI"/>
      <w:sz w:val="18"/>
      <w:szCs w:val="18"/>
    </w:rPr>
  </w:style>
  <w:style w:type="paragraph" w:customStyle="1" w:styleId="Vchoz">
    <w:name w:val="Výchozí"/>
    <w:rsid w:val="00156979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159D5F5B-6CBB-4604-A242-53D048E15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548B3-7131-4425-8BBE-ABB70B563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E6BB1-C12C-4B63-8EC2-E4959990B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D538F0-B057-4217-B0EE-548472DEA627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3</cp:revision>
  <dcterms:created xsi:type="dcterms:W3CDTF">2023-06-08T14:46:00Z</dcterms:created>
  <dcterms:modified xsi:type="dcterms:W3CDTF">2023-06-08T14:47:00Z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