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F8ECA" w14:textId="77777777" w:rsidR="00D6157C" w:rsidRPr="001038FC" w:rsidRDefault="00617C35" w:rsidP="00617C35">
      <w:pPr>
        <w:rPr>
          <w:rFonts w:asciiTheme="minorHAnsi" w:hAnsiTheme="minorHAnsi" w:cstheme="minorHAnsi"/>
        </w:rPr>
      </w:pPr>
      <w:bookmarkStart w:id="0" w:name="_Toc378772119"/>
      <w:bookmarkStart w:id="1" w:name="_GoBack"/>
      <w:bookmarkEnd w:id="1"/>
      <w:r w:rsidRPr="001038FC">
        <w:rPr>
          <w:rFonts w:asciiTheme="minorHAnsi" w:hAnsiTheme="minorHAnsi" w:cstheme="minorHAnsi"/>
        </w:rPr>
        <w:t xml:space="preserve"> </w:t>
      </w:r>
      <w:r w:rsidRPr="001038FC">
        <w:rPr>
          <w:rFonts w:asciiTheme="minorHAnsi" w:hAnsiTheme="minorHAnsi" w:cstheme="minorHAnsi"/>
        </w:rPr>
        <w:tab/>
      </w:r>
      <w:r w:rsidRPr="001038FC">
        <w:rPr>
          <w:rFonts w:asciiTheme="minorHAnsi" w:hAnsiTheme="minorHAnsi" w:cstheme="minorHAnsi"/>
        </w:rPr>
        <w:tab/>
      </w:r>
      <w:r w:rsidRPr="001038FC">
        <w:rPr>
          <w:rFonts w:asciiTheme="minorHAnsi" w:hAnsiTheme="minorHAnsi" w:cstheme="minorHAnsi"/>
        </w:rPr>
        <w:tab/>
      </w:r>
      <w:r w:rsidRPr="001038FC">
        <w:rPr>
          <w:rFonts w:asciiTheme="minorHAnsi" w:hAnsiTheme="minorHAnsi" w:cstheme="minorHAnsi"/>
        </w:rPr>
        <w:tab/>
      </w:r>
      <w:r w:rsidRPr="001038FC">
        <w:rPr>
          <w:rFonts w:asciiTheme="minorHAnsi" w:hAnsiTheme="minorHAnsi" w:cstheme="minorHAnsi"/>
        </w:rPr>
        <w:tab/>
      </w:r>
      <w:r w:rsidRPr="001038FC">
        <w:rPr>
          <w:rFonts w:asciiTheme="minorHAnsi" w:hAnsiTheme="minorHAnsi" w:cstheme="minorHAnsi"/>
        </w:rPr>
        <w:tab/>
      </w:r>
      <w:r w:rsidRPr="001038FC">
        <w:rPr>
          <w:rFonts w:asciiTheme="minorHAnsi" w:hAnsiTheme="minorHAnsi" w:cstheme="minorHAnsi"/>
        </w:rPr>
        <w:tab/>
      </w:r>
      <w:r w:rsidRPr="001038FC">
        <w:rPr>
          <w:rFonts w:asciiTheme="minorHAnsi" w:hAnsiTheme="minorHAnsi" w:cstheme="minorHAnsi"/>
        </w:rPr>
        <w:tab/>
      </w:r>
      <w:r w:rsidRPr="001038FC">
        <w:rPr>
          <w:rFonts w:asciiTheme="minorHAnsi" w:hAnsiTheme="minorHAnsi" w:cstheme="minorHAnsi"/>
        </w:rPr>
        <w:tab/>
      </w:r>
      <w:r w:rsidR="00D6157C" w:rsidRPr="001038FC">
        <w:rPr>
          <w:rFonts w:asciiTheme="minorHAnsi" w:hAnsiTheme="minorHAnsi" w:cstheme="minorHAnsi"/>
        </w:rPr>
        <w:t>Příloha č. 1 SoD</w:t>
      </w:r>
      <w:bookmarkEnd w:id="0"/>
      <w:r w:rsidR="00D6157C" w:rsidRPr="001038FC">
        <w:rPr>
          <w:rFonts w:asciiTheme="minorHAnsi" w:hAnsiTheme="minorHAnsi" w:cstheme="minorHAnsi"/>
        </w:rPr>
        <w:t xml:space="preserve"> č. 145210075</w:t>
      </w:r>
    </w:p>
    <w:p w14:paraId="12B5CFF9" w14:textId="3FFDABFF" w:rsidR="00D6157C" w:rsidRPr="001038FC" w:rsidRDefault="00D6157C" w:rsidP="00617C35">
      <w:pPr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 xml:space="preserve">                                            </w:t>
      </w:r>
      <w:bookmarkStart w:id="2" w:name="_Toc378772120"/>
      <w:r w:rsidRPr="001038FC">
        <w:rPr>
          <w:rFonts w:asciiTheme="minorHAnsi" w:hAnsiTheme="minorHAnsi" w:cstheme="minorHAnsi"/>
        </w:rPr>
        <w:t xml:space="preserve">                               </w:t>
      </w:r>
      <w:r w:rsidR="00617C35" w:rsidRPr="001038FC">
        <w:rPr>
          <w:rFonts w:asciiTheme="minorHAnsi" w:hAnsiTheme="minorHAnsi" w:cstheme="minorHAnsi"/>
        </w:rPr>
        <w:t xml:space="preserve">                              </w:t>
      </w:r>
      <w:r w:rsidR="00617C35" w:rsidRPr="001038FC">
        <w:rPr>
          <w:rFonts w:asciiTheme="minorHAnsi" w:hAnsiTheme="minorHAnsi" w:cstheme="minorHAnsi"/>
        </w:rPr>
        <w:tab/>
      </w:r>
      <w:r w:rsidRPr="001038FC">
        <w:rPr>
          <w:rFonts w:asciiTheme="minorHAnsi" w:hAnsiTheme="minorHAnsi" w:cstheme="minorHAnsi"/>
        </w:rPr>
        <w:t xml:space="preserve">Počet listů: </w:t>
      </w:r>
      <w:bookmarkEnd w:id="2"/>
      <w:r w:rsidR="000959E9" w:rsidRPr="001038FC">
        <w:rPr>
          <w:rFonts w:asciiTheme="minorHAnsi" w:hAnsiTheme="minorHAnsi" w:cstheme="minorHAnsi"/>
        </w:rPr>
        <w:t>14</w:t>
      </w:r>
    </w:p>
    <w:p w14:paraId="63F84F35" w14:textId="77777777" w:rsidR="00D6157C" w:rsidRPr="001038FC" w:rsidRDefault="00D6157C" w:rsidP="00617C35">
      <w:pPr>
        <w:rPr>
          <w:rFonts w:asciiTheme="minorHAnsi" w:hAnsiTheme="minorHAnsi" w:cstheme="minorHAnsi"/>
          <w:u w:val="single"/>
        </w:rPr>
      </w:pPr>
    </w:p>
    <w:p w14:paraId="48039698" w14:textId="77777777" w:rsidR="00D6157C" w:rsidRPr="001038FC" w:rsidRDefault="00D6157C" w:rsidP="00D6157C">
      <w:pPr>
        <w:ind w:left="360"/>
        <w:rPr>
          <w:rFonts w:asciiTheme="minorHAnsi" w:hAnsiTheme="minorHAnsi" w:cstheme="minorHAnsi"/>
          <w:b/>
          <w:u w:val="single"/>
        </w:rPr>
      </w:pPr>
    </w:p>
    <w:p w14:paraId="4CB5261A" w14:textId="77777777" w:rsidR="00D6157C" w:rsidRPr="001038FC" w:rsidRDefault="00D6157C" w:rsidP="00D6157C">
      <w:pPr>
        <w:ind w:left="360"/>
        <w:rPr>
          <w:rFonts w:asciiTheme="minorHAnsi" w:hAnsiTheme="minorHAnsi" w:cstheme="minorHAnsi"/>
          <w:b/>
          <w:u w:val="single"/>
        </w:rPr>
      </w:pPr>
    </w:p>
    <w:p w14:paraId="5C8387F7" w14:textId="77777777" w:rsidR="00D6157C" w:rsidRPr="001038FC" w:rsidRDefault="00D6157C" w:rsidP="00D6157C">
      <w:pPr>
        <w:ind w:left="360"/>
        <w:rPr>
          <w:rFonts w:asciiTheme="minorHAnsi" w:hAnsiTheme="minorHAnsi" w:cstheme="minorHAnsi"/>
          <w:b/>
          <w:u w:val="single"/>
        </w:rPr>
      </w:pPr>
    </w:p>
    <w:p w14:paraId="3D03E460" w14:textId="77777777" w:rsidR="00D6157C" w:rsidRPr="001038FC" w:rsidRDefault="00D6157C" w:rsidP="00D6157C">
      <w:pPr>
        <w:ind w:left="360"/>
        <w:rPr>
          <w:rFonts w:asciiTheme="minorHAnsi" w:hAnsiTheme="minorHAnsi" w:cstheme="minorHAnsi"/>
          <w:b/>
          <w:u w:val="single"/>
        </w:rPr>
      </w:pPr>
    </w:p>
    <w:p w14:paraId="595D01F4" w14:textId="77777777" w:rsidR="00D6157C" w:rsidRPr="001038FC" w:rsidRDefault="00D6157C" w:rsidP="00D6157C">
      <w:pPr>
        <w:ind w:left="360"/>
        <w:rPr>
          <w:rFonts w:asciiTheme="minorHAnsi" w:hAnsiTheme="minorHAnsi" w:cstheme="minorHAnsi"/>
          <w:b/>
          <w:u w:val="single"/>
        </w:rPr>
      </w:pPr>
    </w:p>
    <w:p w14:paraId="6020C7A1" w14:textId="77777777" w:rsidR="00D6157C" w:rsidRPr="001038FC" w:rsidRDefault="00D6157C" w:rsidP="00D6157C">
      <w:pPr>
        <w:ind w:left="360"/>
        <w:rPr>
          <w:rFonts w:asciiTheme="minorHAnsi" w:hAnsiTheme="minorHAnsi" w:cstheme="minorHAnsi"/>
          <w:b/>
          <w:u w:val="single"/>
        </w:rPr>
      </w:pPr>
    </w:p>
    <w:p w14:paraId="64974B18" w14:textId="77777777" w:rsidR="00D6157C" w:rsidRPr="001038FC" w:rsidRDefault="00D6157C" w:rsidP="00D6157C">
      <w:pPr>
        <w:ind w:left="360"/>
        <w:rPr>
          <w:rFonts w:asciiTheme="minorHAnsi" w:hAnsiTheme="minorHAnsi" w:cstheme="minorHAnsi"/>
          <w:b/>
          <w:u w:val="single"/>
        </w:rPr>
      </w:pPr>
    </w:p>
    <w:p w14:paraId="1B28CF3B" w14:textId="77777777" w:rsidR="00D6157C" w:rsidRPr="001038FC" w:rsidRDefault="00D6157C" w:rsidP="00D6157C">
      <w:pPr>
        <w:ind w:left="360"/>
        <w:rPr>
          <w:rFonts w:asciiTheme="minorHAnsi" w:hAnsiTheme="minorHAnsi" w:cstheme="minorHAnsi"/>
          <w:b/>
          <w:u w:val="single"/>
        </w:rPr>
      </w:pPr>
    </w:p>
    <w:p w14:paraId="07A2D969" w14:textId="77777777" w:rsidR="00D6157C" w:rsidRPr="001038FC" w:rsidRDefault="00D6157C" w:rsidP="00D6157C">
      <w:pPr>
        <w:ind w:left="360"/>
        <w:rPr>
          <w:rFonts w:asciiTheme="minorHAnsi" w:hAnsiTheme="minorHAnsi" w:cstheme="minorHAnsi"/>
          <w:b/>
          <w:u w:val="single"/>
        </w:rPr>
      </w:pPr>
    </w:p>
    <w:p w14:paraId="44E933B4" w14:textId="77777777" w:rsidR="00784CE1" w:rsidRPr="001038FC" w:rsidRDefault="00784CE1" w:rsidP="00784CE1">
      <w:pPr>
        <w:ind w:left="360"/>
        <w:rPr>
          <w:rFonts w:asciiTheme="minorHAnsi" w:hAnsiTheme="minorHAnsi" w:cstheme="minorHAnsi"/>
          <w:b/>
          <w:u w:val="single"/>
        </w:rPr>
      </w:pPr>
    </w:p>
    <w:p w14:paraId="41715F53" w14:textId="77777777" w:rsidR="00784CE1" w:rsidRPr="00F464F0" w:rsidRDefault="00784CE1" w:rsidP="00784CE1">
      <w:pPr>
        <w:tabs>
          <w:tab w:val="left" w:pos="1260"/>
        </w:tabs>
        <w:ind w:left="360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F464F0">
        <w:rPr>
          <w:rFonts w:asciiTheme="minorHAnsi" w:hAnsiTheme="minorHAnsi" w:cstheme="minorHAnsi"/>
          <w:b/>
          <w:sz w:val="48"/>
          <w:szCs w:val="48"/>
        </w:rPr>
        <w:t>„SPECIFIKACE DÍLA“</w:t>
      </w:r>
    </w:p>
    <w:p w14:paraId="3562D250" w14:textId="77777777" w:rsidR="00784CE1" w:rsidRPr="001038FC" w:rsidRDefault="00784CE1" w:rsidP="00784CE1">
      <w:pPr>
        <w:ind w:left="360"/>
        <w:rPr>
          <w:rFonts w:asciiTheme="minorHAnsi" w:hAnsiTheme="minorHAnsi" w:cstheme="minorHAnsi"/>
          <w:b/>
          <w:u w:val="single"/>
        </w:rPr>
      </w:pPr>
    </w:p>
    <w:p w14:paraId="2B2B14C4" w14:textId="77777777" w:rsidR="00784CE1" w:rsidRPr="001038FC" w:rsidRDefault="00784CE1" w:rsidP="00784CE1">
      <w:pPr>
        <w:ind w:left="360"/>
        <w:rPr>
          <w:rFonts w:asciiTheme="minorHAnsi" w:hAnsiTheme="minorHAnsi" w:cstheme="minorHAnsi"/>
          <w:b/>
          <w:u w:val="single"/>
        </w:rPr>
      </w:pPr>
    </w:p>
    <w:p w14:paraId="2EC8648B" w14:textId="77777777" w:rsidR="00784CE1" w:rsidRPr="001038FC" w:rsidRDefault="00784CE1" w:rsidP="00784CE1">
      <w:pPr>
        <w:tabs>
          <w:tab w:val="left" w:pos="1260"/>
        </w:tabs>
        <w:ind w:left="360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1038FC">
        <w:rPr>
          <w:rFonts w:asciiTheme="minorHAnsi" w:hAnsiTheme="minorHAnsi" w:cstheme="minorHAnsi"/>
          <w:b/>
          <w:sz w:val="48"/>
          <w:szCs w:val="48"/>
        </w:rPr>
        <w:t xml:space="preserve">Radarcentrum </w:t>
      </w:r>
    </w:p>
    <w:p w14:paraId="58C5EAF5" w14:textId="77777777" w:rsidR="00784CE1" w:rsidRPr="001038FC" w:rsidRDefault="00784CE1" w:rsidP="00784CE1">
      <w:pPr>
        <w:tabs>
          <w:tab w:val="left" w:pos="360"/>
        </w:tabs>
        <w:ind w:left="360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1038FC">
        <w:rPr>
          <w:rFonts w:asciiTheme="minorHAnsi" w:hAnsiTheme="minorHAnsi" w:cstheme="minorHAnsi"/>
          <w:b/>
          <w:sz w:val="48"/>
          <w:szCs w:val="48"/>
        </w:rPr>
        <w:t xml:space="preserve">a zobrazovací automatizované systémy plánování a řízení letů </w:t>
      </w:r>
    </w:p>
    <w:p w14:paraId="3BD39744" w14:textId="77777777" w:rsidR="00784CE1" w:rsidRPr="001038FC" w:rsidRDefault="00784CE1" w:rsidP="00784CE1">
      <w:pPr>
        <w:ind w:left="360"/>
        <w:rPr>
          <w:rFonts w:asciiTheme="minorHAnsi" w:hAnsiTheme="minorHAnsi" w:cstheme="minorHAnsi"/>
          <w:b/>
          <w:u w:val="single"/>
        </w:rPr>
      </w:pPr>
    </w:p>
    <w:p w14:paraId="3F5ED283" w14:textId="77777777" w:rsidR="00784CE1" w:rsidRPr="001038FC" w:rsidRDefault="00784CE1" w:rsidP="00784CE1">
      <w:pPr>
        <w:ind w:left="36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(Tato příloha bude nahrazena pojektem – dodatek)</w:t>
      </w:r>
    </w:p>
    <w:p w14:paraId="33BEB805" w14:textId="77777777" w:rsidR="00784CE1" w:rsidRPr="001038FC" w:rsidRDefault="00784CE1" w:rsidP="00784CE1">
      <w:pPr>
        <w:ind w:left="360"/>
        <w:rPr>
          <w:rFonts w:asciiTheme="minorHAnsi" w:hAnsiTheme="minorHAnsi" w:cstheme="minorHAnsi"/>
          <w:b/>
          <w:u w:val="single"/>
        </w:rPr>
      </w:pPr>
    </w:p>
    <w:p w14:paraId="35CF3BD7" w14:textId="77777777" w:rsidR="00D6157C" w:rsidRPr="001038FC" w:rsidRDefault="00D6157C" w:rsidP="00D6157C">
      <w:pPr>
        <w:ind w:left="360"/>
        <w:rPr>
          <w:rFonts w:asciiTheme="minorHAnsi" w:hAnsiTheme="minorHAnsi" w:cstheme="minorHAnsi"/>
          <w:b/>
          <w:u w:val="single"/>
        </w:rPr>
      </w:pPr>
    </w:p>
    <w:p w14:paraId="6A3769CA" w14:textId="77777777" w:rsidR="00D6157C" w:rsidRPr="001038FC" w:rsidRDefault="00D6157C" w:rsidP="00D6157C">
      <w:pPr>
        <w:ind w:left="360"/>
        <w:rPr>
          <w:rFonts w:asciiTheme="minorHAnsi" w:hAnsiTheme="minorHAnsi" w:cstheme="minorHAnsi"/>
          <w:b/>
          <w:u w:val="single"/>
        </w:rPr>
      </w:pPr>
    </w:p>
    <w:p w14:paraId="6AE25D8C" w14:textId="77777777" w:rsidR="00D6157C" w:rsidRPr="001038FC" w:rsidRDefault="00D6157C" w:rsidP="00D6157C">
      <w:pPr>
        <w:ind w:left="360"/>
        <w:jc w:val="center"/>
        <w:rPr>
          <w:rFonts w:asciiTheme="minorHAnsi" w:hAnsiTheme="minorHAnsi" w:cstheme="minorHAnsi"/>
          <w:b/>
          <w:u w:val="single"/>
        </w:rPr>
      </w:pPr>
    </w:p>
    <w:p w14:paraId="092BA4AC" w14:textId="77777777" w:rsidR="00D6157C" w:rsidRPr="001038FC" w:rsidRDefault="00D6157C" w:rsidP="00D6157C">
      <w:pPr>
        <w:ind w:left="360"/>
        <w:rPr>
          <w:rFonts w:asciiTheme="minorHAnsi" w:hAnsiTheme="minorHAnsi" w:cstheme="minorHAnsi"/>
          <w:b/>
          <w:u w:val="single"/>
        </w:rPr>
      </w:pPr>
    </w:p>
    <w:p w14:paraId="6A5901AB" w14:textId="77777777" w:rsidR="00D6157C" w:rsidRPr="001038FC" w:rsidRDefault="00D6157C" w:rsidP="00D6157C">
      <w:pPr>
        <w:ind w:left="360"/>
        <w:rPr>
          <w:rFonts w:asciiTheme="minorHAnsi" w:hAnsiTheme="minorHAnsi" w:cstheme="minorHAnsi"/>
          <w:b/>
          <w:u w:val="single"/>
        </w:rPr>
      </w:pPr>
    </w:p>
    <w:p w14:paraId="73A1FD3F" w14:textId="77777777" w:rsidR="00D6157C" w:rsidRPr="001038FC" w:rsidRDefault="00D6157C" w:rsidP="00D6157C">
      <w:pPr>
        <w:ind w:left="360"/>
        <w:rPr>
          <w:rFonts w:asciiTheme="minorHAnsi" w:hAnsiTheme="minorHAnsi" w:cstheme="minorHAnsi"/>
          <w:b/>
          <w:u w:val="single"/>
        </w:rPr>
      </w:pPr>
    </w:p>
    <w:p w14:paraId="287D4AF5" w14:textId="77777777" w:rsidR="00D6157C" w:rsidRPr="001038FC" w:rsidRDefault="00D6157C" w:rsidP="00D6157C">
      <w:pPr>
        <w:ind w:left="360"/>
        <w:rPr>
          <w:rFonts w:asciiTheme="minorHAnsi" w:hAnsiTheme="minorHAnsi" w:cstheme="minorHAnsi"/>
          <w:b/>
          <w:u w:val="single"/>
        </w:rPr>
      </w:pPr>
    </w:p>
    <w:p w14:paraId="69B15039" w14:textId="77777777" w:rsidR="00D6157C" w:rsidRPr="001038FC" w:rsidRDefault="00D6157C" w:rsidP="00D6157C">
      <w:pPr>
        <w:ind w:left="360"/>
        <w:rPr>
          <w:rFonts w:asciiTheme="minorHAnsi" w:hAnsiTheme="minorHAnsi" w:cstheme="minorHAnsi"/>
          <w:b/>
          <w:u w:val="single"/>
        </w:rPr>
      </w:pPr>
    </w:p>
    <w:p w14:paraId="525F95E3" w14:textId="77777777" w:rsidR="00D6157C" w:rsidRPr="001038FC" w:rsidRDefault="00D6157C" w:rsidP="00D6157C">
      <w:pPr>
        <w:rPr>
          <w:rFonts w:asciiTheme="minorHAnsi" w:hAnsiTheme="minorHAnsi" w:cstheme="minorHAnsi"/>
          <w:b/>
        </w:rPr>
      </w:pPr>
      <w:r w:rsidRPr="001038FC">
        <w:rPr>
          <w:rFonts w:asciiTheme="minorHAnsi" w:hAnsiTheme="minorHAnsi" w:cstheme="minorHAnsi"/>
        </w:rPr>
        <w:br w:type="page"/>
      </w:r>
    </w:p>
    <w:p w14:paraId="380616FB" w14:textId="77777777" w:rsidR="005217A6" w:rsidRPr="001038FC" w:rsidRDefault="005217A6">
      <w:pPr>
        <w:pStyle w:val="Nadpisobsahu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  <w:lang w:val="cs-CZ"/>
        </w:rPr>
        <w:lastRenderedPageBreak/>
        <w:t>Obsah</w:t>
      </w:r>
    </w:p>
    <w:p w14:paraId="2D424AA9" w14:textId="49313C50" w:rsidR="001038FC" w:rsidRPr="001038FC" w:rsidRDefault="005217A6">
      <w:pPr>
        <w:pStyle w:val="Obsah1"/>
        <w:rPr>
          <w:rFonts w:asciiTheme="minorHAnsi" w:eastAsiaTheme="minorEastAsia" w:hAnsiTheme="minorHAnsi" w:cstheme="minorHAnsi"/>
          <w:b w:val="0"/>
          <w:sz w:val="22"/>
          <w:szCs w:val="22"/>
          <w:lang w:val="en-US" w:eastAsia="en-US"/>
        </w:rPr>
      </w:pPr>
      <w:r w:rsidRPr="001038FC">
        <w:rPr>
          <w:rFonts w:asciiTheme="minorHAnsi" w:hAnsiTheme="minorHAnsi" w:cstheme="minorHAnsi"/>
        </w:rPr>
        <w:fldChar w:fldCharType="begin"/>
      </w:r>
      <w:r w:rsidRPr="001038FC">
        <w:rPr>
          <w:rFonts w:asciiTheme="minorHAnsi" w:hAnsiTheme="minorHAnsi" w:cstheme="minorHAnsi"/>
        </w:rPr>
        <w:instrText xml:space="preserve"> TOC \o "1-3" \h \z \u </w:instrText>
      </w:r>
      <w:r w:rsidRPr="001038FC">
        <w:rPr>
          <w:rFonts w:asciiTheme="minorHAnsi" w:hAnsiTheme="minorHAnsi" w:cstheme="minorHAnsi"/>
        </w:rPr>
        <w:fldChar w:fldCharType="separate"/>
      </w:r>
      <w:hyperlink w:anchor="_Toc482282187" w:history="1">
        <w:r w:rsidR="001038FC" w:rsidRPr="001038FC">
          <w:rPr>
            <w:rStyle w:val="Hypertextovodkaz"/>
            <w:rFonts w:asciiTheme="minorHAnsi" w:hAnsiTheme="minorHAnsi" w:cstheme="minorHAnsi"/>
          </w:rPr>
          <w:t>1</w:t>
        </w:r>
        <w:r w:rsidR="001038FC" w:rsidRPr="001038FC">
          <w:rPr>
            <w:rFonts w:asciiTheme="minorHAnsi" w:eastAsiaTheme="minorEastAsia" w:hAnsiTheme="minorHAnsi" w:cstheme="minorHAnsi"/>
            <w:b w:val="0"/>
            <w:sz w:val="22"/>
            <w:szCs w:val="22"/>
            <w:lang w:val="en-US" w:eastAsia="en-US"/>
          </w:rPr>
          <w:tab/>
        </w:r>
        <w:r w:rsidR="001038FC" w:rsidRPr="001038FC">
          <w:rPr>
            <w:rStyle w:val="Hypertextovodkaz"/>
            <w:rFonts w:asciiTheme="minorHAnsi" w:hAnsiTheme="minorHAnsi" w:cstheme="minorHAnsi"/>
          </w:rPr>
          <w:t>Úvod</w:t>
        </w:r>
        <w:r w:rsidR="001038FC" w:rsidRPr="001038FC">
          <w:rPr>
            <w:rFonts w:asciiTheme="minorHAnsi" w:hAnsiTheme="minorHAnsi" w:cstheme="minorHAnsi"/>
            <w:webHidden/>
          </w:rPr>
          <w:tab/>
        </w:r>
        <w:r w:rsidR="001038FC" w:rsidRPr="001038FC">
          <w:rPr>
            <w:rFonts w:asciiTheme="minorHAnsi" w:hAnsiTheme="minorHAnsi" w:cstheme="minorHAnsi"/>
            <w:webHidden/>
          </w:rPr>
          <w:fldChar w:fldCharType="begin"/>
        </w:r>
        <w:r w:rsidR="001038FC" w:rsidRPr="001038FC">
          <w:rPr>
            <w:rFonts w:asciiTheme="minorHAnsi" w:hAnsiTheme="minorHAnsi" w:cstheme="minorHAnsi"/>
            <w:webHidden/>
          </w:rPr>
          <w:instrText xml:space="preserve"> PAGEREF _Toc482282187 \h </w:instrText>
        </w:r>
        <w:r w:rsidR="001038FC" w:rsidRPr="001038FC">
          <w:rPr>
            <w:rFonts w:asciiTheme="minorHAnsi" w:hAnsiTheme="minorHAnsi" w:cstheme="minorHAnsi"/>
            <w:webHidden/>
          </w:rPr>
        </w:r>
        <w:r w:rsidR="001038FC" w:rsidRPr="001038FC">
          <w:rPr>
            <w:rFonts w:asciiTheme="minorHAnsi" w:hAnsiTheme="minorHAnsi" w:cstheme="minorHAnsi"/>
            <w:webHidden/>
          </w:rPr>
          <w:fldChar w:fldCharType="separate"/>
        </w:r>
        <w:r w:rsidR="001038FC" w:rsidRPr="001038FC">
          <w:rPr>
            <w:rFonts w:asciiTheme="minorHAnsi" w:hAnsiTheme="minorHAnsi" w:cstheme="minorHAnsi"/>
            <w:webHidden/>
          </w:rPr>
          <w:t>3</w:t>
        </w:r>
        <w:r w:rsidR="001038FC" w:rsidRPr="001038FC">
          <w:rPr>
            <w:rFonts w:asciiTheme="minorHAnsi" w:hAnsiTheme="minorHAnsi" w:cstheme="minorHAnsi"/>
            <w:webHidden/>
          </w:rPr>
          <w:fldChar w:fldCharType="end"/>
        </w:r>
      </w:hyperlink>
    </w:p>
    <w:p w14:paraId="63370D82" w14:textId="4F1D3FD7" w:rsidR="001038FC" w:rsidRPr="001038FC" w:rsidRDefault="00C427BD">
      <w:pPr>
        <w:pStyle w:val="Obsah1"/>
        <w:rPr>
          <w:rFonts w:asciiTheme="minorHAnsi" w:eastAsiaTheme="minorEastAsia" w:hAnsiTheme="minorHAnsi" w:cstheme="minorHAnsi"/>
          <w:b w:val="0"/>
          <w:sz w:val="22"/>
          <w:szCs w:val="22"/>
          <w:lang w:val="en-US" w:eastAsia="en-US"/>
        </w:rPr>
      </w:pPr>
      <w:hyperlink w:anchor="_Toc482282188" w:history="1">
        <w:r w:rsidR="001038FC" w:rsidRPr="001038FC">
          <w:rPr>
            <w:rStyle w:val="Hypertextovodkaz"/>
            <w:rFonts w:asciiTheme="minorHAnsi" w:hAnsiTheme="minorHAnsi" w:cstheme="minorHAnsi"/>
          </w:rPr>
          <w:t>2</w:t>
        </w:r>
        <w:r w:rsidR="001038FC" w:rsidRPr="001038FC">
          <w:rPr>
            <w:rFonts w:asciiTheme="minorHAnsi" w:eastAsiaTheme="minorEastAsia" w:hAnsiTheme="minorHAnsi" w:cstheme="minorHAnsi"/>
            <w:b w:val="0"/>
            <w:sz w:val="22"/>
            <w:szCs w:val="22"/>
            <w:lang w:val="en-US" w:eastAsia="en-US"/>
          </w:rPr>
          <w:tab/>
        </w:r>
        <w:r w:rsidR="001038FC" w:rsidRPr="001038FC">
          <w:rPr>
            <w:rStyle w:val="Hypertextovodkaz"/>
            <w:rFonts w:asciiTheme="minorHAnsi" w:hAnsiTheme="minorHAnsi" w:cstheme="minorHAnsi"/>
          </w:rPr>
          <w:t>Požadavky na vojenský ATM systém</w:t>
        </w:r>
        <w:r w:rsidR="001038FC" w:rsidRPr="001038FC">
          <w:rPr>
            <w:rFonts w:asciiTheme="minorHAnsi" w:hAnsiTheme="minorHAnsi" w:cstheme="minorHAnsi"/>
            <w:webHidden/>
          </w:rPr>
          <w:tab/>
        </w:r>
        <w:r w:rsidR="001038FC" w:rsidRPr="001038FC">
          <w:rPr>
            <w:rFonts w:asciiTheme="minorHAnsi" w:hAnsiTheme="minorHAnsi" w:cstheme="minorHAnsi"/>
            <w:webHidden/>
          </w:rPr>
          <w:fldChar w:fldCharType="begin"/>
        </w:r>
        <w:r w:rsidR="001038FC" w:rsidRPr="001038FC">
          <w:rPr>
            <w:rFonts w:asciiTheme="minorHAnsi" w:hAnsiTheme="minorHAnsi" w:cstheme="minorHAnsi"/>
            <w:webHidden/>
          </w:rPr>
          <w:instrText xml:space="preserve"> PAGEREF _Toc482282188 \h </w:instrText>
        </w:r>
        <w:r w:rsidR="001038FC" w:rsidRPr="001038FC">
          <w:rPr>
            <w:rFonts w:asciiTheme="minorHAnsi" w:hAnsiTheme="minorHAnsi" w:cstheme="minorHAnsi"/>
            <w:webHidden/>
          </w:rPr>
        </w:r>
        <w:r w:rsidR="001038FC" w:rsidRPr="001038FC">
          <w:rPr>
            <w:rFonts w:asciiTheme="minorHAnsi" w:hAnsiTheme="minorHAnsi" w:cstheme="minorHAnsi"/>
            <w:webHidden/>
          </w:rPr>
          <w:fldChar w:fldCharType="separate"/>
        </w:r>
        <w:r w:rsidR="001038FC" w:rsidRPr="001038FC">
          <w:rPr>
            <w:rFonts w:asciiTheme="minorHAnsi" w:hAnsiTheme="minorHAnsi" w:cstheme="minorHAnsi"/>
            <w:webHidden/>
          </w:rPr>
          <w:t>3</w:t>
        </w:r>
        <w:r w:rsidR="001038FC" w:rsidRPr="001038FC">
          <w:rPr>
            <w:rFonts w:asciiTheme="minorHAnsi" w:hAnsiTheme="minorHAnsi" w:cstheme="minorHAnsi"/>
            <w:webHidden/>
          </w:rPr>
          <w:fldChar w:fldCharType="end"/>
        </w:r>
      </w:hyperlink>
    </w:p>
    <w:p w14:paraId="520E2571" w14:textId="51AC58BF" w:rsidR="001038FC" w:rsidRPr="001038FC" w:rsidRDefault="00C427BD">
      <w:pPr>
        <w:pStyle w:val="Obsah1"/>
        <w:rPr>
          <w:rFonts w:asciiTheme="minorHAnsi" w:eastAsiaTheme="minorEastAsia" w:hAnsiTheme="minorHAnsi" w:cstheme="minorHAnsi"/>
          <w:b w:val="0"/>
          <w:sz w:val="22"/>
          <w:szCs w:val="22"/>
          <w:lang w:val="en-US" w:eastAsia="en-US"/>
        </w:rPr>
      </w:pPr>
      <w:hyperlink w:anchor="_Toc482282189" w:history="1">
        <w:r w:rsidR="001038FC" w:rsidRPr="001038FC">
          <w:rPr>
            <w:rStyle w:val="Hypertextovodkaz"/>
            <w:rFonts w:asciiTheme="minorHAnsi" w:hAnsiTheme="minorHAnsi" w:cstheme="minorHAnsi"/>
          </w:rPr>
          <w:t>3</w:t>
        </w:r>
        <w:r w:rsidR="001038FC" w:rsidRPr="001038FC">
          <w:rPr>
            <w:rFonts w:asciiTheme="minorHAnsi" w:eastAsiaTheme="minorEastAsia" w:hAnsiTheme="minorHAnsi" w:cstheme="minorHAnsi"/>
            <w:b w:val="0"/>
            <w:sz w:val="22"/>
            <w:szCs w:val="22"/>
            <w:lang w:val="en-US" w:eastAsia="en-US"/>
          </w:rPr>
          <w:tab/>
        </w:r>
        <w:r w:rsidR="001038FC" w:rsidRPr="001038FC">
          <w:rPr>
            <w:rStyle w:val="Hypertextovodkaz"/>
            <w:rFonts w:asciiTheme="minorHAnsi" w:hAnsiTheme="minorHAnsi" w:cstheme="minorHAnsi"/>
          </w:rPr>
          <w:t>Určení systému ATM</w:t>
        </w:r>
        <w:r w:rsidR="001038FC" w:rsidRPr="001038FC">
          <w:rPr>
            <w:rFonts w:asciiTheme="minorHAnsi" w:hAnsiTheme="minorHAnsi" w:cstheme="minorHAnsi"/>
            <w:webHidden/>
          </w:rPr>
          <w:tab/>
        </w:r>
        <w:r w:rsidR="001038FC" w:rsidRPr="001038FC">
          <w:rPr>
            <w:rFonts w:asciiTheme="minorHAnsi" w:hAnsiTheme="minorHAnsi" w:cstheme="minorHAnsi"/>
            <w:webHidden/>
          </w:rPr>
          <w:fldChar w:fldCharType="begin"/>
        </w:r>
        <w:r w:rsidR="001038FC" w:rsidRPr="001038FC">
          <w:rPr>
            <w:rFonts w:asciiTheme="minorHAnsi" w:hAnsiTheme="minorHAnsi" w:cstheme="minorHAnsi"/>
            <w:webHidden/>
          </w:rPr>
          <w:instrText xml:space="preserve"> PAGEREF _Toc482282189 \h </w:instrText>
        </w:r>
        <w:r w:rsidR="001038FC" w:rsidRPr="001038FC">
          <w:rPr>
            <w:rFonts w:asciiTheme="minorHAnsi" w:hAnsiTheme="minorHAnsi" w:cstheme="minorHAnsi"/>
            <w:webHidden/>
          </w:rPr>
        </w:r>
        <w:r w:rsidR="001038FC" w:rsidRPr="001038FC">
          <w:rPr>
            <w:rFonts w:asciiTheme="minorHAnsi" w:hAnsiTheme="minorHAnsi" w:cstheme="minorHAnsi"/>
            <w:webHidden/>
          </w:rPr>
          <w:fldChar w:fldCharType="separate"/>
        </w:r>
        <w:r w:rsidR="001038FC" w:rsidRPr="001038FC">
          <w:rPr>
            <w:rFonts w:asciiTheme="minorHAnsi" w:hAnsiTheme="minorHAnsi" w:cstheme="minorHAnsi"/>
            <w:webHidden/>
          </w:rPr>
          <w:t>5</w:t>
        </w:r>
        <w:r w:rsidR="001038FC" w:rsidRPr="001038FC">
          <w:rPr>
            <w:rFonts w:asciiTheme="minorHAnsi" w:hAnsiTheme="minorHAnsi" w:cstheme="minorHAnsi"/>
            <w:webHidden/>
          </w:rPr>
          <w:fldChar w:fldCharType="end"/>
        </w:r>
      </w:hyperlink>
    </w:p>
    <w:p w14:paraId="03BF4B81" w14:textId="3BC9B8CF" w:rsidR="001038FC" w:rsidRPr="001038FC" w:rsidRDefault="00C427BD">
      <w:pPr>
        <w:pStyle w:val="Obsah1"/>
        <w:rPr>
          <w:rFonts w:asciiTheme="minorHAnsi" w:eastAsiaTheme="minorEastAsia" w:hAnsiTheme="minorHAnsi" w:cstheme="minorHAnsi"/>
          <w:b w:val="0"/>
          <w:sz w:val="22"/>
          <w:szCs w:val="22"/>
          <w:lang w:val="en-US" w:eastAsia="en-US"/>
        </w:rPr>
      </w:pPr>
      <w:hyperlink w:anchor="_Toc482282190" w:history="1">
        <w:r w:rsidR="001038FC" w:rsidRPr="001038FC">
          <w:rPr>
            <w:rStyle w:val="Hypertextovodkaz"/>
            <w:rFonts w:asciiTheme="minorHAnsi" w:hAnsiTheme="minorHAnsi" w:cstheme="minorHAnsi"/>
          </w:rPr>
          <w:t>4</w:t>
        </w:r>
        <w:r w:rsidR="001038FC" w:rsidRPr="001038FC">
          <w:rPr>
            <w:rFonts w:asciiTheme="minorHAnsi" w:eastAsiaTheme="minorEastAsia" w:hAnsiTheme="minorHAnsi" w:cstheme="minorHAnsi"/>
            <w:b w:val="0"/>
            <w:sz w:val="22"/>
            <w:szCs w:val="22"/>
            <w:lang w:val="en-US" w:eastAsia="en-US"/>
          </w:rPr>
          <w:tab/>
        </w:r>
        <w:r w:rsidR="001038FC" w:rsidRPr="001038FC">
          <w:rPr>
            <w:rStyle w:val="Hypertextovodkaz"/>
            <w:rFonts w:asciiTheme="minorHAnsi" w:hAnsiTheme="minorHAnsi" w:cstheme="minorHAnsi"/>
          </w:rPr>
          <w:t>Požadavky na strukturu systému ATM</w:t>
        </w:r>
        <w:r w:rsidR="001038FC" w:rsidRPr="001038FC">
          <w:rPr>
            <w:rFonts w:asciiTheme="minorHAnsi" w:hAnsiTheme="minorHAnsi" w:cstheme="minorHAnsi"/>
            <w:webHidden/>
          </w:rPr>
          <w:tab/>
        </w:r>
        <w:r w:rsidR="001038FC" w:rsidRPr="001038FC">
          <w:rPr>
            <w:rFonts w:asciiTheme="minorHAnsi" w:hAnsiTheme="minorHAnsi" w:cstheme="minorHAnsi"/>
            <w:webHidden/>
          </w:rPr>
          <w:fldChar w:fldCharType="begin"/>
        </w:r>
        <w:r w:rsidR="001038FC" w:rsidRPr="001038FC">
          <w:rPr>
            <w:rFonts w:asciiTheme="minorHAnsi" w:hAnsiTheme="minorHAnsi" w:cstheme="minorHAnsi"/>
            <w:webHidden/>
          </w:rPr>
          <w:instrText xml:space="preserve"> PAGEREF _Toc482282190 \h </w:instrText>
        </w:r>
        <w:r w:rsidR="001038FC" w:rsidRPr="001038FC">
          <w:rPr>
            <w:rFonts w:asciiTheme="minorHAnsi" w:hAnsiTheme="minorHAnsi" w:cstheme="minorHAnsi"/>
            <w:webHidden/>
          </w:rPr>
        </w:r>
        <w:r w:rsidR="001038FC" w:rsidRPr="001038FC">
          <w:rPr>
            <w:rFonts w:asciiTheme="minorHAnsi" w:hAnsiTheme="minorHAnsi" w:cstheme="minorHAnsi"/>
            <w:webHidden/>
          </w:rPr>
          <w:fldChar w:fldCharType="separate"/>
        </w:r>
        <w:r w:rsidR="001038FC" w:rsidRPr="001038FC">
          <w:rPr>
            <w:rFonts w:asciiTheme="minorHAnsi" w:hAnsiTheme="minorHAnsi" w:cstheme="minorHAnsi"/>
            <w:webHidden/>
          </w:rPr>
          <w:t>5</w:t>
        </w:r>
        <w:r w:rsidR="001038FC" w:rsidRPr="001038FC">
          <w:rPr>
            <w:rFonts w:asciiTheme="minorHAnsi" w:hAnsiTheme="minorHAnsi" w:cstheme="minorHAnsi"/>
            <w:webHidden/>
          </w:rPr>
          <w:fldChar w:fldCharType="end"/>
        </w:r>
      </w:hyperlink>
    </w:p>
    <w:p w14:paraId="5CC0331B" w14:textId="10D62497" w:rsidR="001038FC" w:rsidRPr="001038FC" w:rsidRDefault="00C427BD">
      <w:pPr>
        <w:pStyle w:val="Obsah1"/>
        <w:rPr>
          <w:rFonts w:asciiTheme="minorHAnsi" w:eastAsiaTheme="minorEastAsia" w:hAnsiTheme="minorHAnsi" w:cstheme="minorHAnsi"/>
          <w:b w:val="0"/>
          <w:sz w:val="22"/>
          <w:szCs w:val="22"/>
          <w:lang w:val="en-US" w:eastAsia="en-US"/>
        </w:rPr>
      </w:pPr>
      <w:hyperlink w:anchor="_Toc482282194" w:history="1">
        <w:r w:rsidR="001038FC" w:rsidRPr="001038FC">
          <w:rPr>
            <w:rStyle w:val="Hypertextovodkaz"/>
            <w:rFonts w:asciiTheme="minorHAnsi" w:hAnsiTheme="minorHAnsi" w:cstheme="minorHAnsi"/>
          </w:rPr>
          <w:t>5</w:t>
        </w:r>
        <w:r w:rsidR="001038FC" w:rsidRPr="001038FC">
          <w:rPr>
            <w:rFonts w:asciiTheme="minorHAnsi" w:eastAsiaTheme="minorEastAsia" w:hAnsiTheme="minorHAnsi" w:cstheme="minorHAnsi"/>
            <w:b w:val="0"/>
            <w:sz w:val="22"/>
            <w:szCs w:val="22"/>
            <w:lang w:val="en-US" w:eastAsia="en-US"/>
          </w:rPr>
          <w:tab/>
        </w:r>
        <w:r w:rsidR="001038FC" w:rsidRPr="001038FC">
          <w:rPr>
            <w:rStyle w:val="Hypertextovodkaz"/>
            <w:rFonts w:asciiTheme="minorHAnsi" w:hAnsiTheme="minorHAnsi" w:cstheme="minorHAnsi"/>
          </w:rPr>
          <w:t>Požadavky na interoperabilitu a bezpečnost</w:t>
        </w:r>
        <w:r w:rsidR="001038FC" w:rsidRPr="001038FC">
          <w:rPr>
            <w:rFonts w:asciiTheme="minorHAnsi" w:hAnsiTheme="minorHAnsi" w:cstheme="minorHAnsi"/>
            <w:webHidden/>
          </w:rPr>
          <w:tab/>
        </w:r>
        <w:r w:rsidR="001038FC" w:rsidRPr="001038FC">
          <w:rPr>
            <w:rFonts w:asciiTheme="minorHAnsi" w:hAnsiTheme="minorHAnsi" w:cstheme="minorHAnsi"/>
            <w:webHidden/>
          </w:rPr>
          <w:fldChar w:fldCharType="begin"/>
        </w:r>
        <w:r w:rsidR="001038FC" w:rsidRPr="001038FC">
          <w:rPr>
            <w:rFonts w:asciiTheme="minorHAnsi" w:hAnsiTheme="minorHAnsi" w:cstheme="minorHAnsi"/>
            <w:webHidden/>
          </w:rPr>
          <w:instrText xml:space="preserve"> PAGEREF _Toc482282194 \h </w:instrText>
        </w:r>
        <w:r w:rsidR="001038FC" w:rsidRPr="001038FC">
          <w:rPr>
            <w:rFonts w:asciiTheme="minorHAnsi" w:hAnsiTheme="minorHAnsi" w:cstheme="minorHAnsi"/>
            <w:webHidden/>
          </w:rPr>
        </w:r>
        <w:r w:rsidR="001038FC" w:rsidRPr="001038FC">
          <w:rPr>
            <w:rFonts w:asciiTheme="minorHAnsi" w:hAnsiTheme="minorHAnsi" w:cstheme="minorHAnsi"/>
            <w:webHidden/>
          </w:rPr>
          <w:fldChar w:fldCharType="separate"/>
        </w:r>
        <w:r w:rsidR="001038FC" w:rsidRPr="001038FC">
          <w:rPr>
            <w:rFonts w:asciiTheme="minorHAnsi" w:hAnsiTheme="minorHAnsi" w:cstheme="minorHAnsi"/>
            <w:webHidden/>
          </w:rPr>
          <w:t>8</w:t>
        </w:r>
        <w:r w:rsidR="001038FC" w:rsidRPr="001038FC">
          <w:rPr>
            <w:rFonts w:asciiTheme="minorHAnsi" w:hAnsiTheme="minorHAnsi" w:cstheme="minorHAnsi"/>
            <w:webHidden/>
          </w:rPr>
          <w:fldChar w:fldCharType="end"/>
        </w:r>
      </w:hyperlink>
    </w:p>
    <w:p w14:paraId="54758932" w14:textId="45962BDF" w:rsidR="001038FC" w:rsidRPr="001038FC" w:rsidRDefault="00C427BD">
      <w:pPr>
        <w:pStyle w:val="Obsah1"/>
        <w:rPr>
          <w:rFonts w:asciiTheme="minorHAnsi" w:eastAsiaTheme="minorEastAsia" w:hAnsiTheme="minorHAnsi" w:cstheme="minorHAnsi"/>
          <w:b w:val="0"/>
          <w:sz w:val="22"/>
          <w:szCs w:val="22"/>
          <w:lang w:val="en-US" w:eastAsia="en-US"/>
        </w:rPr>
      </w:pPr>
      <w:hyperlink w:anchor="_Toc482282195" w:history="1">
        <w:r w:rsidR="001038FC" w:rsidRPr="001038FC">
          <w:rPr>
            <w:rStyle w:val="Hypertextovodkaz"/>
            <w:rFonts w:asciiTheme="minorHAnsi" w:hAnsiTheme="minorHAnsi" w:cstheme="minorHAnsi"/>
          </w:rPr>
          <w:t>6</w:t>
        </w:r>
        <w:r w:rsidR="001038FC" w:rsidRPr="001038FC">
          <w:rPr>
            <w:rFonts w:asciiTheme="minorHAnsi" w:eastAsiaTheme="minorEastAsia" w:hAnsiTheme="minorHAnsi" w:cstheme="minorHAnsi"/>
            <w:b w:val="0"/>
            <w:sz w:val="22"/>
            <w:szCs w:val="22"/>
            <w:lang w:val="en-US" w:eastAsia="en-US"/>
          </w:rPr>
          <w:tab/>
        </w:r>
        <w:r w:rsidR="001038FC" w:rsidRPr="001038FC">
          <w:rPr>
            <w:rStyle w:val="Hypertextovodkaz"/>
            <w:rFonts w:asciiTheme="minorHAnsi" w:hAnsiTheme="minorHAnsi" w:cstheme="minorHAnsi"/>
          </w:rPr>
          <w:t>Školení a výcvik technického a provozního personálu</w:t>
        </w:r>
        <w:r w:rsidR="001038FC" w:rsidRPr="001038FC">
          <w:rPr>
            <w:rFonts w:asciiTheme="minorHAnsi" w:hAnsiTheme="minorHAnsi" w:cstheme="minorHAnsi"/>
            <w:webHidden/>
          </w:rPr>
          <w:tab/>
        </w:r>
        <w:r w:rsidR="001038FC" w:rsidRPr="001038FC">
          <w:rPr>
            <w:rFonts w:asciiTheme="minorHAnsi" w:hAnsiTheme="minorHAnsi" w:cstheme="minorHAnsi"/>
            <w:webHidden/>
          </w:rPr>
          <w:fldChar w:fldCharType="begin"/>
        </w:r>
        <w:r w:rsidR="001038FC" w:rsidRPr="001038FC">
          <w:rPr>
            <w:rFonts w:asciiTheme="minorHAnsi" w:hAnsiTheme="minorHAnsi" w:cstheme="minorHAnsi"/>
            <w:webHidden/>
          </w:rPr>
          <w:instrText xml:space="preserve"> PAGEREF _Toc482282195 \h </w:instrText>
        </w:r>
        <w:r w:rsidR="001038FC" w:rsidRPr="001038FC">
          <w:rPr>
            <w:rFonts w:asciiTheme="minorHAnsi" w:hAnsiTheme="minorHAnsi" w:cstheme="minorHAnsi"/>
            <w:webHidden/>
          </w:rPr>
        </w:r>
        <w:r w:rsidR="001038FC" w:rsidRPr="001038FC">
          <w:rPr>
            <w:rFonts w:asciiTheme="minorHAnsi" w:hAnsiTheme="minorHAnsi" w:cstheme="minorHAnsi"/>
            <w:webHidden/>
          </w:rPr>
          <w:fldChar w:fldCharType="separate"/>
        </w:r>
        <w:r w:rsidR="001038FC" w:rsidRPr="001038FC">
          <w:rPr>
            <w:rFonts w:asciiTheme="minorHAnsi" w:hAnsiTheme="minorHAnsi" w:cstheme="minorHAnsi"/>
            <w:webHidden/>
          </w:rPr>
          <w:t>9</w:t>
        </w:r>
        <w:r w:rsidR="001038FC" w:rsidRPr="001038FC">
          <w:rPr>
            <w:rFonts w:asciiTheme="minorHAnsi" w:hAnsiTheme="minorHAnsi" w:cstheme="minorHAnsi"/>
            <w:webHidden/>
          </w:rPr>
          <w:fldChar w:fldCharType="end"/>
        </w:r>
      </w:hyperlink>
    </w:p>
    <w:p w14:paraId="3C1D1CB4" w14:textId="579F6435" w:rsidR="001038FC" w:rsidRPr="001038FC" w:rsidRDefault="00C427BD">
      <w:pPr>
        <w:pStyle w:val="Obsah1"/>
        <w:rPr>
          <w:rFonts w:asciiTheme="minorHAnsi" w:eastAsiaTheme="minorEastAsia" w:hAnsiTheme="minorHAnsi" w:cstheme="minorHAnsi"/>
          <w:b w:val="0"/>
          <w:sz w:val="22"/>
          <w:szCs w:val="22"/>
          <w:lang w:val="en-US" w:eastAsia="en-US"/>
        </w:rPr>
      </w:pPr>
      <w:hyperlink w:anchor="_Toc482282196" w:history="1">
        <w:r w:rsidR="001038FC" w:rsidRPr="001038FC">
          <w:rPr>
            <w:rStyle w:val="Hypertextovodkaz"/>
            <w:rFonts w:asciiTheme="minorHAnsi" w:hAnsiTheme="minorHAnsi" w:cstheme="minorHAnsi"/>
          </w:rPr>
          <w:t>7</w:t>
        </w:r>
        <w:r w:rsidR="001038FC" w:rsidRPr="001038FC">
          <w:rPr>
            <w:rFonts w:asciiTheme="minorHAnsi" w:eastAsiaTheme="minorEastAsia" w:hAnsiTheme="minorHAnsi" w:cstheme="minorHAnsi"/>
            <w:b w:val="0"/>
            <w:sz w:val="22"/>
            <w:szCs w:val="22"/>
            <w:lang w:val="en-US" w:eastAsia="en-US"/>
          </w:rPr>
          <w:tab/>
        </w:r>
        <w:r w:rsidR="001038FC" w:rsidRPr="001038FC">
          <w:rPr>
            <w:rStyle w:val="Hypertextovodkaz"/>
            <w:rFonts w:asciiTheme="minorHAnsi" w:hAnsiTheme="minorHAnsi" w:cstheme="minorHAnsi"/>
          </w:rPr>
          <w:t>Tvorba dokumentace v rámci dodávky</w:t>
        </w:r>
        <w:r w:rsidR="001038FC" w:rsidRPr="001038FC">
          <w:rPr>
            <w:rFonts w:asciiTheme="minorHAnsi" w:hAnsiTheme="minorHAnsi" w:cstheme="minorHAnsi"/>
            <w:webHidden/>
          </w:rPr>
          <w:tab/>
        </w:r>
        <w:r w:rsidR="001038FC" w:rsidRPr="001038FC">
          <w:rPr>
            <w:rFonts w:asciiTheme="minorHAnsi" w:hAnsiTheme="minorHAnsi" w:cstheme="minorHAnsi"/>
            <w:webHidden/>
          </w:rPr>
          <w:fldChar w:fldCharType="begin"/>
        </w:r>
        <w:r w:rsidR="001038FC" w:rsidRPr="001038FC">
          <w:rPr>
            <w:rFonts w:asciiTheme="minorHAnsi" w:hAnsiTheme="minorHAnsi" w:cstheme="minorHAnsi"/>
            <w:webHidden/>
          </w:rPr>
          <w:instrText xml:space="preserve"> PAGEREF _Toc482282196 \h </w:instrText>
        </w:r>
        <w:r w:rsidR="001038FC" w:rsidRPr="001038FC">
          <w:rPr>
            <w:rFonts w:asciiTheme="minorHAnsi" w:hAnsiTheme="minorHAnsi" w:cstheme="minorHAnsi"/>
            <w:webHidden/>
          </w:rPr>
        </w:r>
        <w:r w:rsidR="001038FC" w:rsidRPr="001038FC">
          <w:rPr>
            <w:rFonts w:asciiTheme="minorHAnsi" w:hAnsiTheme="minorHAnsi" w:cstheme="minorHAnsi"/>
            <w:webHidden/>
          </w:rPr>
          <w:fldChar w:fldCharType="separate"/>
        </w:r>
        <w:r w:rsidR="001038FC" w:rsidRPr="001038FC">
          <w:rPr>
            <w:rFonts w:asciiTheme="minorHAnsi" w:hAnsiTheme="minorHAnsi" w:cstheme="minorHAnsi"/>
            <w:webHidden/>
          </w:rPr>
          <w:t>10</w:t>
        </w:r>
        <w:r w:rsidR="001038FC" w:rsidRPr="001038FC">
          <w:rPr>
            <w:rFonts w:asciiTheme="minorHAnsi" w:hAnsiTheme="minorHAnsi" w:cstheme="minorHAnsi"/>
            <w:webHidden/>
          </w:rPr>
          <w:fldChar w:fldCharType="end"/>
        </w:r>
      </w:hyperlink>
    </w:p>
    <w:p w14:paraId="43E3018D" w14:textId="3950008C" w:rsidR="001038FC" w:rsidRPr="001038FC" w:rsidRDefault="00C427BD">
      <w:pPr>
        <w:pStyle w:val="Obsah1"/>
        <w:rPr>
          <w:rFonts w:asciiTheme="minorHAnsi" w:eastAsiaTheme="minorEastAsia" w:hAnsiTheme="minorHAnsi" w:cstheme="minorHAnsi"/>
          <w:b w:val="0"/>
          <w:sz w:val="22"/>
          <w:szCs w:val="22"/>
          <w:lang w:val="en-US" w:eastAsia="en-US"/>
        </w:rPr>
      </w:pPr>
      <w:hyperlink w:anchor="_Toc482282197" w:history="1">
        <w:r w:rsidR="001038FC" w:rsidRPr="001038FC">
          <w:rPr>
            <w:rStyle w:val="Hypertextovodkaz"/>
            <w:rFonts w:asciiTheme="minorHAnsi" w:hAnsiTheme="minorHAnsi" w:cstheme="minorHAnsi"/>
          </w:rPr>
          <w:t>8</w:t>
        </w:r>
        <w:r w:rsidR="001038FC" w:rsidRPr="001038FC">
          <w:rPr>
            <w:rFonts w:asciiTheme="minorHAnsi" w:eastAsiaTheme="minorEastAsia" w:hAnsiTheme="minorHAnsi" w:cstheme="minorHAnsi"/>
            <w:b w:val="0"/>
            <w:sz w:val="22"/>
            <w:szCs w:val="22"/>
            <w:lang w:val="en-US" w:eastAsia="en-US"/>
          </w:rPr>
          <w:tab/>
        </w:r>
        <w:r w:rsidR="001038FC" w:rsidRPr="001038FC">
          <w:rPr>
            <w:rStyle w:val="Hypertextovodkaz"/>
            <w:rFonts w:asciiTheme="minorHAnsi" w:hAnsiTheme="minorHAnsi" w:cstheme="minorHAnsi"/>
          </w:rPr>
          <w:t>Seznam zkratek</w:t>
        </w:r>
        <w:r w:rsidR="001038FC" w:rsidRPr="001038FC">
          <w:rPr>
            <w:rFonts w:asciiTheme="minorHAnsi" w:hAnsiTheme="minorHAnsi" w:cstheme="minorHAnsi"/>
            <w:webHidden/>
          </w:rPr>
          <w:tab/>
        </w:r>
        <w:r w:rsidR="001038FC" w:rsidRPr="001038FC">
          <w:rPr>
            <w:rFonts w:asciiTheme="minorHAnsi" w:hAnsiTheme="minorHAnsi" w:cstheme="minorHAnsi"/>
            <w:webHidden/>
          </w:rPr>
          <w:fldChar w:fldCharType="begin"/>
        </w:r>
        <w:r w:rsidR="001038FC" w:rsidRPr="001038FC">
          <w:rPr>
            <w:rFonts w:asciiTheme="minorHAnsi" w:hAnsiTheme="minorHAnsi" w:cstheme="minorHAnsi"/>
            <w:webHidden/>
          </w:rPr>
          <w:instrText xml:space="preserve"> PAGEREF _Toc482282197 \h </w:instrText>
        </w:r>
        <w:r w:rsidR="001038FC" w:rsidRPr="001038FC">
          <w:rPr>
            <w:rFonts w:asciiTheme="minorHAnsi" w:hAnsiTheme="minorHAnsi" w:cstheme="minorHAnsi"/>
            <w:webHidden/>
          </w:rPr>
        </w:r>
        <w:r w:rsidR="001038FC" w:rsidRPr="001038FC">
          <w:rPr>
            <w:rFonts w:asciiTheme="minorHAnsi" w:hAnsiTheme="minorHAnsi" w:cstheme="minorHAnsi"/>
            <w:webHidden/>
          </w:rPr>
          <w:fldChar w:fldCharType="separate"/>
        </w:r>
        <w:r w:rsidR="001038FC" w:rsidRPr="001038FC">
          <w:rPr>
            <w:rFonts w:asciiTheme="minorHAnsi" w:hAnsiTheme="minorHAnsi" w:cstheme="minorHAnsi"/>
            <w:webHidden/>
          </w:rPr>
          <w:t>12</w:t>
        </w:r>
        <w:r w:rsidR="001038FC" w:rsidRPr="001038FC">
          <w:rPr>
            <w:rFonts w:asciiTheme="minorHAnsi" w:hAnsiTheme="minorHAnsi" w:cstheme="minorHAnsi"/>
            <w:webHidden/>
          </w:rPr>
          <w:fldChar w:fldCharType="end"/>
        </w:r>
      </w:hyperlink>
    </w:p>
    <w:p w14:paraId="76BF6818" w14:textId="075731AF" w:rsidR="001038FC" w:rsidRPr="001038FC" w:rsidRDefault="00C427BD">
      <w:pPr>
        <w:pStyle w:val="Obsah1"/>
        <w:rPr>
          <w:rFonts w:asciiTheme="minorHAnsi" w:eastAsiaTheme="minorEastAsia" w:hAnsiTheme="minorHAnsi" w:cstheme="minorHAnsi"/>
          <w:b w:val="0"/>
          <w:sz w:val="22"/>
          <w:szCs w:val="22"/>
          <w:lang w:val="en-US" w:eastAsia="en-US"/>
        </w:rPr>
      </w:pPr>
      <w:hyperlink w:anchor="_Toc482282198" w:history="1">
        <w:r w:rsidR="001038FC" w:rsidRPr="001038FC">
          <w:rPr>
            <w:rStyle w:val="Hypertextovodkaz"/>
            <w:rFonts w:asciiTheme="minorHAnsi" w:hAnsiTheme="minorHAnsi" w:cstheme="minorHAnsi"/>
          </w:rPr>
          <w:t>9</w:t>
        </w:r>
        <w:r w:rsidR="001038FC" w:rsidRPr="001038FC">
          <w:rPr>
            <w:rFonts w:asciiTheme="minorHAnsi" w:eastAsiaTheme="minorEastAsia" w:hAnsiTheme="minorHAnsi" w:cstheme="minorHAnsi"/>
            <w:b w:val="0"/>
            <w:sz w:val="22"/>
            <w:szCs w:val="22"/>
            <w:lang w:val="en-US" w:eastAsia="en-US"/>
          </w:rPr>
          <w:tab/>
        </w:r>
        <w:r w:rsidR="001038FC" w:rsidRPr="001038FC">
          <w:rPr>
            <w:rStyle w:val="Hypertextovodkaz"/>
            <w:rFonts w:asciiTheme="minorHAnsi" w:hAnsiTheme="minorHAnsi" w:cstheme="minorHAnsi"/>
          </w:rPr>
          <w:t>Seznam odkazovaných dokumentů</w:t>
        </w:r>
        <w:r w:rsidR="001038FC" w:rsidRPr="001038FC">
          <w:rPr>
            <w:rFonts w:asciiTheme="minorHAnsi" w:hAnsiTheme="minorHAnsi" w:cstheme="minorHAnsi"/>
            <w:webHidden/>
          </w:rPr>
          <w:tab/>
        </w:r>
        <w:r w:rsidR="001038FC" w:rsidRPr="001038FC">
          <w:rPr>
            <w:rFonts w:asciiTheme="minorHAnsi" w:hAnsiTheme="minorHAnsi" w:cstheme="minorHAnsi"/>
            <w:webHidden/>
          </w:rPr>
          <w:fldChar w:fldCharType="begin"/>
        </w:r>
        <w:r w:rsidR="001038FC" w:rsidRPr="001038FC">
          <w:rPr>
            <w:rFonts w:asciiTheme="minorHAnsi" w:hAnsiTheme="minorHAnsi" w:cstheme="minorHAnsi"/>
            <w:webHidden/>
          </w:rPr>
          <w:instrText xml:space="preserve"> PAGEREF _Toc482282198 \h </w:instrText>
        </w:r>
        <w:r w:rsidR="001038FC" w:rsidRPr="001038FC">
          <w:rPr>
            <w:rFonts w:asciiTheme="minorHAnsi" w:hAnsiTheme="minorHAnsi" w:cstheme="minorHAnsi"/>
            <w:webHidden/>
          </w:rPr>
        </w:r>
        <w:r w:rsidR="001038FC" w:rsidRPr="001038FC">
          <w:rPr>
            <w:rFonts w:asciiTheme="minorHAnsi" w:hAnsiTheme="minorHAnsi" w:cstheme="minorHAnsi"/>
            <w:webHidden/>
          </w:rPr>
          <w:fldChar w:fldCharType="separate"/>
        </w:r>
        <w:r w:rsidR="001038FC" w:rsidRPr="001038FC">
          <w:rPr>
            <w:rFonts w:asciiTheme="minorHAnsi" w:hAnsiTheme="minorHAnsi" w:cstheme="minorHAnsi"/>
            <w:webHidden/>
          </w:rPr>
          <w:t>14</w:t>
        </w:r>
        <w:r w:rsidR="001038FC" w:rsidRPr="001038FC">
          <w:rPr>
            <w:rFonts w:asciiTheme="minorHAnsi" w:hAnsiTheme="minorHAnsi" w:cstheme="minorHAnsi"/>
            <w:webHidden/>
          </w:rPr>
          <w:fldChar w:fldCharType="end"/>
        </w:r>
      </w:hyperlink>
    </w:p>
    <w:p w14:paraId="2CCCB3FE" w14:textId="1E333343" w:rsidR="005217A6" w:rsidRPr="001038FC" w:rsidRDefault="005217A6">
      <w:pPr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  <w:b/>
          <w:bCs/>
        </w:rPr>
        <w:fldChar w:fldCharType="end"/>
      </w:r>
    </w:p>
    <w:p w14:paraId="4421E9C5" w14:textId="77777777" w:rsidR="006D175B" w:rsidRPr="001038FC" w:rsidRDefault="006D175B">
      <w:pPr>
        <w:rPr>
          <w:rFonts w:asciiTheme="minorHAnsi" w:hAnsiTheme="minorHAnsi" w:cstheme="minorHAnsi"/>
        </w:rPr>
      </w:pPr>
    </w:p>
    <w:p w14:paraId="641211B4" w14:textId="77777777" w:rsidR="006D175B" w:rsidRPr="001038FC" w:rsidRDefault="006D175B">
      <w:pPr>
        <w:rPr>
          <w:rFonts w:asciiTheme="minorHAnsi" w:hAnsiTheme="minorHAnsi" w:cstheme="minorHAnsi"/>
        </w:rPr>
      </w:pPr>
    </w:p>
    <w:p w14:paraId="243E148A" w14:textId="77777777" w:rsidR="006D175B" w:rsidRPr="001038FC" w:rsidRDefault="006D175B">
      <w:pPr>
        <w:rPr>
          <w:rFonts w:asciiTheme="minorHAnsi" w:hAnsiTheme="minorHAnsi" w:cstheme="minorHAnsi"/>
        </w:rPr>
      </w:pPr>
    </w:p>
    <w:p w14:paraId="7CA6A60E" w14:textId="77777777" w:rsidR="006D175B" w:rsidRPr="001038FC" w:rsidRDefault="006D175B">
      <w:pPr>
        <w:rPr>
          <w:rFonts w:asciiTheme="minorHAnsi" w:hAnsiTheme="minorHAnsi" w:cstheme="minorHAnsi"/>
        </w:rPr>
      </w:pPr>
    </w:p>
    <w:p w14:paraId="203D6292" w14:textId="77777777" w:rsidR="006D175B" w:rsidRPr="001038FC" w:rsidRDefault="006D175B">
      <w:pPr>
        <w:rPr>
          <w:rFonts w:asciiTheme="minorHAnsi" w:hAnsiTheme="minorHAnsi" w:cstheme="minorHAnsi"/>
        </w:rPr>
      </w:pPr>
    </w:p>
    <w:p w14:paraId="6DFB3BB3" w14:textId="77777777" w:rsidR="006D175B" w:rsidRPr="001038FC" w:rsidRDefault="006D175B">
      <w:pPr>
        <w:rPr>
          <w:rFonts w:asciiTheme="minorHAnsi" w:hAnsiTheme="minorHAnsi" w:cstheme="minorHAnsi"/>
        </w:rPr>
      </w:pPr>
    </w:p>
    <w:p w14:paraId="5A2E38DD" w14:textId="77777777" w:rsidR="006D175B" w:rsidRPr="001038FC" w:rsidRDefault="006D175B">
      <w:pPr>
        <w:rPr>
          <w:rFonts w:asciiTheme="minorHAnsi" w:hAnsiTheme="minorHAnsi" w:cstheme="minorHAnsi"/>
        </w:rPr>
      </w:pPr>
    </w:p>
    <w:p w14:paraId="3A48536C" w14:textId="77777777" w:rsidR="006D175B" w:rsidRPr="001038FC" w:rsidRDefault="006D175B">
      <w:pPr>
        <w:rPr>
          <w:rFonts w:asciiTheme="minorHAnsi" w:hAnsiTheme="minorHAnsi" w:cstheme="minorHAnsi"/>
        </w:rPr>
      </w:pPr>
    </w:p>
    <w:p w14:paraId="03B5279C" w14:textId="77777777" w:rsidR="006D175B" w:rsidRPr="001038FC" w:rsidRDefault="006D175B">
      <w:pPr>
        <w:rPr>
          <w:rFonts w:asciiTheme="minorHAnsi" w:hAnsiTheme="minorHAnsi" w:cstheme="minorHAnsi"/>
        </w:rPr>
      </w:pPr>
    </w:p>
    <w:p w14:paraId="57BD4930" w14:textId="77777777" w:rsidR="006D175B" w:rsidRPr="001038FC" w:rsidRDefault="006D175B">
      <w:pPr>
        <w:rPr>
          <w:rFonts w:asciiTheme="minorHAnsi" w:hAnsiTheme="minorHAnsi" w:cstheme="minorHAnsi"/>
        </w:rPr>
      </w:pPr>
    </w:p>
    <w:p w14:paraId="13AD9526" w14:textId="77777777" w:rsidR="006D175B" w:rsidRPr="001038FC" w:rsidRDefault="006D175B">
      <w:pPr>
        <w:rPr>
          <w:rFonts w:asciiTheme="minorHAnsi" w:hAnsiTheme="minorHAnsi" w:cstheme="minorHAnsi"/>
        </w:rPr>
      </w:pPr>
    </w:p>
    <w:p w14:paraId="053F9D10" w14:textId="77777777" w:rsidR="006D175B" w:rsidRPr="001038FC" w:rsidRDefault="006D175B">
      <w:pPr>
        <w:rPr>
          <w:rFonts w:asciiTheme="minorHAnsi" w:hAnsiTheme="minorHAnsi" w:cstheme="minorHAnsi"/>
        </w:rPr>
      </w:pPr>
    </w:p>
    <w:p w14:paraId="74792283" w14:textId="77777777" w:rsidR="006D175B" w:rsidRPr="001038FC" w:rsidRDefault="006D175B">
      <w:pPr>
        <w:rPr>
          <w:rFonts w:asciiTheme="minorHAnsi" w:hAnsiTheme="minorHAnsi" w:cstheme="minorHAnsi"/>
        </w:rPr>
      </w:pPr>
    </w:p>
    <w:p w14:paraId="662DE22A" w14:textId="77777777" w:rsidR="006D175B" w:rsidRPr="001038FC" w:rsidRDefault="006D175B">
      <w:pPr>
        <w:rPr>
          <w:rFonts w:asciiTheme="minorHAnsi" w:hAnsiTheme="minorHAnsi" w:cstheme="minorHAnsi"/>
        </w:rPr>
      </w:pPr>
    </w:p>
    <w:p w14:paraId="094A58BA" w14:textId="77777777" w:rsidR="006D175B" w:rsidRPr="001038FC" w:rsidRDefault="006D175B">
      <w:pPr>
        <w:rPr>
          <w:rFonts w:asciiTheme="minorHAnsi" w:hAnsiTheme="minorHAnsi" w:cstheme="minorHAnsi"/>
        </w:rPr>
      </w:pPr>
    </w:p>
    <w:p w14:paraId="043A8787" w14:textId="77777777" w:rsidR="006D175B" w:rsidRPr="001038FC" w:rsidRDefault="006D175B">
      <w:pPr>
        <w:rPr>
          <w:rFonts w:asciiTheme="minorHAnsi" w:hAnsiTheme="minorHAnsi" w:cstheme="minorHAnsi"/>
        </w:rPr>
      </w:pPr>
    </w:p>
    <w:p w14:paraId="546E031C" w14:textId="77777777" w:rsidR="006D175B" w:rsidRPr="001038FC" w:rsidRDefault="006D175B">
      <w:pPr>
        <w:rPr>
          <w:rFonts w:asciiTheme="minorHAnsi" w:hAnsiTheme="minorHAnsi" w:cstheme="minorHAnsi"/>
        </w:rPr>
      </w:pPr>
    </w:p>
    <w:p w14:paraId="1B7A2470" w14:textId="77777777" w:rsidR="006D175B" w:rsidRPr="001038FC" w:rsidRDefault="006D175B">
      <w:pPr>
        <w:rPr>
          <w:rFonts w:asciiTheme="minorHAnsi" w:hAnsiTheme="minorHAnsi" w:cstheme="minorHAnsi"/>
        </w:rPr>
      </w:pPr>
    </w:p>
    <w:p w14:paraId="37D4994E" w14:textId="77777777" w:rsidR="006D175B" w:rsidRPr="001038FC" w:rsidRDefault="006D175B">
      <w:pPr>
        <w:rPr>
          <w:rFonts w:asciiTheme="minorHAnsi" w:hAnsiTheme="minorHAnsi" w:cstheme="minorHAnsi"/>
        </w:rPr>
      </w:pPr>
    </w:p>
    <w:p w14:paraId="720A1D26" w14:textId="77777777" w:rsidR="006D175B" w:rsidRPr="001038FC" w:rsidRDefault="006D175B">
      <w:pPr>
        <w:rPr>
          <w:rFonts w:asciiTheme="minorHAnsi" w:hAnsiTheme="minorHAnsi" w:cstheme="minorHAnsi"/>
        </w:rPr>
      </w:pPr>
    </w:p>
    <w:p w14:paraId="090D3684" w14:textId="77777777" w:rsidR="006D175B" w:rsidRPr="001038FC" w:rsidRDefault="006D175B">
      <w:pPr>
        <w:rPr>
          <w:rFonts w:asciiTheme="minorHAnsi" w:hAnsiTheme="minorHAnsi" w:cstheme="minorHAnsi"/>
        </w:rPr>
      </w:pPr>
    </w:p>
    <w:p w14:paraId="5AF1153B" w14:textId="77777777" w:rsidR="006D175B" w:rsidRPr="001038FC" w:rsidRDefault="006D175B">
      <w:pPr>
        <w:rPr>
          <w:rFonts w:asciiTheme="minorHAnsi" w:hAnsiTheme="minorHAnsi" w:cstheme="minorHAnsi"/>
        </w:rPr>
      </w:pPr>
    </w:p>
    <w:p w14:paraId="6DC869DF" w14:textId="77777777" w:rsidR="006D175B" w:rsidRPr="001038FC" w:rsidRDefault="006D175B">
      <w:pPr>
        <w:rPr>
          <w:rFonts w:asciiTheme="minorHAnsi" w:hAnsiTheme="minorHAnsi" w:cstheme="minorHAnsi"/>
        </w:rPr>
      </w:pPr>
    </w:p>
    <w:p w14:paraId="3C92905D" w14:textId="77777777" w:rsidR="006D175B" w:rsidRPr="001038FC" w:rsidRDefault="006D175B">
      <w:pPr>
        <w:rPr>
          <w:rFonts w:asciiTheme="minorHAnsi" w:hAnsiTheme="minorHAnsi" w:cstheme="minorHAnsi"/>
        </w:rPr>
      </w:pPr>
    </w:p>
    <w:p w14:paraId="5DB91F78" w14:textId="77777777" w:rsidR="006D175B" w:rsidRPr="001038FC" w:rsidRDefault="006D175B">
      <w:pPr>
        <w:rPr>
          <w:rFonts w:asciiTheme="minorHAnsi" w:hAnsiTheme="minorHAnsi" w:cstheme="minorHAnsi"/>
        </w:rPr>
      </w:pPr>
    </w:p>
    <w:p w14:paraId="21F916B6" w14:textId="77777777" w:rsidR="00775466" w:rsidRPr="001038FC" w:rsidRDefault="00775466">
      <w:pPr>
        <w:rPr>
          <w:rFonts w:asciiTheme="minorHAnsi" w:hAnsiTheme="minorHAnsi" w:cstheme="minorHAnsi"/>
        </w:rPr>
      </w:pPr>
    </w:p>
    <w:p w14:paraId="6BE90EF8" w14:textId="77777777" w:rsidR="006D175B" w:rsidRPr="001038FC" w:rsidRDefault="006D175B">
      <w:pPr>
        <w:rPr>
          <w:rFonts w:asciiTheme="minorHAnsi" w:hAnsiTheme="minorHAnsi" w:cstheme="minorHAnsi"/>
        </w:rPr>
      </w:pPr>
    </w:p>
    <w:p w14:paraId="66F02B8A" w14:textId="77777777" w:rsidR="006D175B" w:rsidRPr="001038FC" w:rsidRDefault="006D175B">
      <w:pPr>
        <w:rPr>
          <w:rFonts w:asciiTheme="minorHAnsi" w:hAnsiTheme="minorHAnsi" w:cstheme="minorHAnsi"/>
        </w:rPr>
      </w:pPr>
    </w:p>
    <w:p w14:paraId="26C33942" w14:textId="77777777" w:rsidR="006D175B" w:rsidRPr="001038FC" w:rsidRDefault="006D175B">
      <w:pPr>
        <w:rPr>
          <w:rFonts w:asciiTheme="minorHAnsi" w:hAnsiTheme="minorHAnsi" w:cstheme="minorHAnsi"/>
        </w:rPr>
      </w:pPr>
    </w:p>
    <w:p w14:paraId="2A785093" w14:textId="77777777" w:rsidR="004E0FB2" w:rsidRPr="001038FC" w:rsidRDefault="004E0FB2">
      <w:pPr>
        <w:rPr>
          <w:rFonts w:asciiTheme="minorHAnsi" w:hAnsiTheme="minorHAnsi" w:cstheme="minorHAnsi"/>
        </w:rPr>
      </w:pPr>
    </w:p>
    <w:p w14:paraId="64B7E8B3" w14:textId="77777777" w:rsidR="004E0FB2" w:rsidRPr="001038FC" w:rsidRDefault="004E0FB2">
      <w:pPr>
        <w:rPr>
          <w:rFonts w:asciiTheme="minorHAnsi" w:hAnsiTheme="minorHAnsi" w:cstheme="minorHAnsi"/>
        </w:rPr>
      </w:pPr>
    </w:p>
    <w:p w14:paraId="7E66F7EF" w14:textId="77777777" w:rsidR="006D175B" w:rsidRPr="001038FC" w:rsidRDefault="006D175B">
      <w:pPr>
        <w:rPr>
          <w:rFonts w:asciiTheme="minorHAnsi" w:hAnsiTheme="minorHAnsi" w:cstheme="minorHAnsi"/>
        </w:rPr>
      </w:pPr>
    </w:p>
    <w:p w14:paraId="4F429504" w14:textId="2517495A" w:rsidR="008D67BB" w:rsidRPr="001038FC" w:rsidRDefault="008D67BB">
      <w:pPr>
        <w:rPr>
          <w:rFonts w:asciiTheme="minorHAnsi" w:hAnsiTheme="minorHAnsi" w:cstheme="minorHAnsi"/>
        </w:rPr>
      </w:pPr>
    </w:p>
    <w:p w14:paraId="7FB32C1E" w14:textId="3E10C644" w:rsidR="006D175B" w:rsidRPr="001038FC" w:rsidRDefault="001038FC" w:rsidP="005217A6">
      <w:pPr>
        <w:pStyle w:val="Nadpis1"/>
        <w:rPr>
          <w:rFonts w:asciiTheme="minorHAnsi" w:hAnsiTheme="minorHAnsi" w:cstheme="minorHAnsi"/>
        </w:rPr>
      </w:pPr>
      <w:bookmarkStart w:id="3" w:name="_Toc482282187"/>
      <w:r w:rsidRPr="001038FC">
        <w:rPr>
          <w:rFonts w:asciiTheme="minorHAnsi" w:hAnsiTheme="minorHAnsi" w:cstheme="minorHAnsi"/>
        </w:rPr>
        <w:lastRenderedPageBreak/>
        <w:t>Úvod</w:t>
      </w:r>
      <w:bookmarkEnd w:id="3"/>
    </w:p>
    <w:p w14:paraId="2492E43D" w14:textId="58802453" w:rsidR="001038FC" w:rsidRPr="001038FC" w:rsidRDefault="001038FC" w:rsidP="001038FC">
      <w:pPr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Tato specifikace slouží k</w:t>
      </w:r>
      <w:r>
        <w:rPr>
          <w:rFonts w:asciiTheme="minorHAnsi" w:hAnsiTheme="minorHAnsi" w:cstheme="minorHAnsi"/>
        </w:rPr>
        <w:t xml:space="preserve"> funkčnímu </w:t>
      </w:r>
      <w:r w:rsidRPr="001038FC">
        <w:rPr>
          <w:rFonts w:asciiTheme="minorHAnsi" w:hAnsiTheme="minorHAnsi" w:cstheme="minorHAnsi"/>
        </w:rPr>
        <w:t xml:space="preserve">zadání </w:t>
      </w:r>
      <w:r>
        <w:rPr>
          <w:rFonts w:asciiTheme="minorHAnsi" w:hAnsiTheme="minorHAnsi" w:cstheme="minorHAnsi"/>
        </w:rPr>
        <w:t>pro</w:t>
      </w:r>
      <w:r w:rsidRPr="001038FC">
        <w:rPr>
          <w:rFonts w:asciiTheme="minorHAnsi" w:hAnsiTheme="minorHAnsi" w:cstheme="minorHAnsi"/>
        </w:rPr>
        <w:t xml:space="preserve"> obměnu HW systému ATM v projektu „RADARCENTRUM“</w:t>
      </w:r>
      <w:r>
        <w:rPr>
          <w:rFonts w:asciiTheme="minorHAnsi" w:hAnsiTheme="minorHAnsi" w:cstheme="minorHAnsi"/>
        </w:rPr>
        <w:t>. Konečná podoba specifikace vyplyne z předprojekční a projekční činnosti dodavatele. Výsledkem bude stavební a technologický projekt, který po schválení uživatelem nahradí přílohu č.1 smlouvy č.</w:t>
      </w:r>
      <w:r w:rsidRPr="001038FC">
        <w:rPr>
          <w:rFonts w:asciiTheme="minorHAnsi" w:hAnsiTheme="minorHAnsi" w:cstheme="minorHAnsi"/>
        </w:rPr>
        <w:t xml:space="preserve"> 145210075</w:t>
      </w:r>
    </w:p>
    <w:p w14:paraId="0B081FA3" w14:textId="77777777" w:rsidR="001038FC" w:rsidRPr="001038FC" w:rsidRDefault="001038FC" w:rsidP="001038FC">
      <w:pPr>
        <w:rPr>
          <w:rFonts w:asciiTheme="minorHAnsi" w:hAnsiTheme="minorHAnsi" w:cstheme="minorHAnsi"/>
        </w:rPr>
      </w:pPr>
    </w:p>
    <w:p w14:paraId="10438927" w14:textId="77777777" w:rsidR="00A25CFD" w:rsidRPr="001038FC" w:rsidRDefault="00A25CFD" w:rsidP="00A25CFD">
      <w:pPr>
        <w:pStyle w:val="Nadpis1"/>
        <w:rPr>
          <w:rFonts w:asciiTheme="minorHAnsi" w:hAnsiTheme="minorHAnsi" w:cstheme="minorHAnsi"/>
        </w:rPr>
      </w:pPr>
      <w:bookmarkStart w:id="4" w:name="_Toc482282188"/>
      <w:r w:rsidRPr="001038FC">
        <w:rPr>
          <w:rFonts w:asciiTheme="minorHAnsi" w:hAnsiTheme="minorHAnsi" w:cstheme="minorHAnsi"/>
        </w:rPr>
        <w:t>Požadavky na vojenský ATM systém</w:t>
      </w:r>
      <w:bookmarkEnd w:id="4"/>
    </w:p>
    <w:p w14:paraId="6710B5F8" w14:textId="77777777" w:rsidR="00587180" w:rsidRPr="001038FC" w:rsidRDefault="006D175B" w:rsidP="00B417E9">
      <w:pPr>
        <w:spacing w:before="120"/>
        <w:ind w:firstLine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Předmětem je</w:t>
      </w:r>
      <w:r w:rsidR="00587180" w:rsidRPr="001038FC">
        <w:rPr>
          <w:rFonts w:asciiTheme="minorHAnsi" w:hAnsiTheme="minorHAnsi" w:cstheme="minorHAnsi"/>
        </w:rPr>
        <w:t xml:space="preserve"> zpracování projektu a pořízení nového majetku ATM </w:t>
      </w:r>
      <w:r w:rsidR="004E0FB2" w:rsidRPr="001038FC">
        <w:rPr>
          <w:rFonts w:asciiTheme="minorHAnsi" w:hAnsiTheme="minorHAnsi" w:cstheme="minorHAnsi"/>
        </w:rPr>
        <w:t xml:space="preserve">AČR </w:t>
      </w:r>
      <w:r w:rsidR="00587180" w:rsidRPr="001038FC">
        <w:rPr>
          <w:rFonts w:asciiTheme="minorHAnsi" w:hAnsiTheme="minorHAnsi" w:cstheme="minorHAnsi"/>
        </w:rPr>
        <w:t>systému, který nahradí stávající serverovou část systému LETVIS 99B-M4 a systém RADARCENTRUM, který je dislokován na čtyřech vojenských letištích (lokalita Čáslav - LKCV, Kbely - LKKB, Náměšť - LKNA a Pardubice - LKPD) a pracovištích 26.pVŘPz (CRC Hlavenec, IATCC Praha Jeneč, TEB Ruzyně a Kasárna 17. listopadu Praha). Zakázka obsahuje zpracování projektu, provedení vojskových zkoušek, školení obsluh a podporu pro vydání provozní certifikace systémů OVL MO.</w:t>
      </w:r>
    </w:p>
    <w:p w14:paraId="37222443" w14:textId="77777777" w:rsidR="00587180" w:rsidRPr="001038FC" w:rsidRDefault="00587180" w:rsidP="006D175B">
      <w:pPr>
        <w:rPr>
          <w:rFonts w:asciiTheme="minorHAnsi" w:hAnsiTheme="minorHAnsi" w:cstheme="minorHAnsi"/>
        </w:rPr>
      </w:pPr>
    </w:p>
    <w:p w14:paraId="33D5F21C" w14:textId="77777777" w:rsidR="00587180" w:rsidRPr="001038FC" w:rsidRDefault="00587180" w:rsidP="0093150C">
      <w:pPr>
        <w:numPr>
          <w:ilvl w:val="1"/>
          <w:numId w:val="12"/>
        </w:numPr>
        <w:ind w:left="567" w:hanging="567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Cíl a funkcionalita pořizovaného vojenského ATM systému</w:t>
      </w:r>
    </w:p>
    <w:p w14:paraId="31B5F8DC" w14:textId="77777777" w:rsidR="00587180" w:rsidRPr="001038FC" w:rsidRDefault="00587180" w:rsidP="00B417E9">
      <w:pPr>
        <w:spacing w:before="120"/>
        <w:ind w:firstLine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Stávající systémy LETVIS 99B-M4, RADARCENTRUM verze RC-95 až 950 a návazné systémy jsou v současnosti na konci technické životnosti, což se projevuje rostoucí provozní nespolehlivostí, vyššími náklady na opravy a zhoršením dostupnosti náhradních dílů. Stávající ATM systém nemá HW prostředky, které by umožnili jakýkoliv další nutný rozvoj systému vzhledem k implementační fázi programu SESAR, který je závazný i pro resort MO ČR. V rámci tohoto projektu zároveň dojde ke sloučení dvou systémů a tím k unifikaci HW a SW vybavení a z toho vyplývajícímu snížení nákladů na provoz a zabezpečení ATM systému.</w:t>
      </w:r>
    </w:p>
    <w:p w14:paraId="2D18DDD9" w14:textId="3E3E587F" w:rsidR="00587180" w:rsidRPr="001038FC" w:rsidRDefault="00587180" w:rsidP="00B417E9">
      <w:pPr>
        <w:spacing w:before="120"/>
        <w:ind w:firstLine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 xml:space="preserve"> Cílem zakázky je schopnost zabezpečit letové provozní služby v rámci AČR pro jednotlivá vojenská letiště a pracoviště 26.pVŘPz v lokalitách CRC Hlavenec, IATCC Praha Jeneč, TEB Praha Ruzyně a Kasárna 17. listopadu Praha. ATM systém musí zpracovávat a distribuovat přehledovou informaci o vzdušném prostoru z lokálních a vzdálených čidel polohové informace zapojených do systému. Zpracovávat a distribuovat letové plány, zprávy integrovaného systému leteckých informací (FPL a AIP), meteodata z lokálních systémů AWOS a externích meteo zdrojů (verifikovaná meteodata systémem </w:t>
      </w:r>
      <w:r w:rsidR="006250C0" w:rsidRPr="001038FC">
        <w:rPr>
          <w:rFonts w:asciiTheme="minorHAnsi" w:hAnsiTheme="minorHAnsi" w:cstheme="minorHAnsi"/>
        </w:rPr>
        <w:t>MISu</w:t>
      </w:r>
      <w:r w:rsidRPr="001038FC">
        <w:rPr>
          <w:rFonts w:asciiTheme="minorHAnsi" w:hAnsiTheme="minorHAnsi" w:cstheme="minorHAnsi"/>
        </w:rPr>
        <w:t>) a informaci z letištních RL. ATM systém musí být svou strukturou, modularitou a výkonností plně v souladu se současnými standardy EUROCONTROL a ICAO. Systém LETVIS musí prostřednictvím svých rozhraní umožňovat obousměrnou spolupráci s civilním ATM systémem ŘLP ČR, s. p. a to včetně zpracování a zavedení jeho dat do vojenského ATM systému. Musí podporovat interaktivní zpracování plánovacích informací a to včetně elektronických poznámek a dotykového ovládání.</w:t>
      </w:r>
    </w:p>
    <w:p w14:paraId="2E03A413" w14:textId="77777777" w:rsidR="00256DB5" w:rsidRPr="001038FC" w:rsidRDefault="00256DB5" w:rsidP="00256DB5">
      <w:pPr>
        <w:rPr>
          <w:rFonts w:asciiTheme="minorHAnsi" w:hAnsiTheme="minorHAnsi" w:cstheme="minorHAnsi"/>
        </w:rPr>
      </w:pPr>
    </w:p>
    <w:p w14:paraId="5CBA495D" w14:textId="77777777" w:rsidR="00587180" w:rsidRPr="001038FC" w:rsidRDefault="00587180" w:rsidP="00B417E9">
      <w:pPr>
        <w:spacing w:before="240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 xml:space="preserve">Funkcionalita pořizovaných komodit </w:t>
      </w:r>
    </w:p>
    <w:p w14:paraId="719D542B" w14:textId="77777777" w:rsidR="00B417E9" w:rsidRPr="001038FC" w:rsidRDefault="00B417E9" w:rsidP="00B417E9">
      <w:pPr>
        <w:rPr>
          <w:rFonts w:asciiTheme="minorHAnsi" w:hAnsiTheme="minorHAnsi" w:cstheme="minorHAnsi"/>
        </w:rPr>
      </w:pPr>
    </w:p>
    <w:p w14:paraId="3BB2D83A" w14:textId="77777777" w:rsidR="00587180" w:rsidRPr="001038FC" w:rsidRDefault="00587180" w:rsidP="00B417E9">
      <w:pPr>
        <w:spacing w:before="120"/>
        <w:ind w:firstLine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 xml:space="preserve">Pořízením nového hardwarového vybavení ATM systému budou zajištěny požadavky na bezpečnost letového provozu v prostoru odpovědnosti a působnosti zabezpečení letových provozních služeb AČR. </w:t>
      </w:r>
    </w:p>
    <w:p w14:paraId="571E0468" w14:textId="77777777" w:rsidR="003A06D6" w:rsidRPr="001038FC" w:rsidRDefault="003A06D6" w:rsidP="00587180">
      <w:pPr>
        <w:spacing w:before="240"/>
        <w:jc w:val="both"/>
        <w:rPr>
          <w:rFonts w:asciiTheme="minorHAnsi" w:hAnsiTheme="minorHAnsi" w:cstheme="minorHAnsi"/>
        </w:rPr>
      </w:pPr>
    </w:p>
    <w:p w14:paraId="359BF3BB" w14:textId="77777777" w:rsidR="003A06D6" w:rsidRPr="001038FC" w:rsidRDefault="003A06D6" w:rsidP="0093150C">
      <w:pPr>
        <w:numPr>
          <w:ilvl w:val="1"/>
          <w:numId w:val="12"/>
        </w:numPr>
        <w:ind w:left="567" w:hanging="567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Předmět veřejné zakázky zahrnuje:</w:t>
      </w:r>
    </w:p>
    <w:p w14:paraId="3AE220A1" w14:textId="77777777" w:rsidR="003A06D6" w:rsidRPr="001038FC" w:rsidRDefault="003A06D6" w:rsidP="003A06D6">
      <w:pPr>
        <w:rPr>
          <w:rFonts w:asciiTheme="minorHAnsi" w:hAnsiTheme="minorHAnsi" w:cstheme="minorHAnsi"/>
        </w:rPr>
      </w:pPr>
    </w:p>
    <w:p w14:paraId="100A9636" w14:textId="77777777" w:rsidR="003A06D6" w:rsidRPr="001038FC" w:rsidRDefault="003A06D6" w:rsidP="0093150C">
      <w:pPr>
        <w:numPr>
          <w:ilvl w:val="0"/>
          <w:numId w:val="13"/>
        </w:numPr>
        <w:ind w:left="709" w:hanging="425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Předprojektová projektová a organizační činnost</w:t>
      </w:r>
    </w:p>
    <w:p w14:paraId="0131414E" w14:textId="77777777" w:rsidR="003A06D6" w:rsidRPr="001038FC" w:rsidRDefault="003A06D6" w:rsidP="003A06D6">
      <w:pPr>
        <w:rPr>
          <w:rFonts w:asciiTheme="minorHAnsi" w:hAnsiTheme="minorHAnsi" w:cstheme="minorHAnsi"/>
          <w:b/>
        </w:rPr>
      </w:pPr>
    </w:p>
    <w:p w14:paraId="59A2FCD7" w14:textId="77777777" w:rsidR="003A06D6" w:rsidRPr="001038FC" w:rsidRDefault="003A06D6" w:rsidP="00B417E9">
      <w:pPr>
        <w:spacing w:before="120"/>
        <w:ind w:firstLine="709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Výsledkem předprojektové činnosti bude popis řešení a podkladové materiály pro zpracování podrobného projektu a časového harmonogramu k realizaci hardwarové a SW obměny nutných částí stávajícího systému ATM</w:t>
      </w:r>
      <w:r w:rsidR="00B417E9" w:rsidRPr="001038FC">
        <w:rPr>
          <w:rFonts w:asciiTheme="minorHAnsi" w:hAnsiTheme="minorHAnsi" w:cstheme="minorHAnsi"/>
        </w:rPr>
        <w:t>.</w:t>
      </w:r>
    </w:p>
    <w:p w14:paraId="5CCAA417" w14:textId="77777777" w:rsidR="00B417E9" w:rsidRPr="001038FC" w:rsidRDefault="00B417E9" w:rsidP="003A06D6">
      <w:pPr>
        <w:rPr>
          <w:rFonts w:asciiTheme="minorHAnsi" w:hAnsiTheme="minorHAnsi" w:cstheme="minorHAnsi"/>
          <w:b/>
        </w:rPr>
      </w:pPr>
    </w:p>
    <w:p w14:paraId="6505DF71" w14:textId="77777777" w:rsidR="00B417E9" w:rsidRPr="001038FC" w:rsidRDefault="00B417E9" w:rsidP="003A06D6">
      <w:pPr>
        <w:rPr>
          <w:rFonts w:asciiTheme="minorHAnsi" w:hAnsiTheme="minorHAnsi" w:cstheme="minorHAnsi"/>
          <w:b/>
        </w:rPr>
      </w:pPr>
    </w:p>
    <w:p w14:paraId="2D59F121" w14:textId="77777777" w:rsidR="00B417E9" w:rsidRPr="001038FC" w:rsidRDefault="00B417E9" w:rsidP="003A06D6">
      <w:pPr>
        <w:rPr>
          <w:rFonts w:asciiTheme="minorHAnsi" w:hAnsiTheme="minorHAnsi" w:cstheme="minorHAnsi"/>
          <w:b/>
        </w:rPr>
      </w:pPr>
    </w:p>
    <w:p w14:paraId="6E845B39" w14:textId="77777777" w:rsidR="003A06D6" w:rsidRPr="001038FC" w:rsidRDefault="003A06D6" w:rsidP="0093150C">
      <w:pPr>
        <w:numPr>
          <w:ilvl w:val="0"/>
          <w:numId w:val="13"/>
        </w:numPr>
        <w:ind w:left="709" w:hanging="425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Realizace HW a SW obměny systémů</w:t>
      </w:r>
    </w:p>
    <w:p w14:paraId="66AC8A8C" w14:textId="77777777" w:rsidR="00B417E9" w:rsidRPr="001038FC" w:rsidRDefault="00B417E9" w:rsidP="00B417E9">
      <w:pPr>
        <w:rPr>
          <w:rFonts w:asciiTheme="minorHAnsi" w:hAnsiTheme="minorHAnsi" w:cstheme="minorHAnsi"/>
        </w:rPr>
      </w:pPr>
    </w:p>
    <w:p w14:paraId="2E5A47D1" w14:textId="194788F1" w:rsidR="00D61D40" w:rsidRPr="001038FC" w:rsidRDefault="00D61D40" w:rsidP="00D61D40">
      <w:pPr>
        <w:widowControl w:val="0"/>
        <w:numPr>
          <w:ilvl w:val="0"/>
          <w:numId w:val="34"/>
        </w:numPr>
        <w:tabs>
          <w:tab w:val="clear" w:pos="720"/>
          <w:tab w:val="num" w:pos="1276"/>
        </w:tabs>
        <w:autoSpaceDE w:val="0"/>
        <w:autoSpaceDN w:val="0"/>
        <w:adjustRightInd w:val="0"/>
        <w:spacing w:before="120"/>
        <w:ind w:left="1276" w:hanging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provedení stavby v rozsahu a podle DSP a realizační dokumentace zpracované dle čl. II., odst. 1., písm. a) této smlouvy, zejména:</w:t>
      </w:r>
    </w:p>
    <w:p w14:paraId="5881E5E8" w14:textId="77777777" w:rsidR="00D61D40" w:rsidRPr="001038FC" w:rsidRDefault="00D61D40" w:rsidP="00D61D40">
      <w:pPr>
        <w:widowControl w:val="0"/>
        <w:numPr>
          <w:ilvl w:val="1"/>
          <w:numId w:val="34"/>
        </w:numPr>
        <w:tabs>
          <w:tab w:val="clear" w:pos="1440"/>
          <w:tab w:val="num" w:pos="1701"/>
        </w:tabs>
        <w:autoSpaceDE w:val="0"/>
        <w:autoSpaceDN w:val="0"/>
        <w:adjustRightInd w:val="0"/>
        <w:spacing w:before="120"/>
        <w:ind w:left="1701" w:hanging="425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 xml:space="preserve">provedení všech příslušných zkoušek a měření ověřujících řádné provedení díla dle platných právních předpisů a ČNS a prokazujících bezpečný provoz </w:t>
      </w:r>
      <w:r w:rsidRPr="001038FC">
        <w:rPr>
          <w:rFonts w:asciiTheme="minorHAnsi" w:hAnsiTheme="minorHAnsi" w:cstheme="minorHAnsi"/>
        </w:rPr>
        <w:br/>
        <w:t>a funkčnost zařízení;</w:t>
      </w:r>
    </w:p>
    <w:p w14:paraId="0A5DCBFA" w14:textId="77777777" w:rsidR="00D61D40" w:rsidRPr="001038FC" w:rsidRDefault="00D61D40" w:rsidP="00D61D40">
      <w:pPr>
        <w:widowControl w:val="0"/>
        <w:numPr>
          <w:ilvl w:val="1"/>
          <w:numId w:val="34"/>
        </w:numPr>
        <w:tabs>
          <w:tab w:val="clear" w:pos="1440"/>
          <w:tab w:val="num" w:pos="1701"/>
        </w:tabs>
        <w:autoSpaceDE w:val="0"/>
        <w:autoSpaceDN w:val="0"/>
        <w:adjustRightInd w:val="0"/>
        <w:spacing w:before="120"/>
        <w:ind w:left="1701" w:hanging="425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zajištění likvidace odpadů vzniklých při provádění díla v souladu s platnými právními předpisy;</w:t>
      </w:r>
    </w:p>
    <w:p w14:paraId="4B66EF5D" w14:textId="77777777" w:rsidR="00D61D40" w:rsidRPr="001038FC" w:rsidRDefault="00D61D40" w:rsidP="00D61D40">
      <w:pPr>
        <w:widowControl w:val="0"/>
        <w:numPr>
          <w:ilvl w:val="1"/>
          <w:numId w:val="34"/>
        </w:numPr>
        <w:tabs>
          <w:tab w:val="clear" w:pos="1440"/>
          <w:tab w:val="num" w:pos="1701"/>
        </w:tabs>
        <w:autoSpaceDE w:val="0"/>
        <w:autoSpaceDN w:val="0"/>
        <w:adjustRightInd w:val="0"/>
        <w:spacing w:before="120"/>
        <w:ind w:left="1701" w:hanging="425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provedení napojení rozvodů nízké napětí, instalace klimatizace (pokud to bude obsahovat projektová dokumentace);</w:t>
      </w:r>
    </w:p>
    <w:p w14:paraId="46F9AFCE" w14:textId="77777777" w:rsidR="00D61D40" w:rsidRPr="001038FC" w:rsidRDefault="00D61D40" w:rsidP="00D61D40">
      <w:pPr>
        <w:widowControl w:val="0"/>
        <w:numPr>
          <w:ilvl w:val="1"/>
          <w:numId w:val="34"/>
        </w:numPr>
        <w:tabs>
          <w:tab w:val="clear" w:pos="1440"/>
          <w:tab w:val="num" w:pos="1701"/>
        </w:tabs>
        <w:autoSpaceDE w:val="0"/>
        <w:autoSpaceDN w:val="0"/>
        <w:adjustRightInd w:val="0"/>
        <w:spacing w:before="120"/>
        <w:ind w:left="1701" w:hanging="425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 xml:space="preserve">zpracování a předání dokumentace skutečného provedení stavby (6 písemných výtisků dokumentace skutečného provedení stavebních prací a 2 elektronické verze zaznamenané na elektronickém nosiči) podle přílohy č. 7 vyhlášky </w:t>
      </w:r>
      <w:r w:rsidRPr="001038FC">
        <w:rPr>
          <w:rFonts w:asciiTheme="minorHAnsi" w:hAnsiTheme="minorHAnsi" w:cstheme="minorHAnsi"/>
        </w:rPr>
        <w:br/>
        <w:t>č. 499/2006 Sb., o dokumentaci staveb, ve znění pozdějších předpisů;</w:t>
      </w:r>
      <w:r w:rsidRPr="001038FC" w:rsidDel="008B1D8F">
        <w:rPr>
          <w:rFonts w:asciiTheme="minorHAnsi" w:hAnsiTheme="minorHAnsi" w:cstheme="minorHAnsi"/>
        </w:rPr>
        <w:t xml:space="preserve"> </w:t>
      </w:r>
    </w:p>
    <w:p w14:paraId="1A3C8A83" w14:textId="77777777" w:rsidR="00D61D40" w:rsidRPr="001038FC" w:rsidRDefault="00D61D40" w:rsidP="00D61D40">
      <w:pPr>
        <w:numPr>
          <w:ilvl w:val="0"/>
          <w:numId w:val="34"/>
        </w:numPr>
        <w:tabs>
          <w:tab w:val="clear" w:pos="720"/>
          <w:tab w:val="num" w:pos="1276"/>
        </w:tabs>
        <w:spacing w:before="120"/>
        <w:ind w:left="1276" w:hanging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pořízení komponentů (pracovních stanic a serverů, provedení výměny komunikačních prvků na LSLPS) za účelem nahrazení zastaralých součástí systému komunikací a systému LETVIS (mimo technologii vyměněnou v předcházejícím projektu a systému Letvis SCC), včetně HW i SW instalace</w:t>
      </w:r>
    </w:p>
    <w:p w14:paraId="1F9A7EB6" w14:textId="77777777" w:rsidR="00D61D40" w:rsidRPr="001038FC" w:rsidRDefault="00D61D40" w:rsidP="00D61D40">
      <w:pPr>
        <w:numPr>
          <w:ilvl w:val="0"/>
          <w:numId w:val="34"/>
        </w:numPr>
        <w:tabs>
          <w:tab w:val="clear" w:pos="720"/>
          <w:tab w:val="num" w:pos="1276"/>
        </w:tabs>
        <w:spacing w:before="120"/>
        <w:ind w:left="1276" w:hanging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provedení rekompilace stávajících systémů na OS LINUX a provedení:</w:t>
      </w:r>
    </w:p>
    <w:p w14:paraId="04FBCBA9" w14:textId="77777777" w:rsidR="00D61D40" w:rsidRPr="001038FC" w:rsidRDefault="00D61D40" w:rsidP="00D61D40">
      <w:pPr>
        <w:numPr>
          <w:ilvl w:val="0"/>
          <w:numId w:val="35"/>
        </w:numPr>
        <w:tabs>
          <w:tab w:val="num" w:pos="1701"/>
        </w:tabs>
        <w:spacing w:before="120"/>
        <w:ind w:left="1701" w:hanging="284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úpravy stávající ho rozhraní pro výměnu ASM dat,</w:t>
      </w:r>
    </w:p>
    <w:p w14:paraId="4AC0C712" w14:textId="77777777" w:rsidR="00D61D40" w:rsidRPr="001038FC" w:rsidRDefault="00D61D40" w:rsidP="00D61D40">
      <w:pPr>
        <w:numPr>
          <w:ilvl w:val="0"/>
          <w:numId w:val="35"/>
        </w:numPr>
        <w:tabs>
          <w:tab w:val="num" w:pos="1701"/>
        </w:tabs>
        <w:spacing w:before="120"/>
        <w:ind w:left="1701" w:hanging="284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 xml:space="preserve">úpravy stávajícího FDP/ser. tak, aby byl schopen zpracovat nová pole </w:t>
      </w:r>
      <w:r w:rsidRPr="001038FC">
        <w:rPr>
          <w:rFonts w:asciiTheme="minorHAnsi" w:hAnsiTheme="minorHAnsi" w:cstheme="minorHAnsi"/>
        </w:rPr>
        <w:br/>
        <w:t>(-SLOTTYPE, -CTOT);</w:t>
      </w:r>
    </w:p>
    <w:p w14:paraId="60A1CB9D" w14:textId="77777777" w:rsidR="00D61D40" w:rsidRPr="001038FC" w:rsidRDefault="00D61D40" w:rsidP="00D61D40">
      <w:pPr>
        <w:numPr>
          <w:ilvl w:val="0"/>
          <w:numId w:val="34"/>
        </w:numPr>
        <w:tabs>
          <w:tab w:val="clear" w:pos="720"/>
          <w:tab w:val="num" w:pos="1276"/>
        </w:tabs>
        <w:spacing w:before="120"/>
        <w:ind w:left="1276" w:hanging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zavedení interaktivního HMI pro systémy zobrazení a plánování ve 2 instalacích na DTC (prototyp);</w:t>
      </w:r>
    </w:p>
    <w:p w14:paraId="3A0D2A37" w14:textId="77777777" w:rsidR="00D61D40" w:rsidRPr="001038FC" w:rsidRDefault="00D61D40" w:rsidP="00D61D40">
      <w:pPr>
        <w:numPr>
          <w:ilvl w:val="0"/>
          <w:numId w:val="34"/>
        </w:numPr>
        <w:tabs>
          <w:tab w:val="clear" w:pos="720"/>
          <w:tab w:val="num" w:pos="1276"/>
        </w:tabs>
        <w:spacing w:before="120"/>
        <w:ind w:left="1276" w:hanging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technologická příprava k výstavbě a instalaci součástí systému DTC (testovací polygon);</w:t>
      </w:r>
    </w:p>
    <w:p w14:paraId="26195434" w14:textId="77777777" w:rsidR="00D61D40" w:rsidRPr="001038FC" w:rsidRDefault="00D61D40" w:rsidP="00D61D40">
      <w:pPr>
        <w:numPr>
          <w:ilvl w:val="0"/>
          <w:numId w:val="34"/>
        </w:numPr>
        <w:tabs>
          <w:tab w:val="clear" w:pos="720"/>
          <w:tab w:val="num" w:pos="1276"/>
        </w:tabs>
        <w:spacing w:before="120"/>
        <w:ind w:left="1276" w:hanging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provedení HW i SW instalace technologií na DTC;</w:t>
      </w:r>
    </w:p>
    <w:p w14:paraId="34C008A9" w14:textId="77777777" w:rsidR="00D61D40" w:rsidRPr="001038FC" w:rsidRDefault="00D61D40" w:rsidP="00D61D40">
      <w:pPr>
        <w:numPr>
          <w:ilvl w:val="0"/>
          <w:numId w:val="34"/>
        </w:numPr>
        <w:tabs>
          <w:tab w:val="clear" w:pos="720"/>
          <w:tab w:val="num" w:pos="1276"/>
          <w:tab w:val="num" w:pos="1701"/>
        </w:tabs>
        <w:spacing w:before="120"/>
        <w:ind w:left="1276" w:hanging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zajištění licencí pro systémy ATM na DTC na období 5 let;</w:t>
      </w:r>
    </w:p>
    <w:p w14:paraId="461916F5" w14:textId="77777777" w:rsidR="00D61D40" w:rsidRPr="001038FC" w:rsidRDefault="00D61D40" w:rsidP="00D61D40">
      <w:pPr>
        <w:numPr>
          <w:ilvl w:val="0"/>
          <w:numId w:val="34"/>
        </w:numPr>
        <w:tabs>
          <w:tab w:val="clear" w:pos="720"/>
          <w:tab w:val="num" w:pos="1276"/>
        </w:tabs>
        <w:spacing w:before="120"/>
        <w:ind w:left="1276" w:hanging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 xml:space="preserve">příprava a doplnění optické a metalické infrastruktury jednotlivých pracovních stanic </w:t>
      </w:r>
      <w:r w:rsidRPr="001038FC">
        <w:rPr>
          <w:rFonts w:asciiTheme="minorHAnsi" w:hAnsiTheme="minorHAnsi" w:cstheme="minorHAnsi"/>
        </w:rPr>
        <w:br/>
        <w:t>a serverů k instalaci a funkčnímu propojení součástí systému;</w:t>
      </w:r>
    </w:p>
    <w:p w14:paraId="4B928D7E" w14:textId="77777777" w:rsidR="00D61D40" w:rsidRPr="001038FC" w:rsidRDefault="00D61D40" w:rsidP="00D61D40">
      <w:pPr>
        <w:numPr>
          <w:ilvl w:val="0"/>
          <w:numId w:val="34"/>
        </w:numPr>
        <w:tabs>
          <w:tab w:val="clear" w:pos="720"/>
          <w:tab w:val="num" w:pos="1276"/>
        </w:tabs>
        <w:spacing w:before="120"/>
        <w:ind w:left="1276" w:hanging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systém horizontální a vertikální struktury pro zpracování a distribuci meteoinformace do systému ATM</w:t>
      </w:r>
    </w:p>
    <w:p w14:paraId="504B0878" w14:textId="77777777" w:rsidR="00D61D40" w:rsidRPr="001038FC" w:rsidRDefault="00D61D40" w:rsidP="00D61D40">
      <w:pPr>
        <w:numPr>
          <w:ilvl w:val="0"/>
          <w:numId w:val="34"/>
        </w:numPr>
        <w:tabs>
          <w:tab w:val="clear" w:pos="720"/>
          <w:tab w:val="num" w:pos="1276"/>
        </w:tabs>
        <w:spacing w:before="120"/>
        <w:ind w:left="1276" w:hanging="567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lastRenderedPageBreak/>
        <w:t>promítnutí a splnění základních požadavků zákona 181/2014 Sb., o kybernetické bezpečnosti, ve znění pozdějších předpisů, pokud to bude v systému možné;</w:t>
      </w:r>
    </w:p>
    <w:p w14:paraId="6990BA6F" w14:textId="77777777" w:rsidR="00D61D40" w:rsidRPr="001038FC" w:rsidRDefault="00D61D40" w:rsidP="00D61D40">
      <w:pPr>
        <w:numPr>
          <w:ilvl w:val="0"/>
          <w:numId w:val="34"/>
        </w:numPr>
        <w:tabs>
          <w:tab w:val="clear" w:pos="720"/>
          <w:tab w:val="num" w:pos="1276"/>
          <w:tab w:val="num" w:pos="1418"/>
        </w:tabs>
        <w:spacing w:before="120"/>
        <w:ind w:left="1276" w:hanging="567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zaškolení provozního a technického personálu;</w:t>
      </w:r>
    </w:p>
    <w:p w14:paraId="704D222B" w14:textId="77777777" w:rsidR="00D61D40" w:rsidRPr="001038FC" w:rsidRDefault="00D61D40" w:rsidP="00D61D40">
      <w:pPr>
        <w:numPr>
          <w:ilvl w:val="0"/>
          <w:numId w:val="34"/>
        </w:numPr>
        <w:tabs>
          <w:tab w:val="clear" w:pos="720"/>
          <w:tab w:val="num" w:pos="1276"/>
          <w:tab w:val="num" w:pos="1418"/>
        </w:tabs>
        <w:spacing w:before="120"/>
        <w:ind w:left="1276" w:hanging="567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ověření shody zařízení (typová certifikace u zhotovitelem instalovaných či upravovaných systémů systémů);</w:t>
      </w:r>
    </w:p>
    <w:p w14:paraId="5A24B066" w14:textId="77777777" w:rsidR="00D61D40" w:rsidRPr="001038FC" w:rsidRDefault="00D61D40" w:rsidP="00D61D40">
      <w:pPr>
        <w:numPr>
          <w:ilvl w:val="0"/>
          <w:numId w:val="34"/>
        </w:numPr>
        <w:tabs>
          <w:tab w:val="clear" w:pos="720"/>
          <w:tab w:val="num" w:pos="1276"/>
          <w:tab w:val="num" w:pos="1418"/>
        </w:tabs>
        <w:spacing w:before="120"/>
        <w:ind w:left="1276" w:hanging="567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spolupráce s uživatelem na ověření provozní způsobilosti (provozní certifikace).</w:t>
      </w:r>
    </w:p>
    <w:p w14:paraId="4C901EBB" w14:textId="77777777" w:rsidR="00D61D40" w:rsidRPr="001038FC" w:rsidRDefault="00D61D40" w:rsidP="00D61D40">
      <w:pPr>
        <w:tabs>
          <w:tab w:val="num" w:pos="993"/>
        </w:tabs>
        <w:spacing w:before="120"/>
        <w:ind w:left="993" w:hanging="284"/>
        <w:rPr>
          <w:rFonts w:asciiTheme="minorHAnsi" w:hAnsiTheme="minorHAnsi" w:cstheme="minorHAnsi"/>
          <w:sz w:val="12"/>
          <w:szCs w:val="12"/>
        </w:rPr>
      </w:pPr>
    </w:p>
    <w:p w14:paraId="21C2F29B" w14:textId="77777777" w:rsidR="00784B11" w:rsidRPr="001038FC" w:rsidRDefault="00784B11" w:rsidP="00587180">
      <w:pPr>
        <w:spacing w:before="240"/>
        <w:jc w:val="both"/>
        <w:rPr>
          <w:rFonts w:asciiTheme="minorHAnsi" w:hAnsiTheme="minorHAnsi" w:cstheme="minorHAnsi"/>
        </w:rPr>
      </w:pPr>
    </w:p>
    <w:p w14:paraId="4EE1DE74" w14:textId="77777777" w:rsidR="00784B11" w:rsidRPr="001038FC" w:rsidRDefault="00784B11" w:rsidP="005217A6">
      <w:pPr>
        <w:pStyle w:val="Nadpis1"/>
        <w:rPr>
          <w:rFonts w:asciiTheme="minorHAnsi" w:hAnsiTheme="minorHAnsi" w:cstheme="minorHAnsi"/>
        </w:rPr>
      </w:pPr>
      <w:bookmarkStart w:id="5" w:name="_Toc357698098"/>
      <w:bookmarkStart w:id="6" w:name="_Toc482282189"/>
      <w:r w:rsidRPr="001038FC">
        <w:rPr>
          <w:rFonts w:asciiTheme="minorHAnsi" w:hAnsiTheme="minorHAnsi" w:cstheme="minorHAnsi"/>
        </w:rPr>
        <w:t>Určení systému ATM</w:t>
      </w:r>
      <w:bookmarkEnd w:id="5"/>
      <w:bookmarkEnd w:id="6"/>
    </w:p>
    <w:p w14:paraId="4A1FE02E" w14:textId="77777777" w:rsidR="00D42DDA" w:rsidRPr="001038FC" w:rsidRDefault="00D42DDA" w:rsidP="00784B11">
      <w:pPr>
        <w:rPr>
          <w:rFonts w:asciiTheme="minorHAnsi" w:hAnsiTheme="minorHAnsi" w:cstheme="minorHAnsi"/>
        </w:rPr>
      </w:pPr>
    </w:p>
    <w:p w14:paraId="43E82EF6" w14:textId="77777777" w:rsidR="00784B11" w:rsidRPr="001038FC" w:rsidRDefault="00784B11" w:rsidP="00D42DDA">
      <w:pPr>
        <w:spacing w:before="120"/>
        <w:ind w:firstLine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Vojenský ATM systém, dále jen systém MATM, je vojenské letecké pozemní zařízení, které představuje technickou část ATM systému Armády České republiky.</w:t>
      </w:r>
    </w:p>
    <w:p w14:paraId="3D5E5C93" w14:textId="77777777" w:rsidR="00784B11" w:rsidRPr="001038FC" w:rsidRDefault="00784B11" w:rsidP="00D42DDA">
      <w:pPr>
        <w:spacing w:before="120"/>
        <w:ind w:firstLine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Systém MATM je určený k</w:t>
      </w:r>
      <w:r w:rsidR="00D42DDA" w:rsidRPr="001038FC">
        <w:rPr>
          <w:rFonts w:asciiTheme="minorHAnsi" w:hAnsiTheme="minorHAnsi" w:cstheme="minorHAnsi"/>
        </w:rPr>
        <w:t>:</w:t>
      </w:r>
    </w:p>
    <w:p w14:paraId="681238A2" w14:textId="77777777" w:rsidR="00784B11" w:rsidRPr="001038FC" w:rsidRDefault="00784B11" w:rsidP="0093150C">
      <w:pPr>
        <w:numPr>
          <w:ilvl w:val="0"/>
          <w:numId w:val="15"/>
        </w:numPr>
        <w:ind w:left="709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technickému zabezpečení letových provozních služeb poskytovaných z letištních středisek letových provozních služeb vojenských letišť a z CRC,</w:t>
      </w:r>
    </w:p>
    <w:p w14:paraId="1E1398C3" w14:textId="77777777" w:rsidR="00784B11" w:rsidRPr="001038FC" w:rsidRDefault="00784B11" w:rsidP="0093150C">
      <w:pPr>
        <w:numPr>
          <w:ilvl w:val="0"/>
          <w:numId w:val="15"/>
        </w:numPr>
        <w:ind w:left="709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technickému zabezpečení procesů uspořádání vzdušného prostoru,</w:t>
      </w:r>
    </w:p>
    <w:p w14:paraId="70D8389E" w14:textId="77777777" w:rsidR="00784B11" w:rsidRPr="001038FC" w:rsidRDefault="00784B11" w:rsidP="0093150C">
      <w:pPr>
        <w:numPr>
          <w:ilvl w:val="0"/>
          <w:numId w:val="15"/>
        </w:numPr>
        <w:ind w:left="709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koordinaci vojenského a civilního řízení letového provozu,</w:t>
      </w:r>
    </w:p>
    <w:p w14:paraId="6C51F5EA" w14:textId="77777777" w:rsidR="00784B11" w:rsidRPr="001038FC" w:rsidRDefault="00784B11" w:rsidP="0093150C">
      <w:pPr>
        <w:numPr>
          <w:ilvl w:val="0"/>
          <w:numId w:val="15"/>
        </w:numPr>
        <w:ind w:left="709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poskytování ATM dat externím uživatelům.</w:t>
      </w:r>
    </w:p>
    <w:p w14:paraId="1F540001" w14:textId="77777777" w:rsidR="00784B11" w:rsidRPr="001038FC" w:rsidRDefault="00784B11" w:rsidP="00784B11">
      <w:pPr>
        <w:rPr>
          <w:rFonts w:asciiTheme="minorHAnsi" w:hAnsiTheme="minorHAnsi" w:cstheme="minorHAnsi"/>
          <w:szCs w:val="20"/>
        </w:rPr>
      </w:pPr>
    </w:p>
    <w:p w14:paraId="7490F2B6" w14:textId="77777777" w:rsidR="00D42DDA" w:rsidRPr="001038FC" w:rsidRDefault="00D42DDA" w:rsidP="00784B11">
      <w:pPr>
        <w:rPr>
          <w:rFonts w:asciiTheme="minorHAnsi" w:hAnsiTheme="minorHAnsi" w:cstheme="minorHAnsi"/>
          <w:szCs w:val="20"/>
        </w:rPr>
      </w:pPr>
    </w:p>
    <w:p w14:paraId="77BC33D7" w14:textId="77777777" w:rsidR="00784B11" w:rsidRPr="001038FC" w:rsidRDefault="00784B11" w:rsidP="005217A6">
      <w:pPr>
        <w:pStyle w:val="Nadpis1"/>
        <w:rPr>
          <w:rFonts w:asciiTheme="minorHAnsi" w:hAnsiTheme="minorHAnsi" w:cstheme="minorHAnsi"/>
        </w:rPr>
      </w:pPr>
      <w:bookmarkStart w:id="7" w:name="_Toc357698099"/>
      <w:bookmarkStart w:id="8" w:name="_Toc482282190"/>
      <w:r w:rsidRPr="001038FC">
        <w:rPr>
          <w:rFonts w:asciiTheme="minorHAnsi" w:hAnsiTheme="minorHAnsi" w:cstheme="minorHAnsi"/>
        </w:rPr>
        <w:t>Požadavky na strukturu systému ATM</w:t>
      </w:r>
      <w:bookmarkEnd w:id="7"/>
      <w:bookmarkEnd w:id="8"/>
    </w:p>
    <w:p w14:paraId="0A1DA589" w14:textId="77777777" w:rsidR="00D42DDA" w:rsidRPr="001038FC" w:rsidRDefault="00D42DDA" w:rsidP="00D42DDA">
      <w:pPr>
        <w:ind w:left="567"/>
        <w:jc w:val="both"/>
        <w:rPr>
          <w:rFonts w:asciiTheme="minorHAnsi" w:hAnsiTheme="minorHAnsi" w:cstheme="minorHAnsi"/>
        </w:rPr>
      </w:pPr>
    </w:p>
    <w:p w14:paraId="55C2AA62" w14:textId="67524A6B" w:rsidR="00784B11" w:rsidRPr="001038FC" w:rsidRDefault="00784B11" w:rsidP="004E3EF9">
      <w:pPr>
        <w:spacing w:before="120"/>
        <w:ind w:firstLine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Tato část specifikuje požadavky na provedení výměny HW v projektu „RADARCENTRUM“. Všechny hodnoty, které jsou uvedeny v tabulce č. 1, nutno chápat jako minimální. Dodavatel musí zabezpečit jejich splnění podle období, v kterém se daný HW bude dodávat. V popisu jsou uvedeny odkazy na typy jednotlivých stanic a to typ 1 až 5, podle téže tabulky.</w:t>
      </w:r>
    </w:p>
    <w:p w14:paraId="280F5449" w14:textId="2ABD1A82" w:rsidR="00784B11" w:rsidRPr="001038FC" w:rsidRDefault="00784B11" w:rsidP="004E3EF9">
      <w:pPr>
        <w:spacing w:before="120"/>
        <w:ind w:firstLine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Grafická karta „NVIDIA QUADRO“ je stanovena jako minimální standard. Její záměna musí být konzultována s výrobcem HW. Tato podmínka se týká i vícemotorových stanic. „Extendery“ zařízení musí být řešeny technologicky stejně jako současná provozovávána technologie, řadou „TERADICI“ s optickými vlákny MM.</w:t>
      </w:r>
    </w:p>
    <w:p w14:paraId="674D04B1" w14:textId="4AA59052" w:rsidR="00784B11" w:rsidRPr="001038FC" w:rsidRDefault="00784B11" w:rsidP="004E3EF9">
      <w:pPr>
        <w:spacing w:before="120"/>
        <w:ind w:firstLine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 xml:space="preserve">Provedení serverů a pracovních stanic musí být v „rack-mount“ provedení do 19“ datového rozvaděče s hloubkou zástavby do </w:t>
      </w:r>
      <w:r w:rsidR="008737C8" w:rsidRPr="001038FC">
        <w:rPr>
          <w:rFonts w:asciiTheme="minorHAnsi" w:hAnsiTheme="minorHAnsi" w:cstheme="minorHAnsi"/>
        </w:rPr>
        <w:t>10</w:t>
      </w:r>
      <w:r w:rsidRPr="001038FC">
        <w:rPr>
          <w:rFonts w:asciiTheme="minorHAnsi" w:hAnsiTheme="minorHAnsi" w:cstheme="minorHAnsi"/>
        </w:rPr>
        <w:t>00 mm, a musí umožňovat stohování zařízení bez mezer pro chlazení a vysunutí serveru bez nutnosti odpojení kabeláže. Všechny servery musí umožňovat dálkový vzdálený přístup pomocí konzole a/nebo speciálního ethernetového rozhraní („Servisní LAN“)</w:t>
      </w:r>
    </w:p>
    <w:p w14:paraId="1EFAD36C" w14:textId="63F20329" w:rsidR="00784B11" w:rsidRPr="001038FC" w:rsidRDefault="00784B11" w:rsidP="004E3EF9">
      <w:pPr>
        <w:spacing w:after="160" w:line="256" w:lineRule="auto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Dodané PC pro systémy TD na IATCC Praha Jeneč, musí být dodány v provedení bez optických extenderů, jako samostatně stojící PC (budou umístěny v 19“ zástavbách konzol TD)</w:t>
      </w:r>
      <w:r w:rsidRPr="001038FC">
        <w:rPr>
          <w:rFonts w:asciiTheme="minorHAnsi" w:hAnsiTheme="minorHAnsi" w:cstheme="minorHAnsi"/>
        </w:rPr>
        <w:br w:type="page"/>
      </w:r>
    </w:p>
    <w:p w14:paraId="178D9EC5" w14:textId="77777777" w:rsidR="00B06FE0" w:rsidRPr="001038FC" w:rsidRDefault="00B06FE0" w:rsidP="0093150C">
      <w:pPr>
        <w:pStyle w:val="Odstavecseseznamem"/>
        <w:keepNext/>
        <w:keepLines/>
        <w:widowControl w:val="0"/>
        <w:numPr>
          <w:ilvl w:val="0"/>
          <w:numId w:val="3"/>
        </w:numPr>
        <w:adjustRightInd w:val="0"/>
        <w:spacing w:before="240"/>
        <w:contextualSpacing w:val="0"/>
        <w:outlineLvl w:val="0"/>
        <w:rPr>
          <w:rFonts w:asciiTheme="minorHAnsi" w:hAnsiTheme="minorHAnsi" w:cstheme="minorHAnsi"/>
          <w:b/>
          <w:vanish/>
        </w:rPr>
      </w:pPr>
      <w:bookmarkStart w:id="9" w:name="_Toc451926915"/>
      <w:bookmarkStart w:id="10" w:name="_Toc451935453"/>
      <w:bookmarkStart w:id="11" w:name="_Toc451935565"/>
      <w:bookmarkStart w:id="12" w:name="_Toc482249867"/>
      <w:bookmarkStart w:id="13" w:name="_Toc482279391"/>
      <w:bookmarkStart w:id="14" w:name="_Toc482282179"/>
      <w:bookmarkStart w:id="15" w:name="_Toc482282191"/>
      <w:bookmarkEnd w:id="9"/>
      <w:bookmarkEnd w:id="10"/>
      <w:bookmarkEnd w:id="11"/>
      <w:bookmarkEnd w:id="12"/>
      <w:bookmarkEnd w:id="13"/>
      <w:bookmarkEnd w:id="14"/>
      <w:bookmarkEnd w:id="15"/>
    </w:p>
    <w:p w14:paraId="2F109873" w14:textId="77777777" w:rsidR="00B06FE0" w:rsidRPr="001038FC" w:rsidRDefault="00B06FE0" w:rsidP="0093150C">
      <w:pPr>
        <w:pStyle w:val="Odstavecseseznamem"/>
        <w:keepNext/>
        <w:keepLines/>
        <w:widowControl w:val="0"/>
        <w:numPr>
          <w:ilvl w:val="0"/>
          <w:numId w:val="3"/>
        </w:numPr>
        <w:adjustRightInd w:val="0"/>
        <w:spacing w:before="240"/>
        <w:contextualSpacing w:val="0"/>
        <w:outlineLvl w:val="0"/>
        <w:rPr>
          <w:rFonts w:asciiTheme="minorHAnsi" w:hAnsiTheme="minorHAnsi" w:cstheme="minorHAnsi"/>
          <w:b/>
          <w:vanish/>
        </w:rPr>
      </w:pPr>
      <w:bookmarkStart w:id="16" w:name="_Toc451926916"/>
      <w:bookmarkStart w:id="17" w:name="_Toc451935454"/>
      <w:bookmarkStart w:id="18" w:name="_Toc451935566"/>
      <w:bookmarkStart w:id="19" w:name="_Toc482249868"/>
      <w:bookmarkStart w:id="20" w:name="_Toc482279392"/>
      <w:bookmarkStart w:id="21" w:name="_Toc482282180"/>
      <w:bookmarkStart w:id="22" w:name="_Toc482282192"/>
      <w:bookmarkEnd w:id="16"/>
      <w:bookmarkEnd w:id="17"/>
      <w:bookmarkEnd w:id="18"/>
      <w:bookmarkEnd w:id="19"/>
      <w:bookmarkEnd w:id="20"/>
      <w:bookmarkEnd w:id="21"/>
      <w:bookmarkEnd w:id="22"/>
    </w:p>
    <w:p w14:paraId="2AB5460D" w14:textId="77777777" w:rsidR="00B06FE0" w:rsidRPr="001038FC" w:rsidRDefault="00B06FE0" w:rsidP="0093150C">
      <w:pPr>
        <w:pStyle w:val="Odstavecseseznamem"/>
        <w:keepNext/>
        <w:keepLines/>
        <w:widowControl w:val="0"/>
        <w:numPr>
          <w:ilvl w:val="0"/>
          <w:numId w:val="3"/>
        </w:numPr>
        <w:adjustRightInd w:val="0"/>
        <w:spacing w:before="240"/>
        <w:contextualSpacing w:val="0"/>
        <w:outlineLvl w:val="0"/>
        <w:rPr>
          <w:rFonts w:asciiTheme="minorHAnsi" w:hAnsiTheme="minorHAnsi" w:cstheme="minorHAnsi"/>
          <w:b/>
          <w:vanish/>
        </w:rPr>
      </w:pPr>
      <w:bookmarkStart w:id="23" w:name="_Toc451926917"/>
      <w:bookmarkStart w:id="24" w:name="_Toc451935455"/>
      <w:bookmarkStart w:id="25" w:name="_Toc451935567"/>
      <w:bookmarkStart w:id="26" w:name="_Toc482249869"/>
      <w:bookmarkStart w:id="27" w:name="_Toc482279393"/>
      <w:bookmarkStart w:id="28" w:name="_Toc482282181"/>
      <w:bookmarkStart w:id="29" w:name="_Toc482282193"/>
      <w:bookmarkEnd w:id="23"/>
      <w:bookmarkEnd w:id="24"/>
      <w:bookmarkEnd w:id="25"/>
      <w:bookmarkEnd w:id="26"/>
      <w:bookmarkEnd w:id="27"/>
      <w:bookmarkEnd w:id="28"/>
      <w:bookmarkEnd w:id="29"/>
    </w:p>
    <w:p w14:paraId="074D2523" w14:textId="77777777" w:rsidR="00784B11" w:rsidRPr="001038FC" w:rsidRDefault="00784B11" w:rsidP="0093150C">
      <w:pPr>
        <w:numPr>
          <w:ilvl w:val="1"/>
          <w:numId w:val="12"/>
        </w:numPr>
        <w:ind w:left="567" w:hanging="567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Serverové jádro IATCC Jeneč</w:t>
      </w:r>
    </w:p>
    <w:p w14:paraId="35965CF9" w14:textId="77777777" w:rsidR="00784B11" w:rsidRPr="001038FC" w:rsidRDefault="00784B11" w:rsidP="00784B11">
      <w:pPr>
        <w:keepNext/>
        <w:ind w:left="1224"/>
        <w:rPr>
          <w:rFonts w:asciiTheme="minorHAnsi" w:hAnsiTheme="minorHAnsi" w:cstheme="minorHAnsi"/>
        </w:rPr>
      </w:pPr>
    </w:p>
    <w:p w14:paraId="64798B34" w14:textId="77777777" w:rsidR="00784B11" w:rsidRPr="001038FC" w:rsidRDefault="00784B11" w:rsidP="00D42DDA">
      <w:pPr>
        <w:spacing w:before="120"/>
        <w:ind w:firstLine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Serverová část systému musí být řešena dvojicí HW identických prvků “A” a “B” z důvodu nutnosti zálohování systému v reálném čase.</w:t>
      </w:r>
    </w:p>
    <w:p w14:paraId="20C62B44" w14:textId="77777777" w:rsidR="00784B11" w:rsidRPr="001038FC" w:rsidRDefault="00784B11" w:rsidP="0093150C">
      <w:pPr>
        <w:numPr>
          <w:ilvl w:val="1"/>
          <w:numId w:val="12"/>
        </w:numPr>
        <w:ind w:left="567" w:hanging="567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Pracoviště v IATCC Jeneč</w:t>
      </w:r>
    </w:p>
    <w:p w14:paraId="6D768174" w14:textId="77777777" w:rsidR="00D42DDA" w:rsidRPr="001038FC" w:rsidRDefault="00D42DDA" w:rsidP="00D42DDA">
      <w:pPr>
        <w:rPr>
          <w:rFonts w:asciiTheme="minorHAnsi" w:hAnsiTheme="minorHAnsi" w:cstheme="minorHAnsi"/>
        </w:rPr>
      </w:pPr>
    </w:p>
    <w:p w14:paraId="7651305B" w14:textId="77777777" w:rsidR="00784B11" w:rsidRPr="001038FC" w:rsidRDefault="00784B11" w:rsidP="0093150C">
      <w:pPr>
        <w:numPr>
          <w:ilvl w:val="1"/>
          <w:numId w:val="12"/>
        </w:numPr>
        <w:ind w:left="567" w:hanging="567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MFDO</w:t>
      </w:r>
    </w:p>
    <w:p w14:paraId="23B8FE95" w14:textId="77777777" w:rsidR="00784B11" w:rsidRPr="001038FC" w:rsidRDefault="00784B11" w:rsidP="00D42DDA">
      <w:pPr>
        <w:spacing w:before="120"/>
        <w:ind w:firstLine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 xml:space="preserve">Pracovní stanice bude umístěn na CST, samotné pracoviště je potom v jiné části budovy. Server tedy musí umožňovat extenzi zobrazení. Extendery musí využívat stávajícího optického rozvodu. </w:t>
      </w:r>
    </w:p>
    <w:p w14:paraId="0B0B66C9" w14:textId="27083516" w:rsidR="00784B11" w:rsidRPr="001038FC" w:rsidRDefault="00150B08" w:rsidP="00D42DDA">
      <w:pPr>
        <w:spacing w:before="120"/>
        <w:ind w:firstLine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  <w:noProof/>
        </w:rPr>
        <w:drawing>
          <wp:anchor distT="152400" distB="152400" distL="152400" distR="152400" simplePos="0" relativeHeight="251656704" behindDoc="0" locked="0" layoutInCell="1" allowOverlap="1" wp14:anchorId="5C1AAC3A" wp14:editId="5E39AC73">
            <wp:simplePos x="0" y="0"/>
            <wp:positionH relativeFrom="margin">
              <wp:posOffset>1098550</wp:posOffset>
            </wp:positionH>
            <wp:positionV relativeFrom="line">
              <wp:posOffset>781050</wp:posOffset>
            </wp:positionV>
            <wp:extent cx="3792855" cy="2205355"/>
            <wp:effectExtent l="0" t="0" r="0" b="4445"/>
            <wp:wrapTopAndBottom/>
            <wp:docPr id="7" name="Obrázek 4" descr="MF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MFD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B11" w:rsidRPr="001038FC">
        <w:rPr>
          <w:rFonts w:asciiTheme="minorHAnsi" w:hAnsiTheme="minorHAnsi" w:cstheme="minorHAnsi"/>
        </w:rPr>
        <w:t xml:space="preserve">Zobrazení bude dvou-monitorové (viz Obrázek 1). Jednotlivé monitory musí být s minimální uhlopříčkou 27“ a rozlišením 1600x1200 obrazových bodů. </w:t>
      </w:r>
    </w:p>
    <w:p w14:paraId="00E958C0" w14:textId="77777777" w:rsidR="00994253" w:rsidRPr="001038FC" w:rsidRDefault="00994253" w:rsidP="00D42DDA">
      <w:pPr>
        <w:spacing w:before="120"/>
        <w:ind w:firstLine="567"/>
        <w:jc w:val="both"/>
        <w:rPr>
          <w:rFonts w:asciiTheme="minorHAnsi" w:hAnsiTheme="minorHAnsi" w:cstheme="minorHAnsi"/>
        </w:rPr>
      </w:pPr>
    </w:p>
    <w:p w14:paraId="4F72D987" w14:textId="0BB092FB" w:rsidR="00784B11" w:rsidRPr="001038FC" w:rsidRDefault="00784B11" w:rsidP="00784B11">
      <w:pPr>
        <w:pStyle w:val="Titulek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038FC">
        <w:rPr>
          <w:rFonts w:asciiTheme="minorHAnsi" w:hAnsiTheme="minorHAnsi" w:cstheme="minorHAnsi"/>
        </w:rPr>
        <w:t xml:space="preserve">Obrázek </w:t>
      </w:r>
      <w:r w:rsidRPr="001038FC">
        <w:rPr>
          <w:rFonts w:asciiTheme="minorHAnsi" w:hAnsiTheme="minorHAnsi" w:cstheme="minorHAnsi"/>
        </w:rPr>
        <w:fldChar w:fldCharType="begin"/>
      </w:r>
      <w:r w:rsidRPr="001038FC">
        <w:rPr>
          <w:rFonts w:asciiTheme="minorHAnsi" w:hAnsiTheme="minorHAnsi" w:cstheme="minorHAnsi"/>
        </w:rPr>
        <w:instrText xml:space="preserve"> SEQ Obrázek \* ARABIC </w:instrText>
      </w:r>
      <w:r w:rsidRPr="001038FC">
        <w:rPr>
          <w:rFonts w:asciiTheme="minorHAnsi" w:hAnsiTheme="minorHAnsi" w:cstheme="minorHAnsi"/>
        </w:rPr>
        <w:fldChar w:fldCharType="separate"/>
      </w:r>
      <w:r w:rsidR="00642471" w:rsidRPr="001038FC">
        <w:rPr>
          <w:rFonts w:asciiTheme="minorHAnsi" w:hAnsiTheme="minorHAnsi" w:cstheme="minorHAnsi"/>
          <w:noProof/>
        </w:rPr>
        <w:t>1</w:t>
      </w:r>
      <w:r w:rsidRPr="001038FC">
        <w:rPr>
          <w:rFonts w:asciiTheme="minorHAnsi" w:hAnsiTheme="minorHAnsi" w:cstheme="minorHAnsi"/>
          <w:noProof/>
        </w:rPr>
        <w:fldChar w:fldCharType="end"/>
      </w:r>
      <w:r w:rsidRPr="001038FC">
        <w:rPr>
          <w:rFonts w:asciiTheme="minorHAnsi" w:hAnsiTheme="minorHAnsi" w:cstheme="minorHAnsi"/>
        </w:rPr>
        <w:t xml:space="preserve"> - Schématické znázornění uspořádání </w:t>
      </w:r>
      <w:r w:rsidR="00C45082" w:rsidRPr="001038FC">
        <w:rPr>
          <w:rFonts w:asciiTheme="minorHAnsi" w:hAnsiTheme="minorHAnsi" w:cstheme="minorHAnsi"/>
        </w:rPr>
        <w:t>pracoviště MFDO</w:t>
      </w:r>
    </w:p>
    <w:p w14:paraId="040FE5D7" w14:textId="77777777" w:rsidR="00784B11" w:rsidRPr="001038FC" w:rsidRDefault="00784B11" w:rsidP="0093150C">
      <w:pPr>
        <w:numPr>
          <w:ilvl w:val="1"/>
          <w:numId w:val="12"/>
        </w:numPr>
        <w:ind w:left="567" w:hanging="567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Pracoviště Letvis FDO</w:t>
      </w:r>
    </w:p>
    <w:p w14:paraId="70F11BC1" w14:textId="77777777" w:rsidR="00784B11" w:rsidRPr="001038FC" w:rsidRDefault="00784B11" w:rsidP="00D42DDA">
      <w:pPr>
        <w:spacing w:before="120"/>
        <w:ind w:firstLine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Pracoviště musí splňovat požadavky na zobrazení min. monitor 27“ s rozlišením 2560x1440 obrazových bodů.</w:t>
      </w:r>
    </w:p>
    <w:p w14:paraId="6CC2B339" w14:textId="77777777" w:rsidR="00D42DDA" w:rsidRPr="001038FC" w:rsidRDefault="00D42DDA" w:rsidP="00D42DDA">
      <w:pPr>
        <w:spacing w:before="120"/>
        <w:ind w:firstLine="567"/>
        <w:jc w:val="both"/>
        <w:rPr>
          <w:rFonts w:asciiTheme="minorHAnsi" w:hAnsiTheme="minorHAnsi" w:cstheme="minorHAnsi"/>
        </w:rPr>
      </w:pPr>
    </w:p>
    <w:p w14:paraId="04627225" w14:textId="77777777" w:rsidR="00784B11" w:rsidRPr="001038FC" w:rsidRDefault="00784B11" w:rsidP="0093150C">
      <w:pPr>
        <w:numPr>
          <w:ilvl w:val="1"/>
          <w:numId w:val="12"/>
        </w:numPr>
        <w:ind w:left="567" w:hanging="567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ASM L3</w:t>
      </w:r>
    </w:p>
    <w:p w14:paraId="4FC1A03A" w14:textId="77777777" w:rsidR="00784B11" w:rsidRPr="001038FC" w:rsidRDefault="00784B11" w:rsidP="00D42DDA">
      <w:pPr>
        <w:spacing w:before="120"/>
        <w:ind w:firstLine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Pracovní stanice bude umístěn</w:t>
      </w:r>
      <w:r w:rsidR="00C10773" w:rsidRPr="001038FC">
        <w:rPr>
          <w:rFonts w:asciiTheme="minorHAnsi" w:hAnsiTheme="minorHAnsi" w:cstheme="minorHAnsi"/>
        </w:rPr>
        <w:t>a</w:t>
      </w:r>
      <w:r w:rsidRPr="001038FC">
        <w:rPr>
          <w:rFonts w:asciiTheme="minorHAnsi" w:hAnsiTheme="minorHAnsi" w:cstheme="minorHAnsi"/>
        </w:rPr>
        <w:t xml:space="preserve"> na CST, samotné pracoviště je potom v jiné části budovy. Server tedy musí umožňovat extenzi zobrazení. Extendery musí využívat stávajícího optického rozvodu. </w:t>
      </w:r>
    </w:p>
    <w:p w14:paraId="522CA00B" w14:textId="6F24E5B9" w:rsidR="00784B11" w:rsidRPr="001038FC" w:rsidRDefault="00150B08" w:rsidP="00D42DDA">
      <w:pPr>
        <w:spacing w:before="120"/>
        <w:ind w:firstLine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  <w:noProof/>
        </w:rPr>
        <w:drawing>
          <wp:anchor distT="152400" distB="152400" distL="152400" distR="152400" simplePos="0" relativeHeight="251657728" behindDoc="0" locked="0" layoutInCell="1" allowOverlap="1" wp14:anchorId="064E0E7B" wp14:editId="02CFB17E">
            <wp:simplePos x="0" y="0"/>
            <wp:positionH relativeFrom="margin">
              <wp:posOffset>1358900</wp:posOffset>
            </wp:positionH>
            <wp:positionV relativeFrom="line">
              <wp:posOffset>808355</wp:posOffset>
            </wp:positionV>
            <wp:extent cx="2976245" cy="1736090"/>
            <wp:effectExtent l="0" t="0" r="0" b="0"/>
            <wp:wrapTopAndBottom/>
            <wp:docPr id="6" name="Obrázek 3" descr="asm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asmL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B11" w:rsidRPr="001038FC">
        <w:rPr>
          <w:rFonts w:asciiTheme="minorHAnsi" w:hAnsiTheme="minorHAnsi" w:cstheme="minorHAnsi"/>
        </w:rPr>
        <w:t>Zobrazení bude dvou-monitorové (viz Obrázek 2). Jednotlivé monitory musí být s minimální úhlopříčkou s min. 21” a rozlišením 1600 x 1200 obrazovkových bodů</w:t>
      </w:r>
    </w:p>
    <w:p w14:paraId="758DDD38" w14:textId="77777777" w:rsidR="00BE6957" w:rsidRPr="001038FC" w:rsidRDefault="00BE6957" w:rsidP="00D42DDA">
      <w:pPr>
        <w:spacing w:before="120"/>
        <w:ind w:firstLine="567"/>
        <w:jc w:val="both"/>
        <w:rPr>
          <w:rFonts w:asciiTheme="minorHAnsi" w:hAnsiTheme="minorHAnsi" w:cstheme="minorHAnsi"/>
        </w:rPr>
      </w:pPr>
    </w:p>
    <w:p w14:paraId="1504B112" w14:textId="77777777" w:rsidR="00784B11" w:rsidRPr="001038FC" w:rsidRDefault="00784B11" w:rsidP="00784B11">
      <w:pPr>
        <w:pStyle w:val="Titulek"/>
        <w:jc w:val="center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 xml:space="preserve">Obrázek </w:t>
      </w:r>
      <w:r w:rsidRPr="001038FC">
        <w:rPr>
          <w:rFonts w:asciiTheme="minorHAnsi" w:hAnsiTheme="minorHAnsi" w:cstheme="minorHAnsi"/>
        </w:rPr>
        <w:fldChar w:fldCharType="begin"/>
      </w:r>
      <w:r w:rsidRPr="001038FC">
        <w:rPr>
          <w:rFonts w:asciiTheme="minorHAnsi" w:hAnsiTheme="minorHAnsi" w:cstheme="minorHAnsi"/>
        </w:rPr>
        <w:instrText xml:space="preserve"> SEQ Obrázek \* ARABIC </w:instrText>
      </w:r>
      <w:r w:rsidRPr="001038FC">
        <w:rPr>
          <w:rFonts w:asciiTheme="minorHAnsi" w:hAnsiTheme="minorHAnsi" w:cstheme="minorHAnsi"/>
        </w:rPr>
        <w:fldChar w:fldCharType="separate"/>
      </w:r>
      <w:r w:rsidR="00642471" w:rsidRPr="001038FC">
        <w:rPr>
          <w:rFonts w:asciiTheme="minorHAnsi" w:hAnsiTheme="minorHAnsi" w:cstheme="minorHAnsi"/>
          <w:noProof/>
        </w:rPr>
        <w:t>2</w:t>
      </w:r>
      <w:r w:rsidRPr="001038FC">
        <w:rPr>
          <w:rFonts w:asciiTheme="minorHAnsi" w:hAnsiTheme="minorHAnsi" w:cstheme="minorHAnsi"/>
          <w:noProof/>
        </w:rPr>
        <w:fldChar w:fldCharType="end"/>
      </w:r>
      <w:r w:rsidRPr="001038FC">
        <w:rPr>
          <w:rFonts w:asciiTheme="minorHAnsi" w:hAnsiTheme="minorHAnsi" w:cstheme="minorHAnsi"/>
          <w:noProof/>
        </w:rPr>
        <w:t xml:space="preserve"> </w:t>
      </w:r>
      <w:r w:rsidRPr="001038FC">
        <w:rPr>
          <w:rFonts w:asciiTheme="minorHAnsi" w:hAnsiTheme="minorHAnsi" w:cstheme="minorHAnsi"/>
        </w:rPr>
        <w:t>- Schématické znázornění uspořádání pracoviště ASM L3</w:t>
      </w:r>
    </w:p>
    <w:p w14:paraId="7009C8AB" w14:textId="77777777" w:rsidR="00784B11" w:rsidRPr="001038FC" w:rsidRDefault="00784B11" w:rsidP="0093150C">
      <w:pPr>
        <w:numPr>
          <w:ilvl w:val="1"/>
          <w:numId w:val="12"/>
        </w:numPr>
        <w:ind w:left="567" w:hanging="567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ASM L2</w:t>
      </w:r>
    </w:p>
    <w:p w14:paraId="42642CC0" w14:textId="77777777" w:rsidR="00784B11" w:rsidRPr="001038FC" w:rsidRDefault="00784B11" w:rsidP="00D42DDA">
      <w:pPr>
        <w:spacing w:before="120"/>
        <w:ind w:firstLine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Pracovní stanice bude umístěn</w:t>
      </w:r>
      <w:r w:rsidR="00C10773" w:rsidRPr="001038FC">
        <w:rPr>
          <w:rFonts w:asciiTheme="minorHAnsi" w:hAnsiTheme="minorHAnsi" w:cstheme="minorHAnsi"/>
        </w:rPr>
        <w:t>a</w:t>
      </w:r>
      <w:r w:rsidRPr="001038FC">
        <w:rPr>
          <w:rFonts w:asciiTheme="minorHAnsi" w:hAnsiTheme="minorHAnsi" w:cstheme="minorHAnsi"/>
        </w:rPr>
        <w:t xml:space="preserve"> na CST, samotné pracoviště je potom v jiné části budovy. Server tedy musí umožňovat extenzi zobrazení. Extendery musí využívat stávajícího optického rozvodu.</w:t>
      </w:r>
    </w:p>
    <w:p w14:paraId="1815997E" w14:textId="7CCCDC1C" w:rsidR="00784B11" w:rsidRPr="001038FC" w:rsidRDefault="00784B11" w:rsidP="00D42DDA">
      <w:pPr>
        <w:spacing w:before="120"/>
        <w:ind w:firstLine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 xml:space="preserve">Zobrazení bude jedno-monitorové s min. úhlopříčkou 27” a minimálním rozlišením </w:t>
      </w:r>
      <w:r w:rsidR="00C10773" w:rsidRPr="001038FC">
        <w:rPr>
          <w:rFonts w:asciiTheme="minorHAnsi" w:hAnsiTheme="minorHAnsi" w:cstheme="minorHAnsi"/>
        </w:rPr>
        <w:t xml:space="preserve">2550 </w:t>
      </w:r>
      <w:r w:rsidRPr="001038FC">
        <w:rPr>
          <w:rFonts w:asciiTheme="minorHAnsi" w:hAnsiTheme="minorHAnsi" w:cstheme="minorHAnsi"/>
        </w:rPr>
        <w:t xml:space="preserve">x </w:t>
      </w:r>
      <w:r w:rsidR="00C10773" w:rsidRPr="001038FC">
        <w:rPr>
          <w:rFonts w:asciiTheme="minorHAnsi" w:hAnsiTheme="minorHAnsi" w:cstheme="minorHAnsi"/>
        </w:rPr>
        <w:t>1440</w:t>
      </w:r>
      <w:r w:rsidRPr="001038FC">
        <w:rPr>
          <w:rFonts w:asciiTheme="minorHAnsi" w:hAnsiTheme="minorHAnsi" w:cstheme="minorHAnsi"/>
        </w:rPr>
        <w:t xml:space="preserve"> obrazovkových bodů.</w:t>
      </w:r>
    </w:p>
    <w:p w14:paraId="0FAE4527" w14:textId="77777777" w:rsidR="00784B11" w:rsidRPr="001038FC" w:rsidRDefault="00784B11" w:rsidP="00784B11">
      <w:pPr>
        <w:pStyle w:val="Body"/>
        <w:spacing w:after="0"/>
        <w:ind w:left="36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1038FC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</w:p>
    <w:p w14:paraId="2B9F9C7F" w14:textId="77777777" w:rsidR="00784B11" w:rsidRPr="001038FC" w:rsidRDefault="00784B11" w:rsidP="0093150C">
      <w:pPr>
        <w:numPr>
          <w:ilvl w:val="1"/>
          <w:numId w:val="12"/>
        </w:numPr>
        <w:ind w:left="567" w:hanging="567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Pracoviště TD</w:t>
      </w:r>
    </w:p>
    <w:p w14:paraId="254377E0" w14:textId="5A6A78E2" w:rsidR="00784B11" w:rsidRPr="001038FC" w:rsidRDefault="00784B11" w:rsidP="00D42DDA">
      <w:pPr>
        <w:spacing w:before="120"/>
        <w:ind w:firstLine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 xml:space="preserve">Bude tvořeno dvěma stanicemi, stanicí REP – dvou-monitorové zobrazení </w:t>
      </w:r>
      <w:r w:rsidRPr="001038FC">
        <w:rPr>
          <w:rFonts w:asciiTheme="minorHAnsi" w:hAnsiTheme="minorHAnsi" w:cstheme="minorHAnsi"/>
        </w:rPr>
        <w:br/>
        <w:t xml:space="preserve">1x s úhlopříčkou min. 27” a minimálním rozlišením </w:t>
      </w:r>
      <w:r w:rsidR="00C10773" w:rsidRPr="001038FC">
        <w:rPr>
          <w:rFonts w:asciiTheme="minorHAnsi" w:hAnsiTheme="minorHAnsi" w:cstheme="minorHAnsi"/>
        </w:rPr>
        <w:t>2550 x 1440</w:t>
      </w:r>
      <w:r w:rsidRPr="001038FC">
        <w:rPr>
          <w:rFonts w:asciiTheme="minorHAnsi" w:hAnsiTheme="minorHAnsi" w:cstheme="minorHAnsi"/>
        </w:rPr>
        <w:t xml:space="preserve"> obrazovkových bodů a 1x s úhlopříčkou min 21” a minimálním rozlišením 1600 x 1200 obrazovkových bodů a stanicí SUP – dvou-monitorové zobrazení s min. úhlopříčkou 27” a minimálním rozlišením</w:t>
      </w:r>
      <w:r w:rsidR="00D42DDA" w:rsidRPr="001038FC">
        <w:rPr>
          <w:rFonts w:asciiTheme="minorHAnsi" w:hAnsiTheme="minorHAnsi" w:cstheme="minorHAnsi"/>
        </w:rPr>
        <w:t xml:space="preserve"> </w:t>
      </w:r>
      <w:r w:rsidR="00C10773" w:rsidRPr="001038FC">
        <w:rPr>
          <w:rFonts w:asciiTheme="minorHAnsi" w:hAnsiTheme="minorHAnsi" w:cstheme="minorHAnsi"/>
        </w:rPr>
        <w:t xml:space="preserve">2550 x 1440 </w:t>
      </w:r>
      <w:r w:rsidR="00D42DDA" w:rsidRPr="001038FC">
        <w:rPr>
          <w:rFonts w:asciiTheme="minorHAnsi" w:hAnsiTheme="minorHAnsi" w:cstheme="minorHAnsi"/>
        </w:rPr>
        <w:t>obrazovkových bodů</w:t>
      </w:r>
      <w:r w:rsidRPr="001038FC">
        <w:rPr>
          <w:rFonts w:asciiTheme="minorHAnsi" w:hAnsiTheme="minorHAnsi" w:cstheme="minorHAnsi"/>
        </w:rPr>
        <w:t xml:space="preserve"> (viz Obrázek 3)</w:t>
      </w:r>
      <w:r w:rsidR="00D42DDA" w:rsidRPr="001038FC">
        <w:rPr>
          <w:rFonts w:asciiTheme="minorHAnsi" w:hAnsiTheme="minorHAnsi" w:cstheme="minorHAnsi"/>
        </w:rPr>
        <w:t xml:space="preserve">. </w:t>
      </w:r>
      <w:r w:rsidRPr="001038FC">
        <w:rPr>
          <w:rFonts w:asciiTheme="minorHAnsi" w:hAnsiTheme="minorHAnsi" w:cstheme="minorHAnsi"/>
        </w:rPr>
        <w:t xml:space="preserve">Na pracovišti bude dále stanice All-in-one pro zpracovávání hlášení, tvorbu dokumentace a </w:t>
      </w:r>
      <w:r w:rsidR="00150B08" w:rsidRPr="001038FC">
        <w:rPr>
          <w:rFonts w:asciiTheme="minorHAnsi" w:hAnsiTheme="minorHAnsi" w:cstheme="minorHAnsi"/>
          <w:noProof/>
        </w:rPr>
        <w:drawing>
          <wp:anchor distT="152400" distB="152400" distL="152400" distR="152400" simplePos="0" relativeHeight="251658752" behindDoc="0" locked="0" layoutInCell="1" allowOverlap="1" wp14:anchorId="7B8E3D40" wp14:editId="363BEEFC">
            <wp:simplePos x="0" y="0"/>
            <wp:positionH relativeFrom="margin">
              <wp:align>center</wp:align>
            </wp:positionH>
            <wp:positionV relativeFrom="line">
              <wp:posOffset>500380</wp:posOffset>
            </wp:positionV>
            <wp:extent cx="4910455" cy="843280"/>
            <wp:effectExtent l="0" t="0" r="0" b="0"/>
            <wp:wrapTopAndBottom/>
            <wp:docPr id="5" name="Obrázek 2" descr="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t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8FC">
        <w:rPr>
          <w:rFonts w:asciiTheme="minorHAnsi" w:hAnsiTheme="minorHAnsi" w:cstheme="minorHAnsi"/>
        </w:rPr>
        <w:t>vypracovávání analýz.</w:t>
      </w:r>
    </w:p>
    <w:p w14:paraId="285A87A5" w14:textId="77777777" w:rsidR="00D42DDA" w:rsidRPr="001038FC" w:rsidRDefault="00D42DDA" w:rsidP="00D42DDA">
      <w:pPr>
        <w:spacing w:before="120"/>
        <w:ind w:firstLine="567"/>
        <w:jc w:val="both"/>
        <w:rPr>
          <w:rFonts w:asciiTheme="minorHAnsi" w:hAnsiTheme="minorHAnsi" w:cstheme="minorHAnsi"/>
        </w:rPr>
      </w:pPr>
    </w:p>
    <w:p w14:paraId="3412926B" w14:textId="6AE616EF" w:rsidR="00784B11" w:rsidRPr="001038FC" w:rsidRDefault="00784B11" w:rsidP="00784B11">
      <w:pPr>
        <w:pStyle w:val="Titulek"/>
        <w:jc w:val="center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Obrázek 3</w:t>
      </w:r>
      <w:r w:rsidRPr="001038FC">
        <w:rPr>
          <w:rFonts w:asciiTheme="minorHAnsi" w:hAnsiTheme="minorHAnsi" w:cstheme="minorHAnsi"/>
          <w:noProof/>
        </w:rPr>
        <w:t xml:space="preserve"> </w:t>
      </w:r>
      <w:r w:rsidRPr="001038FC">
        <w:rPr>
          <w:rFonts w:asciiTheme="minorHAnsi" w:hAnsiTheme="minorHAnsi" w:cstheme="minorHAnsi"/>
        </w:rPr>
        <w:t>- Schématické znázornění uspořádání pracoviště TD</w:t>
      </w:r>
    </w:p>
    <w:p w14:paraId="7D95C52F" w14:textId="77777777" w:rsidR="00E3405D" w:rsidRPr="001038FC" w:rsidRDefault="00E3405D" w:rsidP="0093150C">
      <w:pPr>
        <w:numPr>
          <w:ilvl w:val="1"/>
          <w:numId w:val="12"/>
        </w:numPr>
        <w:ind w:left="567" w:hanging="567"/>
        <w:rPr>
          <w:rFonts w:asciiTheme="minorHAnsi" w:hAnsiTheme="minorHAnsi" w:cstheme="minorHAnsi"/>
        </w:rPr>
      </w:pPr>
      <w:bookmarkStart w:id="30" w:name="_Toc451926918"/>
      <w:bookmarkStart w:id="31" w:name="_Toc451935456"/>
      <w:bookmarkStart w:id="32" w:name="_Toc451935568"/>
      <w:bookmarkEnd w:id="30"/>
      <w:bookmarkEnd w:id="31"/>
      <w:bookmarkEnd w:id="32"/>
      <w:r w:rsidRPr="001038FC">
        <w:rPr>
          <w:rFonts w:asciiTheme="minorHAnsi" w:hAnsiTheme="minorHAnsi" w:cstheme="minorHAnsi"/>
        </w:rPr>
        <w:t>Celkový přehled pracovních stanic na IATCC Praha Jeneč</w:t>
      </w:r>
    </w:p>
    <w:p w14:paraId="75BA8712" w14:textId="77777777" w:rsidR="00E3405D" w:rsidRPr="001038FC" w:rsidRDefault="00E3405D" w:rsidP="00E3405D">
      <w:pPr>
        <w:rPr>
          <w:rFonts w:asciiTheme="minorHAnsi" w:hAnsiTheme="minorHAnsi" w:cstheme="minorHAnsi"/>
        </w:rPr>
      </w:pPr>
    </w:p>
    <w:p w14:paraId="7E9B5048" w14:textId="079EFA90" w:rsidR="00E3405D" w:rsidRPr="001038FC" w:rsidRDefault="00E3405D" w:rsidP="00D42DDA">
      <w:pPr>
        <w:spacing w:before="120"/>
        <w:ind w:firstLine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V seznamu stanic nejsou uvedeny administrátorské notebooky v celkovém počtu 2 ks určené pro správu systému. Konfigurace zařízení bude uplatněna na doporučení výrobce.</w:t>
      </w:r>
    </w:p>
    <w:p w14:paraId="78FF1930" w14:textId="7CFAA6A0" w:rsidR="00BE6957" w:rsidRPr="001038FC" w:rsidRDefault="00BE6957" w:rsidP="00D42DDA">
      <w:pPr>
        <w:spacing w:before="120"/>
        <w:ind w:firstLine="567"/>
        <w:jc w:val="both"/>
        <w:rPr>
          <w:rFonts w:asciiTheme="minorHAnsi" w:hAnsiTheme="minorHAnsi" w:cstheme="minorHAnsi"/>
        </w:rPr>
      </w:pPr>
    </w:p>
    <w:p w14:paraId="36D7500C" w14:textId="77777777" w:rsidR="00BE6957" w:rsidRPr="001038FC" w:rsidRDefault="00BE6957" w:rsidP="00D42DDA">
      <w:pPr>
        <w:spacing w:before="120"/>
        <w:ind w:firstLine="567"/>
        <w:jc w:val="both"/>
        <w:rPr>
          <w:rFonts w:asciiTheme="minorHAnsi" w:hAnsiTheme="minorHAnsi" w:cstheme="minorHAnsi"/>
        </w:rPr>
      </w:pPr>
    </w:p>
    <w:p w14:paraId="3BB17945" w14:textId="77777777" w:rsidR="00E3405D" w:rsidRPr="001038FC" w:rsidRDefault="00E3405D" w:rsidP="0093150C">
      <w:pPr>
        <w:numPr>
          <w:ilvl w:val="1"/>
          <w:numId w:val="12"/>
        </w:numPr>
        <w:ind w:left="567" w:hanging="567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DTC</w:t>
      </w:r>
    </w:p>
    <w:p w14:paraId="22863305" w14:textId="5F37B8C1" w:rsidR="00E3405D" w:rsidRPr="001038FC" w:rsidRDefault="00E3405D" w:rsidP="00D42DDA">
      <w:pPr>
        <w:spacing w:before="120"/>
        <w:ind w:firstLine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 xml:space="preserve">Pracoviště DTC bude sloužit k testování a přípravě veškerých změn zaváděných do systému, proto je nutné vytvořit topologii, která bude schopná nasimulovat jak </w:t>
      </w:r>
      <w:r w:rsidR="00BE6957" w:rsidRPr="001038FC">
        <w:rPr>
          <w:rFonts w:asciiTheme="minorHAnsi" w:hAnsiTheme="minorHAnsi" w:cstheme="minorHAnsi"/>
        </w:rPr>
        <w:t>vnitřní,</w:t>
      </w:r>
      <w:r w:rsidRPr="001038FC">
        <w:rPr>
          <w:rFonts w:asciiTheme="minorHAnsi" w:hAnsiTheme="minorHAnsi" w:cstheme="minorHAnsi"/>
        </w:rPr>
        <w:t xml:space="preserve"> tak vnější vazby systému. (viz Obrázek 4)</w:t>
      </w:r>
    </w:p>
    <w:p w14:paraId="77B7BCD2" w14:textId="77777777" w:rsidR="00BE6957" w:rsidRPr="001038FC" w:rsidRDefault="00BE6957" w:rsidP="00D42DDA">
      <w:pPr>
        <w:spacing w:before="120"/>
        <w:ind w:firstLine="567"/>
        <w:jc w:val="both"/>
        <w:rPr>
          <w:rFonts w:asciiTheme="minorHAnsi" w:hAnsiTheme="minorHAnsi" w:cstheme="minorHAnsi"/>
        </w:rPr>
      </w:pPr>
    </w:p>
    <w:p w14:paraId="11601053" w14:textId="656EA274" w:rsidR="00E3405D" w:rsidRPr="001038FC" w:rsidRDefault="00150B08" w:rsidP="00E3405D">
      <w:pPr>
        <w:pStyle w:val="Body"/>
        <w:ind w:left="36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1038FC">
        <w:rPr>
          <w:rFonts w:asciiTheme="minorHAnsi" w:eastAsia="Times New Roman" w:hAnsiTheme="minorHAnsi" w:cstheme="minorHAnsi"/>
          <w:noProof/>
          <w:color w:val="auto"/>
          <w:sz w:val="24"/>
          <w:szCs w:val="24"/>
        </w:rPr>
        <w:lastRenderedPageBreak/>
        <w:drawing>
          <wp:inline distT="0" distB="0" distL="0" distR="0" wp14:anchorId="1AD0C5C6" wp14:editId="4021A2C8">
            <wp:extent cx="5713095" cy="4071620"/>
            <wp:effectExtent l="0" t="0" r="190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40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EFAE6" w14:textId="77777777" w:rsidR="00E3405D" w:rsidRPr="001038FC" w:rsidRDefault="00E3405D" w:rsidP="00E3405D">
      <w:pPr>
        <w:pStyle w:val="Titulek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038FC">
        <w:rPr>
          <w:rFonts w:asciiTheme="minorHAnsi" w:hAnsiTheme="minorHAnsi" w:cstheme="minorHAnsi"/>
        </w:rPr>
        <w:t>Obrázek 4 - Informační schéma pracoviště DTC</w:t>
      </w:r>
    </w:p>
    <w:p w14:paraId="2FCC0C9E" w14:textId="49A107A6" w:rsidR="00E3405D" w:rsidRPr="001038FC" w:rsidRDefault="00947EA0" w:rsidP="00D42DDA">
      <w:pPr>
        <w:spacing w:before="120"/>
        <w:ind w:firstLine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 xml:space="preserve">Některé </w:t>
      </w:r>
      <w:r w:rsidR="00E3405D" w:rsidRPr="001038FC">
        <w:rPr>
          <w:rFonts w:asciiTheme="minorHAnsi" w:hAnsiTheme="minorHAnsi" w:cstheme="minorHAnsi"/>
        </w:rPr>
        <w:t>server</w:t>
      </w:r>
      <w:r w:rsidRPr="001038FC">
        <w:rPr>
          <w:rFonts w:asciiTheme="minorHAnsi" w:hAnsiTheme="minorHAnsi" w:cstheme="minorHAnsi"/>
        </w:rPr>
        <w:t>y</w:t>
      </w:r>
      <w:r w:rsidR="00E3405D" w:rsidRPr="001038FC">
        <w:rPr>
          <w:rFonts w:asciiTheme="minorHAnsi" w:hAnsiTheme="minorHAnsi" w:cstheme="minorHAnsi"/>
        </w:rPr>
        <w:t xml:space="preserve"> bud</w:t>
      </w:r>
      <w:r w:rsidRPr="001038FC">
        <w:rPr>
          <w:rFonts w:asciiTheme="minorHAnsi" w:hAnsiTheme="minorHAnsi" w:cstheme="minorHAnsi"/>
        </w:rPr>
        <w:t>ou</w:t>
      </w:r>
      <w:r w:rsidR="00E3405D" w:rsidRPr="001038FC">
        <w:rPr>
          <w:rFonts w:asciiTheme="minorHAnsi" w:hAnsiTheme="minorHAnsi" w:cstheme="minorHAnsi"/>
        </w:rPr>
        <w:t xml:space="preserve"> provozován</w:t>
      </w:r>
      <w:r w:rsidRPr="001038FC">
        <w:rPr>
          <w:rFonts w:asciiTheme="minorHAnsi" w:hAnsiTheme="minorHAnsi" w:cstheme="minorHAnsi"/>
        </w:rPr>
        <w:t>y</w:t>
      </w:r>
      <w:r w:rsidR="00E3405D" w:rsidRPr="001038FC">
        <w:rPr>
          <w:rFonts w:asciiTheme="minorHAnsi" w:hAnsiTheme="minorHAnsi" w:cstheme="minorHAnsi"/>
        </w:rPr>
        <w:t xml:space="preserve"> na „Virtualizační platformě“ (dále VP). Koncové stanice budou provozovány v klasickém provedení.</w:t>
      </w:r>
      <w:bookmarkStart w:id="33" w:name="_Toc451926939"/>
      <w:bookmarkStart w:id="34" w:name="_Toc451935477"/>
      <w:bookmarkStart w:id="35" w:name="_Toc451935589"/>
      <w:bookmarkEnd w:id="33"/>
      <w:bookmarkEnd w:id="34"/>
      <w:bookmarkEnd w:id="35"/>
    </w:p>
    <w:p w14:paraId="64A1BB5A" w14:textId="62C830AD" w:rsidR="00B06FE0" w:rsidRPr="001038FC" w:rsidRDefault="00B06FE0" w:rsidP="00947EA0">
      <w:pPr>
        <w:rPr>
          <w:rFonts w:asciiTheme="minorHAnsi" w:hAnsiTheme="minorHAnsi" w:cstheme="minorHAnsi"/>
        </w:rPr>
      </w:pPr>
    </w:p>
    <w:p w14:paraId="2B9D6528" w14:textId="00B3CEC2" w:rsidR="00E3405D" w:rsidRPr="001038FC" w:rsidRDefault="00E3405D" w:rsidP="0093150C">
      <w:pPr>
        <w:numPr>
          <w:ilvl w:val="1"/>
          <w:numId w:val="12"/>
        </w:numPr>
        <w:ind w:left="567" w:hanging="567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LKKB</w:t>
      </w:r>
      <w:r w:rsidR="00947EA0" w:rsidRPr="001038FC">
        <w:rPr>
          <w:rFonts w:asciiTheme="minorHAnsi" w:hAnsiTheme="minorHAnsi" w:cstheme="minorHAnsi"/>
        </w:rPr>
        <w:t>, LKNA, LKCV, LKPD, CRC</w:t>
      </w:r>
    </w:p>
    <w:p w14:paraId="64170B39" w14:textId="7827A635" w:rsidR="00947EA0" w:rsidRPr="001038FC" w:rsidRDefault="00E3405D" w:rsidP="00947EA0">
      <w:pPr>
        <w:pStyle w:val="Odstavecseseznamem"/>
        <w:ind w:left="360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Bude provedena náhrada všech stávajících serverů a pracovních stanic SUN. Pracoviště RDD na stanovišti MARO</w:t>
      </w:r>
      <w:r w:rsidR="00947EA0" w:rsidRPr="001038FC">
        <w:rPr>
          <w:rFonts w:asciiTheme="minorHAnsi" w:hAnsiTheme="minorHAnsi" w:cstheme="minorHAnsi"/>
        </w:rPr>
        <w:t>, bude nebo nebude</w:t>
      </w:r>
      <w:r w:rsidRPr="001038FC">
        <w:rPr>
          <w:rFonts w:asciiTheme="minorHAnsi" w:hAnsiTheme="minorHAnsi" w:cstheme="minorHAnsi"/>
        </w:rPr>
        <w:t xml:space="preserve"> v rackovém provedení</w:t>
      </w:r>
      <w:r w:rsidR="00947EA0" w:rsidRPr="001038FC">
        <w:rPr>
          <w:rFonts w:asciiTheme="minorHAnsi" w:hAnsiTheme="minorHAnsi" w:cstheme="minorHAnsi"/>
        </w:rPr>
        <w:t xml:space="preserve"> (záleží na lokalitách)</w:t>
      </w:r>
      <w:r w:rsidR="00545F96" w:rsidRPr="001038FC">
        <w:rPr>
          <w:rFonts w:asciiTheme="minorHAnsi" w:hAnsiTheme="minorHAnsi" w:cstheme="minorHAnsi"/>
        </w:rPr>
        <w:t xml:space="preserve">. </w:t>
      </w:r>
      <w:r w:rsidR="00947EA0" w:rsidRPr="001038FC">
        <w:rPr>
          <w:rFonts w:asciiTheme="minorHAnsi" w:hAnsiTheme="minorHAnsi" w:cstheme="minorHAnsi"/>
        </w:rPr>
        <w:t>V rámci projektu bude zřízeno pracoviště EXCON v lokalitě LKNA</w:t>
      </w:r>
      <w:r w:rsidR="001C44BC" w:rsidRPr="001038FC">
        <w:rPr>
          <w:rFonts w:asciiTheme="minorHAnsi" w:hAnsiTheme="minorHAnsi" w:cstheme="minorHAnsi"/>
        </w:rPr>
        <w:t xml:space="preserve"> viz </w:t>
      </w:r>
      <w:r w:rsidR="00642688" w:rsidRPr="001038FC">
        <w:rPr>
          <w:rFonts w:asciiTheme="minorHAnsi" w:hAnsiTheme="minorHAnsi" w:cstheme="minorHAnsi"/>
        </w:rPr>
        <w:t>T</w:t>
      </w:r>
      <w:r w:rsidR="001C44BC" w:rsidRPr="001038FC">
        <w:rPr>
          <w:rFonts w:asciiTheme="minorHAnsi" w:hAnsiTheme="minorHAnsi" w:cstheme="minorHAnsi"/>
        </w:rPr>
        <w:t>abulka</w:t>
      </w:r>
      <w:r w:rsidR="00642688" w:rsidRPr="001038FC">
        <w:rPr>
          <w:rFonts w:asciiTheme="minorHAnsi" w:hAnsiTheme="minorHAnsi" w:cstheme="minorHAnsi"/>
        </w:rPr>
        <w:t xml:space="preserve"> č. 1- </w:t>
      </w:r>
      <w:r w:rsidR="00C45082" w:rsidRPr="001038FC">
        <w:rPr>
          <w:rFonts w:asciiTheme="minorHAnsi" w:hAnsiTheme="minorHAnsi" w:cstheme="minorHAnsi"/>
        </w:rPr>
        <w:t>informační</w:t>
      </w:r>
      <w:r w:rsidR="00F46E64" w:rsidRPr="001038FC">
        <w:rPr>
          <w:rFonts w:asciiTheme="minorHAnsi" w:hAnsiTheme="minorHAnsi" w:cstheme="minorHAnsi"/>
        </w:rPr>
        <w:t xml:space="preserve"> </w:t>
      </w:r>
      <w:r w:rsidR="00642688" w:rsidRPr="001038FC">
        <w:rPr>
          <w:rFonts w:asciiTheme="minorHAnsi" w:hAnsiTheme="minorHAnsi" w:cstheme="minorHAnsi"/>
        </w:rPr>
        <w:t>počtů HW</w:t>
      </w:r>
    </w:p>
    <w:p w14:paraId="37D33E7E" w14:textId="77777777" w:rsidR="00B06FE0" w:rsidRPr="001038FC" w:rsidRDefault="00B06FE0" w:rsidP="005217A6">
      <w:pPr>
        <w:pStyle w:val="Nadpis1"/>
        <w:rPr>
          <w:rFonts w:asciiTheme="minorHAnsi" w:hAnsiTheme="minorHAnsi" w:cstheme="minorHAnsi"/>
        </w:rPr>
      </w:pPr>
      <w:bookmarkStart w:id="36" w:name="_Toc482282194"/>
      <w:r w:rsidRPr="001038FC">
        <w:rPr>
          <w:rFonts w:asciiTheme="minorHAnsi" w:hAnsiTheme="minorHAnsi" w:cstheme="minorHAnsi"/>
        </w:rPr>
        <w:t>Požadavky na interoperabilitu a bezpečnost</w:t>
      </w:r>
      <w:bookmarkEnd w:id="36"/>
    </w:p>
    <w:p w14:paraId="3E113C25" w14:textId="77777777" w:rsidR="00B06FE0" w:rsidRPr="001038FC" w:rsidRDefault="00B06FE0" w:rsidP="00D42DDA">
      <w:pPr>
        <w:spacing w:before="120"/>
        <w:ind w:firstLine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 xml:space="preserve">Systém MATM je vojenské letecké pozemní zařízení, které musí mít schválenou typovou a provozní způsobilost podle Vyhlášky č. 154/2011 Sb. </w:t>
      </w:r>
      <w:r w:rsidRPr="001038FC">
        <w:rPr>
          <w:rFonts w:asciiTheme="minorHAnsi" w:hAnsiTheme="minorHAnsi" w:cstheme="minorHAnsi"/>
        </w:rPr>
        <w:fldChar w:fldCharType="begin"/>
      </w:r>
      <w:r w:rsidRPr="001038FC">
        <w:rPr>
          <w:rFonts w:asciiTheme="minorHAnsi" w:hAnsiTheme="minorHAnsi" w:cstheme="minorHAnsi"/>
        </w:rPr>
        <w:instrText xml:space="preserve"> REF _Ref356155816 \r \h  \* MERGEFORMAT </w:instrText>
      </w:r>
      <w:r w:rsidRPr="001038FC">
        <w:rPr>
          <w:rFonts w:asciiTheme="minorHAnsi" w:hAnsiTheme="minorHAnsi" w:cstheme="minorHAnsi"/>
        </w:rPr>
      </w:r>
      <w:r w:rsidRPr="001038FC">
        <w:rPr>
          <w:rFonts w:asciiTheme="minorHAnsi" w:hAnsiTheme="minorHAnsi" w:cstheme="minorHAnsi"/>
        </w:rPr>
        <w:fldChar w:fldCharType="separate"/>
      </w:r>
      <w:r w:rsidR="00642471" w:rsidRPr="001038FC">
        <w:rPr>
          <w:rFonts w:asciiTheme="minorHAnsi" w:hAnsiTheme="minorHAnsi" w:cstheme="minorHAnsi"/>
        </w:rPr>
        <w:t>[31]</w:t>
      </w:r>
      <w:r w:rsidRPr="001038FC">
        <w:rPr>
          <w:rFonts w:asciiTheme="minorHAnsi" w:hAnsiTheme="minorHAnsi" w:cstheme="minorHAnsi"/>
        </w:rPr>
        <w:fldChar w:fldCharType="end"/>
      </w:r>
      <w:r w:rsidRPr="001038FC">
        <w:rPr>
          <w:rFonts w:asciiTheme="minorHAnsi" w:hAnsiTheme="minorHAnsi" w:cstheme="minorHAnsi"/>
        </w:rPr>
        <w:t>.</w:t>
      </w:r>
    </w:p>
    <w:p w14:paraId="363D1F26" w14:textId="77777777" w:rsidR="00B06FE0" w:rsidRPr="001038FC" w:rsidRDefault="00B06FE0" w:rsidP="00D42DDA">
      <w:pPr>
        <w:spacing w:before="120"/>
        <w:ind w:firstLine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 xml:space="preserve">Entity systému MATM jsou složkami vojenského ATM/ANS systému, který je integrován do EATMN. Systém MATM tedy musí splňovat požadavky Nařízení o interoperabilitě (ES) č. 552/2004 </w:t>
      </w:r>
      <w:r w:rsidRPr="001038FC">
        <w:rPr>
          <w:rFonts w:asciiTheme="minorHAnsi" w:hAnsiTheme="minorHAnsi" w:cstheme="minorHAnsi"/>
        </w:rPr>
        <w:fldChar w:fldCharType="begin"/>
      </w:r>
      <w:r w:rsidRPr="001038FC">
        <w:rPr>
          <w:rFonts w:asciiTheme="minorHAnsi" w:hAnsiTheme="minorHAnsi" w:cstheme="minorHAnsi"/>
        </w:rPr>
        <w:instrText xml:space="preserve"> REF _Ref356155914 \r \h  \* MERGEFORMAT </w:instrText>
      </w:r>
      <w:r w:rsidRPr="001038FC">
        <w:rPr>
          <w:rFonts w:asciiTheme="minorHAnsi" w:hAnsiTheme="minorHAnsi" w:cstheme="minorHAnsi"/>
        </w:rPr>
      </w:r>
      <w:r w:rsidRPr="001038FC">
        <w:rPr>
          <w:rFonts w:asciiTheme="minorHAnsi" w:hAnsiTheme="minorHAnsi" w:cstheme="minorHAnsi"/>
        </w:rPr>
        <w:fldChar w:fldCharType="separate"/>
      </w:r>
      <w:r w:rsidR="00642471" w:rsidRPr="001038FC">
        <w:rPr>
          <w:rFonts w:asciiTheme="minorHAnsi" w:hAnsiTheme="minorHAnsi" w:cstheme="minorHAnsi"/>
        </w:rPr>
        <w:t>[1]</w:t>
      </w:r>
      <w:r w:rsidRPr="001038FC">
        <w:rPr>
          <w:rFonts w:asciiTheme="minorHAnsi" w:hAnsiTheme="minorHAnsi" w:cstheme="minorHAnsi"/>
        </w:rPr>
        <w:fldChar w:fldCharType="end"/>
      </w:r>
      <w:r w:rsidRPr="001038FC">
        <w:rPr>
          <w:rFonts w:asciiTheme="minorHAnsi" w:hAnsiTheme="minorHAnsi" w:cstheme="minorHAnsi"/>
        </w:rPr>
        <w:t>.</w:t>
      </w:r>
    </w:p>
    <w:p w14:paraId="076A4CDE" w14:textId="37F4D5E6" w:rsidR="00D42DDA" w:rsidRPr="001038FC" w:rsidRDefault="00D42DDA" w:rsidP="00D42DDA">
      <w:pPr>
        <w:spacing w:before="120"/>
        <w:ind w:firstLine="567"/>
        <w:jc w:val="both"/>
        <w:rPr>
          <w:rFonts w:asciiTheme="minorHAnsi" w:hAnsiTheme="minorHAnsi" w:cstheme="minorHAnsi"/>
        </w:rPr>
      </w:pPr>
    </w:p>
    <w:p w14:paraId="46BEA7E7" w14:textId="204EB4B1" w:rsidR="00BE6957" w:rsidRPr="001038FC" w:rsidRDefault="00BE6957" w:rsidP="00D42DDA">
      <w:pPr>
        <w:spacing w:before="120"/>
        <w:ind w:firstLine="567"/>
        <w:jc w:val="both"/>
        <w:rPr>
          <w:rFonts w:asciiTheme="minorHAnsi" w:hAnsiTheme="minorHAnsi" w:cstheme="minorHAnsi"/>
        </w:rPr>
      </w:pPr>
    </w:p>
    <w:p w14:paraId="0676A6C6" w14:textId="77777777" w:rsidR="00BE6957" w:rsidRPr="001038FC" w:rsidRDefault="00BE6957" w:rsidP="00D42DDA">
      <w:pPr>
        <w:spacing w:before="120"/>
        <w:ind w:firstLine="567"/>
        <w:jc w:val="both"/>
        <w:rPr>
          <w:rFonts w:asciiTheme="minorHAnsi" w:hAnsiTheme="minorHAnsi" w:cstheme="minorHAnsi"/>
        </w:rPr>
      </w:pPr>
    </w:p>
    <w:p w14:paraId="512EE09F" w14:textId="77777777" w:rsidR="00B06FE0" w:rsidRPr="001038FC" w:rsidRDefault="00B06FE0" w:rsidP="005217A6">
      <w:pPr>
        <w:pStyle w:val="Nadpis1"/>
        <w:rPr>
          <w:rFonts w:asciiTheme="minorHAnsi" w:hAnsiTheme="minorHAnsi" w:cstheme="minorHAnsi"/>
        </w:rPr>
      </w:pPr>
      <w:bookmarkStart w:id="37" w:name="_Toc482282195"/>
      <w:r w:rsidRPr="001038FC">
        <w:rPr>
          <w:rFonts w:asciiTheme="minorHAnsi" w:hAnsiTheme="minorHAnsi" w:cstheme="minorHAnsi"/>
        </w:rPr>
        <w:t>Školení a výcvik technického a provozního personálu</w:t>
      </w:r>
      <w:bookmarkEnd w:id="37"/>
    </w:p>
    <w:p w14:paraId="0E6C17DF" w14:textId="77777777" w:rsidR="00D42DDA" w:rsidRPr="001038FC" w:rsidRDefault="00D42DDA" w:rsidP="00DC5918">
      <w:pPr>
        <w:jc w:val="both"/>
        <w:rPr>
          <w:rFonts w:asciiTheme="minorHAnsi" w:hAnsiTheme="minorHAnsi" w:cstheme="minorHAnsi"/>
        </w:rPr>
      </w:pPr>
    </w:p>
    <w:p w14:paraId="63DC6CE6" w14:textId="77777777" w:rsidR="00B06FE0" w:rsidRPr="001038FC" w:rsidRDefault="00B06FE0" w:rsidP="0093150C">
      <w:pPr>
        <w:numPr>
          <w:ilvl w:val="1"/>
          <w:numId w:val="12"/>
        </w:numPr>
        <w:ind w:left="567" w:hanging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Obecná ustanovení</w:t>
      </w:r>
    </w:p>
    <w:p w14:paraId="1A4A97D0" w14:textId="77777777" w:rsidR="00B06FE0" w:rsidRPr="001038FC" w:rsidRDefault="00B06FE0" w:rsidP="00DC5918">
      <w:pPr>
        <w:ind w:right="324"/>
        <w:jc w:val="both"/>
        <w:rPr>
          <w:rFonts w:asciiTheme="minorHAnsi" w:hAnsiTheme="minorHAnsi" w:cstheme="minorHAnsi"/>
          <w:b/>
        </w:rPr>
      </w:pPr>
    </w:p>
    <w:p w14:paraId="3AAEBB63" w14:textId="2E6F2FAA" w:rsidR="00B06FE0" w:rsidRPr="001038FC" w:rsidRDefault="00B06FE0" w:rsidP="0093150C">
      <w:pPr>
        <w:numPr>
          <w:ilvl w:val="0"/>
          <w:numId w:val="16"/>
        </w:numPr>
        <w:ind w:hanging="436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lastRenderedPageBreak/>
        <w:t xml:space="preserve">V souladu s koncepcí technického zabezpečení je dodavatel povinen vyvinout, zorganizovat a realizovat výcvikové kurzy, které umožní uživatelům obsluhovat a provádět údržbu zařízení a technologie systému MATM. Podle plánu výcviku je dodavatel povinen </w:t>
      </w:r>
      <w:r w:rsidR="00EF5680" w:rsidRPr="001038FC">
        <w:rPr>
          <w:rFonts w:asciiTheme="minorHAnsi" w:hAnsiTheme="minorHAnsi" w:cstheme="minorHAnsi"/>
        </w:rPr>
        <w:t xml:space="preserve">realizovat </w:t>
      </w:r>
      <w:r w:rsidRPr="001038FC">
        <w:rPr>
          <w:rFonts w:asciiTheme="minorHAnsi" w:hAnsiTheme="minorHAnsi" w:cstheme="minorHAnsi"/>
        </w:rPr>
        <w:t>výcvikové kurzy a vycvičit</w:t>
      </w:r>
      <w:r w:rsidR="00DC5918" w:rsidRPr="001038FC">
        <w:rPr>
          <w:rFonts w:asciiTheme="minorHAnsi" w:hAnsiTheme="minorHAnsi" w:cstheme="minorHAnsi"/>
        </w:rPr>
        <w:t>:</w:t>
      </w:r>
    </w:p>
    <w:p w14:paraId="5C57A0FA" w14:textId="77777777" w:rsidR="00B06FE0" w:rsidRPr="001038FC" w:rsidRDefault="00B06FE0" w:rsidP="00DC5918">
      <w:pPr>
        <w:ind w:right="324"/>
        <w:jc w:val="both"/>
        <w:rPr>
          <w:rFonts w:asciiTheme="minorHAnsi" w:hAnsiTheme="minorHAnsi" w:cstheme="minorHAnsi"/>
        </w:rPr>
      </w:pPr>
    </w:p>
    <w:p w14:paraId="28C772C2" w14:textId="77777777" w:rsidR="00B06FE0" w:rsidRPr="001038FC" w:rsidRDefault="00B06FE0" w:rsidP="0093150C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technický personál systému MATM k provádění údržby systémů a zařízení systému ATM,</w:t>
      </w:r>
    </w:p>
    <w:p w14:paraId="068A5173" w14:textId="77777777" w:rsidR="00B06FE0" w:rsidRPr="001038FC" w:rsidRDefault="00B06FE0" w:rsidP="0093150C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provozní a technický personál k obsluze systémů a zařízení systému MATM,</w:t>
      </w:r>
    </w:p>
    <w:p w14:paraId="1656625E" w14:textId="77777777" w:rsidR="00BE6957" w:rsidRPr="001038FC" w:rsidRDefault="00BE6957" w:rsidP="00DC5918">
      <w:pPr>
        <w:ind w:left="360"/>
        <w:jc w:val="both"/>
        <w:rPr>
          <w:rFonts w:asciiTheme="minorHAnsi" w:hAnsiTheme="minorHAnsi" w:cstheme="minorHAnsi"/>
        </w:rPr>
      </w:pPr>
    </w:p>
    <w:p w14:paraId="24B2D601" w14:textId="72D9531D" w:rsidR="00B06FE0" w:rsidRPr="001038FC" w:rsidRDefault="00B06FE0" w:rsidP="00DC5918">
      <w:pPr>
        <w:ind w:left="360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 xml:space="preserve">Technický personál LSLPS bude vycvičen k obsluze systému MATM. </w:t>
      </w:r>
    </w:p>
    <w:p w14:paraId="7BC8AED7" w14:textId="77777777" w:rsidR="00B06FE0" w:rsidRPr="001038FC" w:rsidRDefault="00B06FE0" w:rsidP="00DC5918">
      <w:pPr>
        <w:ind w:left="360"/>
        <w:jc w:val="both"/>
        <w:rPr>
          <w:rFonts w:asciiTheme="minorHAnsi" w:hAnsiTheme="minorHAnsi" w:cstheme="minorHAnsi"/>
        </w:rPr>
      </w:pPr>
    </w:p>
    <w:p w14:paraId="5CE85D13" w14:textId="77777777" w:rsidR="00B06FE0" w:rsidRPr="001038FC" w:rsidRDefault="00B06FE0" w:rsidP="0093150C">
      <w:pPr>
        <w:numPr>
          <w:ilvl w:val="0"/>
          <w:numId w:val="16"/>
        </w:numPr>
        <w:ind w:hanging="436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Za veškerý následný výcvik budou zodpovídat uživatelé. Primární výcvik poskytnou školitelé vycvičení dodavatelem a personál vyškolený pro praktický výcvik (OJT). Dodavatel LS bude moci ověřit kvalitu následných výcvikových kurzů, aby zjistil, zdali jsou uživatelé schopny plnit své povinnosti v souladu se smlouvou o LS.</w:t>
      </w:r>
    </w:p>
    <w:p w14:paraId="59477C31" w14:textId="77777777" w:rsidR="00B06FE0" w:rsidRPr="001038FC" w:rsidRDefault="00B06FE0" w:rsidP="00DC5918">
      <w:pPr>
        <w:ind w:left="360"/>
        <w:jc w:val="both"/>
        <w:rPr>
          <w:rFonts w:asciiTheme="minorHAnsi" w:hAnsiTheme="minorHAnsi" w:cstheme="minorHAnsi"/>
        </w:rPr>
      </w:pPr>
    </w:p>
    <w:p w14:paraId="267438EC" w14:textId="77777777" w:rsidR="00B06FE0" w:rsidRPr="001038FC" w:rsidRDefault="00B06FE0" w:rsidP="0093150C">
      <w:pPr>
        <w:numPr>
          <w:ilvl w:val="0"/>
          <w:numId w:val="16"/>
        </w:numPr>
        <w:ind w:hanging="436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Výcvik bude probíhat v českém jazyce. Také výcviková dokumentace bude v českém jazyce.</w:t>
      </w:r>
    </w:p>
    <w:p w14:paraId="53B87666" w14:textId="77777777" w:rsidR="00B06FE0" w:rsidRPr="001038FC" w:rsidRDefault="00B06FE0" w:rsidP="00DC5918">
      <w:pPr>
        <w:ind w:left="360"/>
        <w:jc w:val="both"/>
        <w:rPr>
          <w:rFonts w:asciiTheme="minorHAnsi" w:hAnsiTheme="minorHAnsi" w:cstheme="minorHAnsi"/>
        </w:rPr>
      </w:pPr>
    </w:p>
    <w:p w14:paraId="14FED308" w14:textId="0EB2F830" w:rsidR="00B06FE0" w:rsidRPr="001038FC" w:rsidRDefault="00B06FE0" w:rsidP="004E3EF9">
      <w:pPr>
        <w:numPr>
          <w:ilvl w:val="0"/>
          <w:numId w:val="16"/>
        </w:numPr>
        <w:ind w:right="324" w:hanging="436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 xml:space="preserve">Uživatel může požádat dodavatele LS, aby provedl následný výcvik personálu údržby. Za tímto účelem musí prováděcí smlouva obsahovat volitelné ustanovení o následném výcviku. </w:t>
      </w:r>
    </w:p>
    <w:p w14:paraId="7DA349B3" w14:textId="77777777" w:rsidR="00B06FE0" w:rsidRPr="001038FC" w:rsidRDefault="00B06FE0" w:rsidP="00DC5918">
      <w:pPr>
        <w:ind w:right="324"/>
        <w:jc w:val="both"/>
        <w:rPr>
          <w:rFonts w:asciiTheme="minorHAnsi" w:hAnsiTheme="minorHAnsi" w:cstheme="minorHAnsi"/>
        </w:rPr>
      </w:pPr>
    </w:p>
    <w:p w14:paraId="7C4F5B4C" w14:textId="77777777" w:rsidR="00B06FE0" w:rsidRPr="001038FC" w:rsidRDefault="00B06FE0" w:rsidP="0093150C">
      <w:pPr>
        <w:numPr>
          <w:ilvl w:val="1"/>
          <w:numId w:val="12"/>
        </w:numPr>
        <w:ind w:left="567" w:hanging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Výcviková dokumentace a zařízení</w:t>
      </w:r>
    </w:p>
    <w:p w14:paraId="0B6E7BCE" w14:textId="77777777" w:rsidR="00B06FE0" w:rsidRPr="001038FC" w:rsidRDefault="00B06FE0" w:rsidP="00DC5918">
      <w:pPr>
        <w:ind w:right="2045"/>
        <w:jc w:val="both"/>
        <w:rPr>
          <w:rFonts w:asciiTheme="minorHAnsi" w:hAnsiTheme="minorHAnsi" w:cstheme="minorHAnsi"/>
          <w:b/>
        </w:rPr>
      </w:pPr>
    </w:p>
    <w:p w14:paraId="4484C4F0" w14:textId="116F9238" w:rsidR="00B06FE0" w:rsidRPr="001038FC" w:rsidRDefault="00B06FE0" w:rsidP="004E3EF9">
      <w:pPr>
        <w:numPr>
          <w:ilvl w:val="0"/>
          <w:numId w:val="19"/>
        </w:numPr>
        <w:ind w:hanging="436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 xml:space="preserve">Pro výcvik ve třídách se bude používat standardní komerční školící zařízení. Praktický výcvik bude probíhat na provozuschopném zařízení, které bude shodné se zařízením instalovaném v souladu se smlouvou. </w:t>
      </w:r>
    </w:p>
    <w:p w14:paraId="3483FBE3" w14:textId="77777777" w:rsidR="00B06FE0" w:rsidRPr="001038FC" w:rsidRDefault="00B06FE0" w:rsidP="0093150C">
      <w:pPr>
        <w:numPr>
          <w:ilvl w:val="0"/>
          <w:numId w:val="19"/>
        </w:numPr>
        <w:ind w:hanging="436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Výcviková dokumentace se skládá z materiálu pro studenty a materiálu pro školitele. Každý student (účastník kurzu) obdrží na každém kurzu úplnou sadu výcvikových materiálů. Školitelé zároveň obdrží úplnou sadu materiálů, které školitelé dodavatelů používají pro přípravu a realizaci jejich výcviku. Výcvik bude probíhat v českém jazyce. Také výcviková dokumentace bude v českém jazyce.</w:t>
      </w:r>
    </w:p>
    <w:p w14:paraId="4662FEFE" w14:textId="77777777" w:rsidR="00B06FE0" w:rsidRPr="001038FC" w:rsidRDefault="00B06FE0" w:rsidP="00DC5918">
      <w:pPr>
        <w:ind w:left="360"/>
        <w:jc w:val="both"/>
        <w:rPr>
          <w:rFonts w:asciiTheme="minorHAnsi" w:hAnsiTheme="minorHAnsi" w:cstheme="minorHAnsi"/>
        </w:rPr>
      </w:pPr>
    </w:p>
    <w:p w14:paraId="5EDD33B5" w14:textId="77777777" w:rsidR="00B06FE0" w:rsidRPr="001038FC" w:rsidRDefault="00B06FE0" w:rsidP="0093150C">
      <w:pPr>
        <w:numPr>
          <w:ilvl w:val="1"/>
          <w:numId w:val="12"/>
        </w:numPr>
        <w:ind w:left="567" w:hanging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Výcvikové kurzy</w:t>
      </w:r>
    </w:p>
    <w:p w14:paraId="671593FF" w14:textId="77777777" w:rsidR="00B06FE0" w:rsidRPr="001038FC" w:rsidRDefault="00B06FE0" w:rsidP="00DC5918">
      <w:pPr>
        <w:ind w:right="2045"/>
        <w:jc w:val="both"/>
        <w:rPr>
          <w:rFonts w:asciiTheme="minorHAnsi" w:hAnsiTheme="minorHAnsi" w:cstheme="minorHAnsi"/>
        </w:rPr>
      </w:pPr>
    </w:p>
    <w:p w14:paraId="41DB9765" w14:textId="5E99456E" w:rsidR="00B06FE0" w:rsidRPr="001038FC" w:rsidRDefault="00B06FE0" w:rsidP="0093150C">
      <w:pPr>
        <w:numPr>
          <w:ilvl w:val="0"/>
          <w:numId w:val="20"/>
        </w:numPr>
        <w:ind w:hanging="436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 xml:space="preserve">Výcvik bude probíhat 6 hodin denně, pět dnů v týdnu. Výcvik bude zahrnovat </w:t>
      </w:r>
      <w:r w:rsidR="009D58EF" w:rsidRPr="001038FC">
        <w:rPr>
          <w:rFonts w:asciiTheme="minorHAnsi" w:hAnsiTheme="minorHAnsi" w:cstheme="minorHAnsi"/>
        </w:rPr>
        <w:t xml:space="preserve">přezkoušení </w:t>
      </w:r>
      <w:r w:rsidRPr="001038FC">
        <w:rPr>
          <w:rFonts w:asciiTheme="minorHAnsi" w:hAnsiTheme="minorHAnsi" w:cstheme="minorHAnsi"/>
        </w:rPr>
        <w:t>studentů, které ověří jejich porozumění znalost</w:t>
      </w:r>
      <w:r w:rsidR="009D58EF" w:rsidRPr="001038FC">
        <w:rPr>
          <w:rFonts w:asciiTheme="minorHAnsi" w:hAnsiTheme="minorHAnsi" w:cstheme="minorHAnsi"/>
        </w:rPr>
        <w:t>i</w:t>
      </w:r>
      <w:r w:rsidRPr="001038FC">
        <w:rPr>
          <w:rFonts w:asciiTheme="minorHAnsi" w:hAnsiTheme="minorHAnsi" w:cstheme="minorHAnsi"/>
        </w:rPr>
        <w:t xml:space="preserve"> obsluhy zařízení, provádění úkolů údržby a používání poskytnuté výcvikové dokumentace.</w:t>
      </w:r>
    </w:p>
    <w:p w14:paraId="204BDDE7" w14:textId="77777777" w:rsidR="00B06FE0" w:rsidRPr="001038FC" w:rsidRDefault="00B06FE0" w:rsidP="00DC5918">
      <w:pPr>
        <w:ind w:left="720"/>
        <w:jc w:val="both"/>
        <w:rPr>
          <w:rFonts w:asciiTheme="minorHAnsi" w:hAnsiTheme="minorHAnsi" w:cstheme="minorHAnsi"/>
        </w:rPr>
      </w:pPr>
    </w:p>
    <w:p w14:paraId="198CA317" w14:textId="77777777" w:rsidR="00B06FE0" w:rsidRPr="001038FC" w:rsidRDefault="00B06FE0" w:rsidP="0093150C">
      <w:pPr>
        <w:numPr>
          <w:ilvl w:val="0"/>
          <w:numId w:val="20"/>
        </w:numPr>
        <w:ind w:hanging="436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Po dokončení kurzu dodavatel vydá každému studentovi osvědčení o absolvování kurzu, které bude obsahovat závěrečné hodnocení. Dodavatel musí odběrateli poskytnout souhrnnou zprávu, která bude obsahovat podrobnosti o výsledcích všech studentů.</w:t>
      </w:r>
    </w:p>
    <w:p w14:paraId="4359575D" w14:textId="77777777" w:rsidR="00B06FE0" w:rsidRPr="001038FC" w:rsidRDefault="00B06FE0" w:rsidP="00DC5918">
      <w:pPr>
        <w:ind w:left="720"/>
        <w:jc w:val="both"/>
        <w:rPr>
          <w:rFonts w:asciiTheme="minorHAnsi" w:hAnsiTheme="minorHAnsi" w:cstheme="minorHAnsi"/>
        </w:rPr>
      </w:pPr>
    </w:p>
    <w:p w14:paraId="5579527E" w14:textId="77777777" w:rsidR="00B06FE0" w:rsidRPr="001038FC" w:rsidRDefault="00B06FE0" w:rsidP="0093150C">
      <w:pPr>
        <w:numPr>
          <w:ilvl w:val="0"/>
          <w:numId w:val="20"/>
        </w:numPr>
        <w:ind w:hanging="436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Součástí všech kurzů musí být vhodný praktický výcvik, za použití systémů / segmentů a zařízení systému MATM totožných se zařízením dodávaným odběrateli. Praktický výcvik bude probíhat v prostorách dodavatele či na zařízení, které bude nainstalováno za tímto účelem.</w:t>
      </w:r>
    </w:p>
    <w:p w14:paraId="2A5E7F18" w14:textId="77777777" w:rsidR="00B06FE0" w:rsidRPr="001038FC" w:rsidRDefault="00B06FE0" w:rsidP="00DC5918">
      <w:pPr>
        <w:suppressAutoHyphens/>
        <w:spacing w:before="120"/>
        <w:ind w:left="357"/>
        <w:jc w:val="both"/>
        <w:rPr>
          <w:rFonts w:asciiTheme="minorHAnsi" w:hAnsiTheme="minorHAnsi" w:cstheme="minorHAnsi"/>
        </w:rPr>
      </w:pPr>
    </w:p>
    <w:p w14:paraId="063E94F6" w14:textId="77777777" w:rsidR="00B06FE0" w:rsidRPr="001038FC" w:rsidRDefault="00B06FE0" w:rsidP="004E3EF9">
      <w:pPr>
        <w:pStyle w:val="Nadpis1"/>
        <w:rPr>
          <w:rFonts w:asciiTheme="minorHAnsi" w:hAnsiTheme="minorHAnsi" w:cstheme="minorHAnsi"/>
          <w:b w:val="0"/>
        </w:rPr>
      </w:pPr>
      <w:bookmarkStart w:id="38" w:name="_Toc482282196"/>
      <w:r w:rsidRPr="001038FC">
        <w:rPr>
          <w:rFonts w:asciiTheme="minorHAnsi" w:hAnsiTheme="minorHAnsi" w:cstheme="minorHAnsi"/>
        </w:rPr>
        <w:lastRenderedPageBreak/>
        <w:t>Tvorba dokumentace v rámci dodávky</w:t>
      </w:r>
      <w:bookmarkEnd w:id="38"/>
    </w:p>
    <w:p w14:paraId="29E561A8" w14:textId="77777777" w:rsidR="00D42DDA" w:rsidRPr="001038FC" w:rsidRDefault="00D42DDA" w:rsidP="00DC5918">
      <w:pPr>
        <w:ind w:left="567"/>
        <w:jc w:val="both"/>
        <w:rPr>
          <w:rFonts w:asciiTheme="minorHAnsi" w:hAnsiTheme="minorHAnsi" w:cstheme="minorHAnsi"/>
        </w:rPr>
      </w:pPr>
    </w:p>
    <w:p w14:paraId="5FE03E06" w14:textId="77777777" w:rsidR="00B06FE0" w:rsidRPr="001038FC" w:rsidRDefault="00B06FE0" w:rsidP="0093150C">
      <w:pPr>
        <w:numPr>
          <w:ilvl w:val="1"/>
          <w:numId w:val="12"/>
        </w:numPr>
        <w:ind w:left="567" w:hanging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Obecná ustanovení</w:t>
      </w:r>
    </w:p>
    <w:p w14:paraId="38B85DC6" w14:textId="77777777" w:rsidR="00B06FE0" w:rsidRPr="001038FC" w:rsidRDefault="00B06FE0" w:rsidP="00DC5918">
      <w:pPr>
        <w:keepNext/>
        <w:ind w:right="181"/>
        <w:jc w:val="both"/>
        <w:rPr>
          <w:rFonts w:asciiTheme="minorHAnsi" w:hAnsiTheme="minorHAnsi" w:cstheme="minorHAnsi"/>
        </w:rPr>
      </w:pPr>
    </w:p>
    <w:p w14:paraId="13F2367F" w14:textId="77777777" w:rsidR="00B06FE0" w:rsidRPr="001038FC" w:rsidRDefault="00B06FE0" w:rsidP="0093150C">
      <w:pPr>
        <w:numPr>
          <w:ilvl w:val="0"/>
          <w:numId w:val="21"/>
        </w:numPr>
        <w:ind w:hanging="436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Technická dokumentace systému MATM se dělí do následujících funkčních skupin:</w:t>
      </w:r>
    </w:p>
    <w:p w14:paraId="4E215724" w14:textId="5406ECDC" w:rsidR="00B06FE0" w:rsidRPr="001038FC" w:rsidRDefault="00B06FE0" w:rsidP="0093150C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 xml:space="preserve">Technické manuály (TM) obsahující pokyny pro obsluhu a údržbu; </w:t>
      </w:r>
    </w:p>
    <w:p w14:paraId="033C2BC1" w14:textId="77777777" w:rsidR="00B06FE0" w:rsidRPr="001038FC" w:rsidRDefault="00B06FE0" w:rsidP="0093150C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Výcviková dokumentace;</w:t>
      </w:r>
    </w:p>
    <w:p w14:paraId="3400DFB3" w14:textId="77777777" w:rsidR="00B06FE0" w:rsidRPr="001038FC" w:rsidRDefault="00B06FE0" w:rsidP="00DC5918">
      <w:pPr>
        <w:ind w:right="2045"/>
        <w:jc w:val="both"/>
        <w:rPr>
          <w:rFonts w:asciiTheme="minorHAnsi" w:hAnsiTheme="minorHAnsi" w:cstheme="minorHAnsi"/>
        </w:rPr>
      </w:pPr>
    </w:p>
    <w:p w14:paraId="2092AE72" w14:textId="1FD785C2" w:rsidR="00B06FE0" w:rsidRPr="001038FC" w:rsidRDefault="00B06FE0" w:rsidP="0093150C">
      <w:pPr>
        <w:numPr>
          <w:ilvl w:val="0"/>
          <w:numId w:val="21"/>
        </w:numPr>
        <w:ind w:hanging="436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 xml:space="preserve">TM budou dodány ve formátu </w:t>
      </w:r>
      <w:r w:rsidR="00C64155" w:rsidRPr="001038FC">
        <w:rPr>
          <w:rFonts w:asciiTheme="minorHAnsi" w:hAnsiTheme="minorHAnsi" w:cstheme="minorHAnsi"/>
        </w:rPr>
        <w:t>v písemné formě v listinném formátu A4, MS Office, , standardní formální úprava (strukturované nadpisy jednotlivých kapitol, odstavce, poznámky atd.) (2 výtisky), v elektronické podobě na CD ve formátu Word, PDF.(2 provedení)</w:t>
      </w:r>
      <w:r w:rsidRPr="001038FC">
        <w:rPr>
          <w:rFonts w:asciiTheme="minorHAnsi" w:hAnsiTheme="minorHAnsi" w:cstheme="minorHAnsi"/>
        </w:rPr>
        <w:t xml:space="preserve"> </w:t>
      </w:r>
    </w:p>
    <w:p w14:paraId="459CD64E" w14:textId="77777777" w:rsidR="00B06FE0" w:rsidRPr="001038FC" w:rsidRDefault="00B06FE0" w:rsidP="00DC5918">
      <w:pPr>
        <w:ind w:right="377"/>
        <w:jc w:val="both"/>
        <w:rPr>
          <w:rFonts w:asciiTheme="minorHAnsi" w:hAnsiTheme="minorHAnsi" w:cstheme="minorHAnsi"/>
        </w:rPr>
      </w:pPr>
    </w:p>
    <w:p w14:paraId="2CD65211" w14:textId="77777777" w:rsidR="00B06FE0" w:rsidRPr="001038FC" w:rsidRDefault="00B06FE0" w:rsidP="0093150C">
      <w:pPr>
        <w:numPr>
          <w:ilvl w:val="1"/>
          <w:numId w:val="12"/>
        </w:numPr>
        <w:ind w:left="567" w:hanging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Technické manuály</w:t>
      </w:r>
    </w:p>
    <w:p w14:paraId="351726F3" w14:textId="77777777" w:rsidR="00B06FE0" w:rsidRPr="001038FC" w:rsidRDefault="00B06FE0" w:rsidP="00DC5918">
      <w:pPr>
        <w:ind w:right="377"/>
        <w:jc w:val="both"/>
        <w:rPr>
          <w:rFonts w:asciiTheme="minorHAnsi" w:hAnsiTheme="minorHAnsi" w:cstheme="minorHAnsi"/>
        </w:rPr>
      </w:pPr>
    </w:p>
    <w:p w14:paraId="543E0AC6" w14:textId="0EEC90A9" w:rsidR="00B06FE0" w:rsidRPr="001038FC" w:rsidRDefault="00B06FE0" w:rsidP="0093150C">
      <w:pPr>
        <w:numPr>
          <w:ilvl w:val="0"/>
          <w:numId w:val="22"/>
        </w:numPr>
        <w:ind w:hanging="436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 xml:space="preserve">Technické manuály jsou dokumenty </w:t>
      </w:r>
      <w:r w:rsidR="00C64155" w:rsidRPr="001038FC">
        <w:rPr>
          <w:rFonts w:asciiTheme="minorHAnsi" w:hAnsiTheme="minorHAnsi" w:cstheme="minorHAnsi"/>
        </w:rPr>
        <w:t>dodávané se systémem</w:t>
      </w:r>
      <w:r w:rsidRPr="001038FC">
        <w:rPr>
          <w:rFonts w:asciiTheme="minorHAnsi" w:hAnsiTheme="minorHAnsi" w:cstheme="minorHAnsi"/>
        </w:rPr>
        <w:t xml:space="preserve"> MATM k uživateli. Zahrnují systémové manuály, manuály obsluhy</w:t>
      </w:r>
      <w:r w:rsidR="00586AD6" w:rsidRPr="001038FC">
        <w:rPr>
          <w:rFonts w:asciiTheme="minorHAnsi" w:hAnsiTheme="minorHAnsi" w:cstheme="minorHAnsi"/>
        </w:rPr>
        <w:t>.</w:t>
      </w:r>
      <w:r w:rsidRPr="001038FC">
        <w:rPr>
          <w:rFonts w:asciiTheme="minorHAnsi" w:hAnsiTheme="minorHAnsi" w:cstheme="minorHAnsi"/>
        </w:rPr>
        <w:t xml:space="preserve"> </w:t>
      </w:r>
    </w:p>
    <w:p w14:paraId="0B8BEE52" w14:textId="77777777" w:rsidR="00B06FE0" w:rsidRPr="001038FC" w:rsidRDefault="00B06FE0" w:rsidP="0093150C">
      <w:pPr>
        <w:numPr>
          <w:ilvl w:val="0"/>
          <w:numId w:val="22"/>
        </w:numPr>
        <w:ind w:hanging="436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Manuály COTS zařízení musí být dodávány spolu s COTS zařízením, pokud budou dostupné zdarma.</w:t>
      </w:r>
    </w:p>
    <w:p w14:paraId="18BDB2AB" w14:textId="77777777" w:rsidR="00B06FE0" w:rsidRPr="001038FC" w:rsidRDefault="00B06FE0" w:rsidP="00DC5918">
      <w:pPr>
        <w:ind w:right="269"/>
        <w:jc w:val="both"/>
        <w:rPr>
          <w:rFonts w:asciiTheme="minorHAnsi" w:hAnsiTheme="minorHAnsi" w:cstheme="minorHAnsi"/>
        </w:rPr>
      </w:pPr>
    </w:p>
    <w:p w14:paraId="407C1713" w14:textId="77777777" w:rsidR="00B06FE0" w:rsidRPr="001038FC" w:rsidRDefault="00B06FE0" w:rsidP="0093150C">
      <w:pPr>
        <w:numPr>
          <w:ilvl w:val="1"/>
          <w:numId w:val="12"/>
        </w:numPr>
        <w:ind w:left="567" w:hanging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Výcviková dokumentace</w:t>
      </w:r>
    </w:p>
    <w:p w14:paraId="738DFC48" w14:textId="77777777" w:rsidR="00B06FE0" w:rsidRPr="001038FC" w:rsidRDefault="00B06FE0" w:rsidP="00DC5918">
      <w:pPr>
        <w:ind w:right="336"/>
        <w:jc w:val="both"/>
        <w:rPr>
          <w:rFonts w:asciiTheme="minorHAnsi" w:hAnsiTheme="minorHAnsi" w:cstheme="minorHAnsi"/>
          <w:b/>
        </w:rPr>
      </w:pPr>
    </w:p>
    <w:p w14:paraId="092E3C9C" w14:textId="38B6CE8C" w:rsidR="00B06FE0" w:rsidRPr="001038FC" w:rsidRDefault="00B06FE0" w:rsidP="002755DB">
      <w:pPr>
        <w:numPr>
          <w:ilvl w:val="0"/>
          <w:numId w:val="24"/>
        </w:numPr>
        <w:ind w:hanging="436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 xml:space="preserve">Veškerá výcviková dokumentace (ať už v elektronické nebo písemné podobě) dodávaná dodavatelem, se považuje za technickou dokumentaci. </w:t>
      </w:r>
    </w:p>
    <w:p w14:paraId="54EECCD3" w14:textId="77777777" w:rsidR="00D42DDA" w:rsidRPr="001038FC" w:rsidRDefault="00D42DDA" w:rsidP="00DC5918">
      <w:pPr>
        <w:tabs>
          <w:tab w:val="left" w:pos="600"/>
        </w:tabs>
        <w:spacing w:before="240"/>
        <w:jc w:val="both"/>
        <w:rPr>
          <w:rFonts w:asciiTheme="minorHAnsi" w:hAnsiTheme="minorHAnsi" w:cstheme="minorHAnsi"/>
          <w:b/>
        </w:rPr>
      </w:pPr>
    </w:p>
    <w:p w14:paraId="5C74FC78" w14:textId="77777777" w:rsidR="00B06FE0" w:rsidRPr="001038FC" w:rsidRDefault="00B06FE0" w:rsidP="0093150C">
      <w:pPr>
        <w:numPr>
          <w:ilvl w:val="1"/>
          <w:numId w:val="12"/>
        </w:numPr>
        <w:ind w:left="567" w:hanging="567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 xml:space="preserve">Součástí dodané dokumentace dále musí být: </w:t>
      </w:r>
    </w:p>
    <w:p w14:paraId="0F065DFD" w14:textId="77777777" w:rsidR="00DC5918" w:rsidRPr="001038FC" w:rsidRDefault="00DC5918" w:rsidP="00DC5918">
      <w:pPr>
        <w:jc w:val="both"/>
        <w:rPr>
          <w:rFonts w:asciiTheme="minorHAnsi" w:hAnsiTheme="minorHAnsi" w:cstheme="minorHAnsi"/>
        </w:rPr>
      </w:pPr>
    </w:p>
    <w:p w14:paraId="025076F3" w14:textId="77777777" w:rsidR="00B06FE0" w:rsidRPr="001038FC" w:rsidRDefault="00B06FE0" w:rsidP="0093150C">
      <w:pPr>
        <w:numPr>
          <w:ilvl w:val="0"/>
          <w:numId w:val="26"/>
        </w:numPr>
        <w:ind w:hanging="436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technická specifikace dodaných technologií, návody na obsluhu a provoz,</w:t>
      </w:r>
    </w:p>
    <w:p w14:paraId="08327172" w14:textId="77777777" w:rsidR="00B06FE0" w:rsidRPr="001038FC" w:rsidRDefault="00B06FE0" w:rsidP="0093150C">
      <w:pPr>
        <w:numPr>
          <w:ilvl w:val="0"/>
          <w:numId w:val="26"/>
        </w:numPr>
        <w:ind w:hanging="436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>projektová dokumentace skutečného provedení v nově vypracovaných vyhotoveních,</w:t>
      </w:r>
      <w:r w:rsidR="00DC5918" w:rsidRPr="001038FC">
        <w:rPr>
          <w:rFonts w:asciiTheme="minorHAnsi" w:hAnsiTheme="minorHAnsi" w:cstheme="minorHAnsi"/>
        </w:rPr>
        <w:t xml:space="preserve"> </w:t>
      </w:r>
      <w:r w:rsidRPr="001038FC">
        <w:rPr>
          <w:rFonts w:asciiTheme="minorHAnsi" w:hAnsiTheme="minorHAnsi" w:cstheme="minorHAnsi"/>
        </w:rPr>
        <w:t>návody k obsluze a údržbě.</w:t>
      </w:r>
    </w:p>
    <w:p w14:paraId="260BAED1" w14:textId="77777777" w:rsidR="00B06FE0" w:rsidRPr="001038FC" w:rsidRDefault="00B06FE0" w:rsidP="0093150C">
      <w:pPr>
        <w:numPr>
          <w:ilvl w:val="0"/>
          <w:numId w:val="26"/>
        </w:numPr>
        <w:ind w:hanging="436"/>
        <w:jc w:val="both"/>
        <w:rPr>
          <w:rFonts w:asciiTheme="minorHAnsi" w:hAnsiTheme="minorHAnsi" w:cstheme="minorHAnsi"/>
        </w:rPr>
      </w:pPr>
      <w:r w:rsidRPr="001038FC">
        <w:rPr>
          <w:rFonts w:asciiTheme="minorHAnsi" w:hAnsiTheme="minorHAnsi" w:cstheme="minorHAnsi"/>
        </w:rPr>
        <w:t xml:space="preserve">„Prohlášení (ES) o shodě a/nebo o vhodnosti používání“ (DoC/COC) komunikačních systémů a „Prohlášení (ES) o ověření systémů“ v souladu s Nařízením Evropského parlamentu a Rady (ES) č. 552/2004. </w:t>
      </w:r>
    </w:p>
    <w:p w14:paraId="293E4E49" w14:textId="77777777" w:rsidR="00B06FE0" w:rsidRPr="001038FC" w:rsidRDefault="00B06FE0" w:rsidP="00DC5918">
      <w:pPr>
        <w:tabs>
          <w:tab w:val="left" w:pos="600"/>
        </w:tabs>
        <w:jc w:val="both"/>
        <w:rPr>
          <w:rFonts w:asciiTheme="minorHAnsi" w:hAnsiTheme="minorHAnsi" w:cstheme="minorHAnsi"/>
          <w:color w:val="000000"/>
        </w:rPr>
      </w:pPr>
    </w:p>
    <w:p w14:paraId="3D736853" w14:textId="77777777" w:rsidR="00BE6957" w:rsidRPr="001038FC" w:rsidRDefault="00BE6957">
      <w:pPr>
        <w:rPr>
          <w:rFonts w:asciiTheme="minorHAnsi" w:hAnsiTheme="minorHAnsi" w:cstheme="minorHAnsi"/>
        </w:rPr>
        <w:sectPr w:rsidR="00BE6957" w:rsidRPr="001038FC" w:rsidSect="00C56699">
          <w:footerReference w:type="default" r:id="rId13"/>
          <w:pgSz w:w="11906" w:h="16838" w:code="9"/>
          <w:pgMar w:top="1304" w:right="1134" w:bottom="1304" w:left="1134" w:header="709" w:footer="709" w:gutter="0"/>
          <w:cols w:space="708"/>
          <w:docGrid w:linePitch="360"/>
        </w:sectPr>
      </w:pPr>
    </w:p>
    <w:p w14:paraId="3FEA2491" w14:textId="332ADC1D" w:rsidR="00BE6957" w:rsidRDefault="004A24E1" w:rsidP="00BE6957">
      <w:r w:rsidRPr="004A24E1">
        <w:rPr>
          <w:noProof/>
        </w:rPr>
        <w:lastRenderedPageBreak/>
        <w:drawing>
          <wp:inline distT="0" distB="0" distL="0" distR="0" wp14:anchorId="72D37AA8" wp14:editId="38FC3A77">
            <wp:extent cx="9251950" cy="12264411"/>
            <wp:effectExtent l="0" t="0" r="635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226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A23D7" w14:textId="77777777" w:rsidR="00642688" w:rsidRDefault="00642688" w:rsidP="00642688">
      <w:pPr>
        <w:pStyle w:val="Titulek"/>
        <w:jc w:val="center"/>
      </w:pPr>
    </w:p>
    <w:p w14:paraId="27953D08" w14:textId="4E5B40D0" w:rsidR="00642688" w:rsidRDefault="00642688" w:rsidP="00642688">
      <w:pPr>
        <w:pStyle w:val="Titulek"/>
        <w:jc w:val="center"/>
      </w:pPr>
      <w:r>
        <w:t xml:space="preserve">Tabulka </w:t>
      </w:r>
      <w:r>
        <w:fldChar w:fldCharType="begin"/>
      </w:r>
      <w:r>
        <w:instrText xml:space="preserve"> SEQ Tabulka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</w:t>
      </w:r>
      <w:r w:rsidR="00C45082">
        <w:t>informační</w:t>
      </w:r>
      <w:r>
        <w:t xml:space="preserve"> počty instalovaného HW</w:t>
      </w:r>
    </w:p>
    <w:p w14:paraId="6980AD56" w14:textId="77777777" w:rsidR="00C45082" w:rsidRDefault="00C45082" w:rsidP="00C45082">
      <w:pPr>
        <w:sectPr w:rsidR="00C45082" w:rsidSect="00BE6957">
          <w:pgSz w:w="16838" w:h="23811" w:code="8"/>
          <w:pgMar w:top="1304" w:right="1134" w:bottom="1304" w:left="1134" w:header="709" w:footer="709" w:gutter="0"/>
          <w:cols w:space="708"/>
          <w:docGrid w:linePitch="360"/>
        </w:sectPr>
      </w:pPr>
    </w:p>
    <w:p w14:paraId="172D0F6C" w14:textId="77777777" w:rsidR="00C45082" w:rsidRPr="005217A6" w:rsidRDefault="00C45082" w:rsidP="00C45082">
      <w:pPr>
        <w:pStyle w:val="Nadpis1"/>
      </w:pPr>
      <w:bookmarkStart w:id="39" w:name="_Toc482282197"/>
      <w:r w:rsidRPr="005217A6">
        <w:lastRenderedPageBreak/>
        <w:t>Seznam zkratek</w:t>
      </w:r>
      <w:bookmarkEnd w:id="3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60"/>
        <w:gridCol w:w="7544"/>
      </w:tblGrid>
      <w:tr w:rsidR="00C45082" w14:paraId="463D146A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A895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4-D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4D58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 dimensional</w:t>
            </w:r>
          </w:p>
        </w:tc>
      </w:tr>
      <w:tr w:rsidR="00C45082" w14:paraId="6B3AA14A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127B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ACC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C8B5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Area Control Centre</w:t>
            </w:r>
          </w:p>
        </w:tc>
      </w:tr>
      <w:tr w:rsidR="00C45082" w14:paraId="7FADA27F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9668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AD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FDCF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Amplitude Detection</w:t>
            </w:r>
          </w:p>
        </w:tc>
      </w:tr>
      <w:tr w:rsidR="00C45082" w14:paraId="7CC1DE14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DA19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ADEXP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C395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ATS Data Exchange Presentation</w:t>
            </w:r>
          </w:p>
        </w:tc>
      </w:tr>
      <w:tr w:rsidR="00C45082" w14:paraId="628D5B14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92E3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ADS-B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DE6B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Automatic Dependent Surveillance – Broadcast</w:t>
            </w:r>
          </w:p>
        </w:tc>
      </w:tr>
      <w:tr w:rsidR="00C45082" w14:paraId="33364BAC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EE8C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AFTN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5A5B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Aeronautical Fixed Telecommunication Network</w:t>
            </w:r>
          </w:p>
        </w:tc>
      </w:tr>
      <w:tr w:rsidR="00C45082" w14:paraId="7B308DD8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CDA4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AIMU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E358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Aeronautical Information Management Unit</w:t>
            </w:r>
          </w:p>
        </w:tc>
      </w:tr>
      <w:tr w:rsidR="00C45082" w14:paraId="2D8644B0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8072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AIP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5B52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Aeronautical Information Publications</w:t>
            </w:r>
          </w:p>
        </w:tc>
      </w:tr>
      <w:tr w:rsidR="00C45082" w14:paraId="72E4819C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DCFF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AISS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D9EF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Aeronautical Information Service Specialist</w:t>
            </w:r>
          </w:p>
        </w:tc>
      </w:tr>
      <w:tr w:rsidR="00C45082" w14:paraId="1F3EAF32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2B11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AIXM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C83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Aeronautical Information Exchange data Model</w:t>
            </w:r>
          </w:p>
        </w:tc>
      </w:tr>
      <w:tr w:rsidR="00C45082" w14:paraId="5ABD9C29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CE15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aMAISU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DFF5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Airfield Military Aeronautical Information Services Unit</w:t>
            </w:r>
          </w:p>
        </w:tc>
      </w:tr>
      <w:tr w:rsidR="00C45082" w14:paraId="2080A554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A8C9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aMAMC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0354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Airfield Military Airspace Management Cell</w:t>
            </w:r>
          </w:p>
        </w:tc>
      </w:tr>
      <w:tr w:rsidR="00C45082" w14:paraId="5DAD497C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4C01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AMHS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7696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ATS Message Handling System</w:t>
            </w:r>
          </w:p>
        </w:tc>
      </w:tr>
      <w:tr w:rsidR="00C45082" w14:paraId="2B7E6A5A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0797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ANS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1B20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Air Navigation Services</w:t>
            </w:r>
          </w:p>
        </w:tc>
      </w:tr>
      <w:tr w:rsidR="00C45082" w14:paraId="4F792E8D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BC5D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APM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0211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Approach Path Monitor</w:t>
            </w:r>
          </w:p>
        </w:tc>
      </w:tr>
      <w:tr w:rsidR="00C45082" w14:paraId="17AEC318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B208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APW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E2CE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Area Proximity Warning</w:t>
            </w:r>
          </w:p>
        </w:tc>
      </w:tr>
      <w:tr w:rsidR="00C45082" w14:paraId="73C456CD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236C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ASM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A672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Airspace Management</w:t>
            </w:r>
          </w:p>
        </w:tc>
      </w:tr>
      <w:tr w:rsidR="00C45082" w14:paraId="5619EAE2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EC2F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ASTERIX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AEB2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All Purpose Structured EUROCONTROL Surveillance Information Exchange</w:t>
            </w:r>
          </w:p>
        </w:tc>
      </w:tr>
      <w:tr w:rsidR="00C45082" w14:paraId="60587369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C2A2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ATC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9539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Air Traffic Control</w:t>
            </w:r>
          </w:p>
        </w:tc>
      </w:tr>
      <w:tr w:rsidR="00C45082" w14:paraId="647D6643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7CD4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ATM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AA41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Air Traffic Management</w:t>
            </w:r>
          </w:p>
        </w:tc>
      </w:tr>
      <w:tr w:rsidR="00C45082" w14:paraId="75A50151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12D9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ATS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E7FE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Air Traffic Services</w:t>
            </w:r>
          </w:p>
        </w:tc>
      </w:tr>
      <w:tr w:rsidR="00C45082" w14:paraId="73F52E8F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7EFB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ATSMHS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3515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ATS Message Handling Service</w:t>
            </w:r>
          </w:p>
        </w:tc>
      </w:tr>
      <w:tr w:rsidR="00C45082" w14:paraId="63013D5A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0C2D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AUP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E74C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Air Use Plan</w:t>
            </w:r>
          </w:p>
        </w:tc>
      </w:tr>
      <w:tr w:rsidR="00C45082" w14:paraId="5C4E1A33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9184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CCAMS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5D68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Centralized SSR Code Assignment and Management Systems</w:t>
            </w:r>
          </w:p>
        </w:tc>
      </w:tr>
      <w:tr w:rsidR="00C45082" w14:paraId="23F65C62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F1F1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CRC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751C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Control and Reporting Centre</w:t>
            </w:r>
          </w:p>
        </w:tc>
      </w:tr>
      <w:tr w:rsidR="00C45082" w14:paraId="292A0111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F1B2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FACON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0830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Fighter Allocator Control</w:t>
            </w:r>
          </w:p>
        </w:tc>
      </w:tr>
      <w:tr w:rsidR="00C45082" w14:paraId="206D194C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A4AB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FDP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1680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Flight Data Processing</w:t>
            </w:r>
          </w:p>
        </w:tc>
      </w:tr>
      <w:tr w:rsidR="00C45082" w14:paraId="3562969A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4890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FMTP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6885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Flight Message Transfer Protocol</w:t>
            </w:r>
          </w:p>
        </w:tc>
      </w:tr>
      <w:tr w:rsidR="00C45082" w14:paraId="2E543DD2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5515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GCI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D6E0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Ground Controlled Interception</w:t>
            </w:r>
          </w:p>
        </w:tc>
      </w:tr>
      <w:tr w:rsidR="00C45082" w14:paraId="15542970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7116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HDLC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43FE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High Level Data Link Communication</w:t>
            </w:r>
          </w:p>
        </w:tc>
      </w:tr>
      <w:tr w:rsidR="00C45082" w14:paraId="08652919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7013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HMI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6031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Human-Machine Interface</w:t>
            </w:r>
          </w:p>
        </w:tc>
      </w:tr>
      <w:tr w:rsidR="00C45082" w14:paraId="3868C345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49C6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IAIP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F26B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Integrated Aeronautical Information Package</w:t>
            </w:r>
          </w:p>
        </w:tc>
      </w:tr>
      <w:tr w:rsidR="00C45082" w14:paraId="7299F19A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0416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IATCC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878E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Integrated Air Traffic Control Centre</w:t>
            </w:r>
          </w:p>
        </w:tc>
      </w:tr>
      <w:tr w:rsidR="00C45082" w14:paraId="262CCADB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A8CC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ICAO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4A4A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International Civil Aviation Organization</w:t>
            </w:r>
          </w:p>
        </w:tc>
      </w:tr>
      <w:tr w:rsidR="00C45082" w14:paraId="19DBFBED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0276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IP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269D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Internet Protocol</w:t>
            </w:r>
          </w:p>
        </w:tc>
      </w:tr>
      <w:tr w:rsidR="00C45082" w14:paraId="3DBD583E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70FE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IPv4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809A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Internet Protocol version 4</w:t>
            </w:r>
          </w:p>
        </w:tc>
      </w:tr>
      <w:tr w:rsidR="00C45082" w14:paraId="7D1DC62A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1EE0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IPv6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392A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Internet Protocol version 6</w:t>
            </w:r>
          </w:p>
        </w:tc>
      </w:tr>
      <w:tr w:rsidR="00C45082" w14:paraId="1B75B03B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2527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LAN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3896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Local Area Network</w:t>
            </w:r>
          </w:p>
        </w:tc>
      </w:tr>
      <w:tr w:rsidR="00C45082" w14:paraId="7FAB4BCD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83D4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MAIS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1EED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Military Aeronautical Information Services</w:t>
            </w:r>
          </w:p>
        </w:tc>
      </w:tr>
      <w:tr w:rsidR="00C45082" w14:paraId="3AB8D473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F247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MAMC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82E8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Military Airspace Management Cell</w:t>
            </w:r>
          </w:p>
        </w:tc>
      </w:tr>
      <w:tr w:rsidR="00C45082" w14:paraId="58935245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1545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MAPP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DB93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Military Approach Unit Control</w:t>
            </w:r>
          </w:p>
        </w:tc>
      </w:tr>
      <w:tr w:rsidR="00C45082" w14:paraId="049B8BB5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FFED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MARO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FF49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Military Air Traffic Service Reporting Office</w:t>
            </w:r>
          </w:p>
        </w:tc>
      </w:tr>
      <w:tr w:rsidR="00C45082" w14:paraId="05352085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5FB7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MFDO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DBD5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Military Flight Data Operator</w:t>
            </w:r>
          </w:p>
        </w:tc>
      </w:tr>
      <w:tr w:rsidR="00C45082" w14:paraId="407B74C9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5340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MIL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9C48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Military</w:t>
            </w:r>
          </w:p>
        </w:tc>
      </w:tr>
      <w:tr w:rsidR="00C45082" w14:paraId="022CAAED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1BF5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MLAT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7726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Multi-Lateration</w:t>
            </w:r>
          </w:p>
        </w:tc>
      </w:tr>
      <w:tr w:rsidR="00C45082" w14:paraId="0DF130CC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E978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lastRenderedPageBreak/>
              <w:t>MSAW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49E2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Minimum Safe Altitude Warning</w:t>
            </w:r>
          </w:p>
        </w:tc>
      </w:tr>
      <w:tr w:rsidR="00C45082" w14:paraId="413736B5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B432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MTCD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DF8F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Medium Term Conflict Detection</w:t>
            </w:r>
          </w:p>
        </w:tc>
      </w:tr>
      <w:tr w:rsidR="00C45082" w14:paraId="77498B47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9BB6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MTI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8CC8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Moving Target Identification</w:t>
            </w:r>
          </w:p>
        </w:tc>
      </w:tr>
      <w:tr w:rsidR="00C45082" w14:paraId="73829CC7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0C97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MTWR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E8FB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Military Tower Unit Control</w:t>
            </w:r>
          </w:p>
        </w:tc>
      </w:tr>
      <w:tr w:rsidR="00C45082" w14:paraId="13B15A00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75F3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NTP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EEA0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Network Time Protocol</w:t>
            </w:r>
          </w:p>
        </w:tc>
      </w:tr>
      <w:tr w:rsidR="00C45082" w14:paraId="06CCB0D2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7EBB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OLDI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7F68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On-line Data Interchange</w:t>
            </w:r>
          </w:p>
        </w:tc>
      </w:tr>
      <w:tr w:rsidR="00C45082" w14:paraId="48E7926C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1B50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OHMZ AČR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C0A7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Oblastní hydrometeorologické zabezpečení Armády České republiky</w:t>
            </w:r>
          </w:p>
        </w:tc>
      </w:tr>
      <w:tr w:rsidR="00C45082" w14:paraId="2F340818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0535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ORCAM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C97F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Originating Region Code Assignment Method</w:t>
            </w:r>
          </w:p>
        </w:tc>
      </w:tr>
      <w:tr w:rsidR="00C45082" w14:paraId="1874882F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5D54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QFE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4CD6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Q-code designation for atmospheric pressure at mean runway level</w:t>
            </w:r>
          </w:p>
        </w:tc>
      </w:tr>
      <w:tr w:rsidR="00C45082" w14:paraId="3091CB22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2FC4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QNH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50FE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Q-code designation for atmospheric pressure at mean sea level</w:t>
            </w:r>
          </w:p>
        </w:tc>
      </w:tr>
      <w:tr w:rsidR="00C45082" w14:paraId="426C5708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AD4B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PAR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FD32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Precision Approach Radar</w:t>
            </w:r>
          </w:p>
        </w:tc>
      </w:tr>
      <w:tr w:rsidR="00C45082" w14:paraId="1E8A643C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AF03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PC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EF84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Planning Controller</w:t>
            </w:r>
          </w:p>
        </w:tc>
      </w:tr>
      <w:tr w:rsidR="00C45082" w14:paraId="088FDEC2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1E00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PSR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B56C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Primary Surveillance Radar</w:t>
            </w:r>
          </w:p>
        </w:tc>
      </w:tr>
      <w:tr w:rsidR="00C45082" w14:paraId="4510E7D3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68F5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RAID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467C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Redundant Array of Independent Discs</w:t>
            </w:r>
          </w:p>
        </w:tc>
      </w:tr>
      <w:tr w:rsidR="00C45082" w14:paraId="70B1A1A3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6F42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RCC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F625" w14:textId="77777777" w:rsidR="00C45082" w:rsidRDefault="00C45082" w:rsidP="00C4203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Rescue Coordination Center (Search and Rescue)</w:t>
            </w:r>
          </w:p>
        </w:tc>
      </w:tr>
      <w:tr w:rsidR="00C45082" w14:paraId="75B880D5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CCE5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RM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4F93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Rack-mounted</w:t>
            </w:r>
          </w:p>
        </w:tc>
      </w:tr>
      <w:tr w:rsidR="00C45082" w14:paraId="17804C2B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61B1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SFPL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95F2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System Flight Plan</w:t>
            </w:r>
          </w:p>
        </w:tc>
      </w:tr>
      <w:tr w:rsidR="00C45082" w14:paraId="102451AB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CCA3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SSR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59D7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Secondary Surveillance Radar</w:t>
            </w:r>
          </w:p>
        </w:tc>
      </w:tr>
      <w:tr w:rsidR="00C45082" w14:paraId="201D54BE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C850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STCA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91F0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Short Term Conflict Alert</w:t>
            </w:r>
          </w:p>
        </w:tc>
      </w:tr>
      <w:tr w:rsidR="00C45082" w14:paraId="1BBA8A04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CB7A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SWAL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C19E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Software Assurance Level</w:t>
            </w:r>
          </w:p>
        </w:tc>
      </w:tr>
      <w:tr w:rsidR="00C45082" w14:paraId="691371D2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7718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TCP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C409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Transmission Control Protocol</w:t>
            </w:r>
          </w:p>
        </w:tc>
      </w:tr>
      <w:tr w:rsidR="00C45082" w14:paraId="2FD0EC25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7C5A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TRACON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5439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Temporary Reserved Area Control</w:t>
            </w:r>
          </w:p>
        </w:tc>
      </w:tr>
      <w:tr w:rsidR="00C45082" w14:paraId="54A23024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0E52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UDP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598D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User Datagram Protocol</w:t>
            </w:r>
          </w:p>
        </w:tc>
      </w:tr>
      <w:tr w:rsidR="00C45082" w14:paraId="0C17D59D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BE93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UFE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0404" w14:textId="77777777" w:rsidR="00C45082" w:rsidRDefault="00C45082" w:rsidP="00C420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Univerzální formát ERA</w:t>
            </w:r>
          </w:p>
        </w:tc>
      </w:tr>
      <w:tr w:rsidR="00C45082" w14:paraId="5BCE6836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9871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UUP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E790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Updated Air Use Plan</w:t>
            </w:r>
          </w:p>
        </w:tc>
      </w:tr>
      <w:tr w:rsidR="00C45082" w14:paraId="3CEB6A1E" w14:textId="77777777" w:rsidTr="00C420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C4D9" w14:textId="77777777" w:rsidR="00C45082" w:rsidRDefault="00C45082" w:rsidP="00C4203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VLAN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7B85" w14:textId="77777777" w:rsidR="00C45082" w:rsidRDefault="00C45082" w:rsidP="00C4203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Virtual LAN</w:t>
            </w:r>
          </w:p>
        </w:tc>
      </w:tr>
    </w:tbl>
    <w:p w14:paraId="1E144902" w14:textId="79E9A596" w:rsidR="00C45082" w:rsidRDefault="00C45082" w:rsidP="00C45082"/>
    <w:p w14:paraId="43757C8E" w14:textId="77777777" w:rsidR="00C45082" w:rsidRDefault="00C45082">
      <w:r>
        <w:br w:type="page"/>
      </w:r>
    </w:p>
    <w:p w14:paraId="3EA9F631" w14:textId="77777777" w:rsidR="00C45082" w:rsidRPr="005217A6" w:rsidRDefault="00C45082" w:rsidP="00C45082">
      <w:pPr>
        <w:pStyle w:val="Nadpis1"/>
      </w:pPr>
      <w:bookmarkStart w:id="40" w:name="_Toc482282198"/>
      <w:r w:rsidRPr="005217A6">
        <w:lastRenderedPageBreak/>
        <w:t>Seznam odkazovaných dokumentů</w:t>
      </w:r>
      <w:bookmarkEnd w:id="40"/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20"/>
      </w:tblGrid>
      <w:tr w:rsidR="00C45082" w:rsidRPr="00D42DDA" w14:paraId="275E88EF" w14:textId="77777777" w:rsidTr="00C42039">
        <w:trPr>
          <w:cantSplit/>
        </w:trPr>
        <w:tc>
          <w:tcPr>
            <w:tcW w:w="9120" w:type="dxa"/>
            <w:hideMark/>
          </w:tcPr>
          <w:p w14:paraId="195685FA" w14:textId="77777777" w:rsidR="00C45082" w:rsidRPr="00D42DDA" w:rsidRDefault="00C45082" w:rsidP="00C42039">
            <w:pPr>
              <w:pStyle w:val="ListParagraph1"/>
              <w:numPr>
                <w:ilvl w:val="0"/>
                <w:numId w:val="10"/>
              </w:numPr>
              <w:spacing w:after="0"/>
              <w:rPr>
                <w:szCs w:val="24"/>
                <w:lang w:val="en-US"/>
              </w:rPr>
            </w:pPr>
            <w:bookmarkStart w:id="41" w:name="_Ref356155914"/>
            <w:bookmarkStart w:id="42" w:name="OLE_LINK3"/>
            <w:bookmarkStart w:id="43" w:name="OLE_LINK4"/>
            <w:r w:rsidRPr="00D42DDA">
              <w:rPr>
                <w:caps/>
                <w:szCs w:val="24"/>
              </w:rPr>
              <w:t xml:space="preserve">Nařízení Evropského parlamentu a Rady (ES) </w:t>
            </w:r>
            <w:r w:rsidRPr="00D42DDA">
              <w:rPr>
                <w:szCs w:val="24"/>
              </w:rPr>
              <w:t>č. 552/2004 ze dne 10. března 2004 o interoperabilitě evropské sítě řízení letového provozu (nařízení o interoperabilitě), ve znění Nařízení Evropského parlamentu a Rady (ES) č. 1070/2009 ze dne 21. 10. 2009. Text s významem pro EHP.</w:t>
            </w:r>
            <w:bookmarkEnd w:id="41"/>
          </w:p>
        </w:tc>
      </w:tr>
      <w:tr w:rsidR="00C45082" w:rsidRPr="00D42DDA" w14:paraId="5FCDBFA5" w14:textId="77777777" w:rsidTr="00C42039">
        <w:trPr>
          <w:cantSplit/>
        </w:trPr>
        <w:tc>
          <w:tcPr>
            <w:tcW w:w="9120" w:type="dxa"/>
            <w:hideMark/>
          </w:tcPr>
          <w:p w14:paraId="70B80CBE" w14:textId="77777777" w:rsidR="00C45082" w:rsidRPr="00D42DDA" w:rsidRDefault="00C45082" w:rsidP="00C42039">
            <w:pPr>
              <w:pStyle w:val="ListParagraph1"/>
              <w:numPr>
                <w:ilvl w:val="0"/>
                <w:numId w:val="10"/>
              </w:numPr>
              <w:spacing w:after="0"/>
              <w:rPr>
                <w:szCs w:val="24"/>
                <w:lang w:val="en-US"/>
              </w:rPr>
            </w:pPr>
            <w:bookmarkStart w:id="44" w:name="_Ref357081530"/>
            <w:r w:rsidRPr="00D42DDA">
              <w:rPr>
                <w:caps/>
                <w:szCs w:val="24"/>
              </w:rPr>
              <w:t xml:space="preserve">Nařízení Komise (ES) </w:t>
            </w:r>
            <w:r w:rsidRPr="00D42DDA">
              <w:rPr>
                <w:szCs w:val="24"/>
              </w:rPr>
              <w:t>č. 1032/2006 ze dne 6. července 2006, kterým se stanoví požadavky na automatické systémy pro výměnu letových údajů pro účely oznamování, koordinace a předávání letů mezi stanovišti řízení letového provozu, ve znění Nařízení Komise (ES) č. 30/2009 ze dne 16. 1. 2009. Text s významem pro EHP.</w:t>
            </w:r>
            <w:bookmarkEnd w:id="44"/>
          </w:p>
        </w:tc>
      </w:tr>
      <w:tr w:rsidR="00C45082" w:rsidRPr="00D42DDA" w14:paraId="2DEE88C6" w14:textId="77777777" w:rsidTr="00C42039">
        <w:trPr>
          <w:cantSplit/>
        </w:trPr>
        <w:tc>
          <w:tcPr>
            <w:tcW w:w="9120" w:type="dxa"/>
            <w:hideMark/>
          </w:tcPr>
          <w:p w14:paraId="733E090F" w14:textId="77777777" w:rsidR="00C45082" w:rsidRPr="00D42DDA" w:rsidRDefault="00C45082" w:rsidP="00C42039">
            <w:pPr>
              <w:pStyle w:val="ListParagraph1"/>
              <w:numPr>
                <w:ilvl w:val="0"/>
                <w:numId w:val="10"/>
              </w:numPr>
              <w:spacing w:after="0"/>
              <w:rPr>
                <w:caps/>
                <w:szCs w:val="24"/>
              </w:rPr>
            </w:pPr>
            <w:r w:rsidRPr="00D42DDA">
              <w:rPr>
                <w:caps/>
                <w:szCs w:val="24"/>
              </w:rPr>
              <w:t>Nařízení Komise</w:t>
            </w:r>
            <w:r w:rsidRPr="00D42DDA">
              <w:rPr>
                <w:szCs w:val="24"/>
              </w:rPr>
              <w:t xml:space="preserve"> (ES) č. 633/2007 ze dne 7. června 2007, kterým se stanoví požadavky použití protokolu pro přenos zpráv o letu pro účely oznamování, koordinace a předávání letů mezi stanovišti řízení letového provozu, ve znění Nařízení Komise (EU) č. 283/2011 ze dne 22.3.2011. Text s významem pro EHP.</w:t>
            </w:r>
          </w:p>
        </w:tc>
      </w:tr>
      <w:tr w:rsidR="00C45082" w:rsidRPr="00D42DDA" w14:paraId="6AC97EB8" w14:textId="77777777" w:rsidTr="00C42039">
        <w:trPr>
          <w:cantSplit/>
        </w:trPr>
        <w:tc>
          <w:tcPr>
            <w:tcW w:w="9120" w:type="dxa"/>
            <w:hideMark/>
          </w:tcPr>
          <w:p w14:paraId="3301E561" w14:textId="77777777" w:rsidR="00C45082" w:rsidRPr="00D42DDA" w:rsidRDefault="00C45082" w:rsidP="00C42039">
            <w:pPr>
              <w:pStyle w:val="ListParagraph1"/>
              <w:numPr>
                <w:ilvl w:val="0"/>
                <w:numId w:val="10"/>
              </w:numPr>
              <w:spacing w:after="0"/>
              <w:rPr>
                <w:caps/>
                <w:szCs w:val="24"/>
              </w:rPr>
            </w:pPr>
            <w:bookmarkStart w:id="45" w:name="_Ref356155937"/>
            <w:r w:rsidRPr="00D42DDA">
              <w:rPr>
                <w:szCs w:val="24"/>
              </w:rPr>
              <w:t>NAŘÍZENÍ KOMISE (ES) č. 482/2008 kterým se stanoví systém zajištění bezpečnosti softwaru, který má být zaveden poskytovateli letových navigačních služeb, a kterým se mění příloha II nařízení (ES) č. 2096/2005. Text s významem pro EHP</w:t>
            </w:r>
            <w:bookmarkEnd w:id="45"/>
          </w:p>
        </w:tc>
      </w:tr>
      <w:tr w:rsidR="00C45082" w:rsidRPr="00D42DDA" w14:paraId="1AF4B1D1" w14:textId="77777777" w:rsidTr="00C42039">
        <w:trPr>
          <w:cantSplit/>
        </w:trPr>
        <w:tc>
          <w:tcPr>
            <w:tcW w:w="9120" w:type="dxa"/>
            <w:hideMark/>
          </w:tcPr>
          <w:p w14:paraId="4F0F59CB" w14:textId="77777777" w:rsidR="00C45082" w:rsidRPr="00D42DDA" w:rsidRDefault="00C45082" w:rsidP="00C42039">
            <w:pPr>
              <w:pStyle w:val="ListParagraph1"/>
              <w:numPr>
                <w:ilvl w:val="0"/>
                <w:numId w:val="10"/>
              </w:numPr>
              <w:spacing w:after="0"/>
              <w:rPr>
                <w:szCs w:val="24"/>
                <w:lang w:val="en-US"/>
              </w:rPr>
            </w:pPr>
            <w:bookmarkStart w:id="46" w:name="_Ref296950581"/>
            <w:bookmarkStart w:id="47" w:name="_Ref334091120"/>
            <w:r w:rsidRPr="00D42DDA">
              <w:rPr>
                <w:szCs w:val="24"/>
                <w:lang w:val="en-US"/>
              </w:rPr>
              <w:t>EUROCONTROL Specification for ATS Data Exchange Presentation (ADEXP), EUROCONTROL-SPEC-0107, Edition 3.0, October 2007</w:t>
            </w:r>
            <w:bookmarkEnd w:id="46"/>
            <w:r w:rsidRPr="00D42DDA">
              <w:rPr>
                <w:szCs w:val="24"/>
                <w:lang w:val="en-US"/>
              </w:rPr>
              <w:t>.</w:t>
            </w:r>
            <w:bookmarkEnd w:id="47"/>
          </w:p>
        </w:tc>
      </w:tr>
      <w:tr w:rsidR="00C45082" w:rsidRPr="00D42DDA" w14:paraId="6330E4C0" w14:textId="77777777" w:rsidTr="00C42039">
        <w:trPr>
          <w:cantSplit/>
        </w:trPr>
        <w:tc>
          <w:tcPr>
            <w:tcW w:w="9120" w:type="dxa"/>
            <w:hideMark/>
          </w:tcPr>
          <w:p w14:paraId="38565613" w14:textId="77777777" w:rsidR="00C45082" w:rsidRPr="00D42DDA" w:rsidRDefault="00C45082" w:rsidP="00C42039">
            <w:pPr>
              <w:pStyle w:val="ListParagraph1"/>
              <w:numPr>
                <w:ilvl w:val="0"/>
                <w:numId w:val="10"/>
              </w:numPr>
              <w:spacing w:after="0"/>
              <w:rPr>
                <w:szCs w:val="24"/>
                <w:lang w:val="en-US"/>
              </w:rPr>
            </w:pPr>
            <w:bookmarkStart w:id="48" w:name="_Ref356167740"/>
            <w:r w:rsidRPr="00D42DDA">
              <w:rPr>
                <w:szCs w:val="24"/>
                <w:lang w:val="en-US"/>
              </w:rPr>
              <w:t>EUROCONTROL Specification for Approach Path Monitor, EUROCONTROL-SPEC-0128, Edition 0.9, May 2009.</w:t>
            </w:r>
            <w:bookmarkEnd w:id="48"/>
          </w:p>
        </w:tc>
      </w:tr>
      <w:tr w:rsidR="00C45082" w:rsidRPr="00D42DDA" w14:paraId="40BDA98C" w14:textId="77777777" w:rsidTr="00C42039">
        <w:trPr>
          <w:cantSplit/>
        </w:trPr>
        <w:tc>
          <w:tcPr>
            <w:tcW w:w="9120" w:type="dxa"/>
            <w:hideMark/>
          </w:tcPr>
          <w:p w14:paraId="65C48F63" w14:textId="77777777" w:rsidR="00C45082" w:rsidRPr="00D42DDA" w:rsidRDefault="00C45082" w:rsidP="00C42039">
            <w:pPr>
              <w:pStyle w:val="ListParagraph1"/>
              <w:numPr>
                <w:ilvl w:val="0"/>
                <w:numId w:val="10"/>
              </w:numPr>
              <w:spacing w:after="0"/>
              <w:rPr>
                <w:caps/>
                <w:szCs w:val="24"/>
                <w:lang w:val="en-US"/>
              </w:rPr>
            </w:pPr>
            <w:bookmarkStart w:id="49" w:name="_Ref296950593"/>
            <w:bookmarkStart w:id="50" w:name="_Ref334091122"/>
            <w:r w:rsidRPr="00D42DDA">
              <w:rPr>
                <w:szCs w:val="24"/>
                <w:lang w:val="en-US"/>
              </w:rPr>
              <w:t>EUROCONTROL Specification for Interoperability and performance requirements for the flight message transfer protocol (FMTP), EUROCONTROL-SPEC-0100, Edition 2.0, June 2007</w:t>
            </w:r>
            <w:bookmarkEnd w:id="49"/>
            <w:r w:rsidRPr="00D42DDA">
              <w:rPr>
                <w:szCs w:val="24"/>
                <w:lang w:val="en-US"/>
              </w:rPr>
              <w:t>.</w:t>
            </w:r>
            <w:bookmarkEnd w:id="50"/>
          </w:p>
        </w:tc>
      </w:tr>
      <w:tr w:rsidR="00C45082" w:rsidRPr="00D42DDA" w14:paraId="6E5EB0C6" w14:textId="77777777" w:rsidTr="00C42039">
        <w:trPr>
          <w:cantSplit/>
        </w:trPr>
        <w:tc>
          <w:tcPr>
            <w:tcW w:w="9120" w:type="dxa"/>
            <w:hideMark/>
          </w:tcPr>
          <w:p w14:paraId="471E3EDE" w14:textId="77777777" w:rsidR="00C45082" w:rsidRPr="00D42DDA" w:rsidRDefault="00C45082" w:rsidP="00C42039">
            <w:pPr>
              <w:pStyle w:val="ListParagraph1"/>
              <w:numPr>
                <w:ilvl w:val="0"/>
                <w:numId w:val="10"/>
              </w:numPr>
              <w:spacing w:after="0"/>
              <w:rPr>
                <w:szCs w:val="24"/>
                <w:lang w:val="en-US"/>
              </w:rPr>
            </w:pPr>
            <w:bookmarkStart w:id="51" w:name="_Ref334139913"/>
            <w:r w:rsidRPr="00D42DDA">
              <w:rPr>
                <w:szCs w:val="24"/>
                <w:lang w:val="en-US"/>
              </w:rPr>
              <w:t>EUROCONTROL Specification for On-line Data Interchange (OLDI), EUROCONTROL- SPEC-0106, Edition 4.2, December 2010.</w:t>
            </w:r>
            <w:bookmarkEnd w:id="51"/>
          </w:p>
        </w:tc>
      </w:tr>
      <w:tr w:rsidR="00C45082" w:rsidRPr="00D42DDA" w14:paraId="2CF2D23D" w14:textId="77777777" w:rsidTr="00C42039">
        <w:trPr>
          <w:cantSplit/>
        </w:trPr>
        <w:tc>
          <w:tcPr>
            <w:tcW w:w="9120" w:type="dxa"/>
            <w:hideMark/>
          </w:tcPr>
          <w:p w14:paraId="41B08BDF" w14:textId="77777777" w:rsidR="00C45082" w:rsidRPr="00D42DDA" w:rsidRDefault="00C45082" w:rsidP="00C42039">
            <w:pPr>
              <w:pStyle w:val="ListParagraph1"/>
              <w:numPr>
                <w:ilvl w:val="0"/>
                <w:numId w:val="10"/>
              </w:numPr>
              <w:spacing w:after="0"/>
              <w:rPr>
                <w:szCs w:val="24"/>
                <w:lang w:val="en-US"/>
              </w:rPr>
            </w:pPr>
            <w:bookmarkStart w:id="52" w:name="_Ref356767652"/>
            <w:r w:rsidRPr="00D42DDA">
              <w:rPr>
                <w:szCs w:val="24"/>
                <w:lang w:val="en-US"/>
              </w:rPr>
              <w:t>EUROCONTROL Specification for the application of the Flexible Use of Airspace (FUA), EUROCONTROL-SPEC-112, Edition 1.1, January 2009.</w:t>
            </w:r>
            <w:bookmarkEnd w:id="52"/>
          </w:p>
        </w:tc>
      </w:tr>
      <w:tr w:rsidR="00C45082" w:rsidRPr="00D42DDA" w14:paraId="717DB00B" w14:textId="77777777" w:rsidTr="00C42039">
        <w:trPr>
          <w:cantSplit/>
        </w:trPr>
        <w:tc>
          <w:tcPr>
            <w:tcW w:w="9120" w:type="dxa"/>
            <w:hideMark/>
          </w:tcPr>
          <w:p w14:paraId="7A783B09" w14:textId="77777777" w:rsidR="00C45082" w:rsidRPr="00D42DDA" w:rsidRDefault="00C45082" w:rsidP="00C42039">
            <w:pPr>
              <w:pStyle w:val="ListParagraph1"/>
              <w:numPr>
                <w:ilvl w:val="0"/>
                <w:numId w:val="10"/>
              </w:numPr>
              <w:spacing w:after="0"/>
              <w:rPr>
                <w:szCs w:val="24"/>
                <w:lang w:val="en-US"/>
              </w:rPr>
            </w:pPr>
            <w:bookmarkStart w:id="53" w:name="_Ref356508629"/>
            <w:r w:rsidRPr="00D42DDA">
              <w:rPr>
                <w:szCs w:val="24"/>
                <w:lang w:val="en-US"/>
              </w:rPr>
              <w:t>EUROCONTROL Specification for Aeronautical Information Exchange, EUROCONTROL- SPEC-151, Edition 1.0, December 2012.</w:t>
            </w:r>
            <w:bookmarkEnd w:id="53"/>
          </w:p>
        </w:tc>
      </w:tr>
      <w:tr w:rsidR="00C45082" w:rsidRPr="00D42DDA" w14:paraId="50375077" w14:textId="77777777" w:rsidTr="00C42039">
        <w:trPr>
          <w:cantSplit/>
        </w:trPr>
        <w:tc>
          <w:tcPr>
            <w:tcW w:w="9120" w:type="dxa"/>
            <w:hideMark/>
          </w:tcPr>
          <w:p w14:paraId="7DD785DC" w14:textId="77777777" w:rsidR="00C45082" w:rsidRPr="00D42DDA" w:rsidRDefault="00C45082" w:rsidP="00C42039">
            <w:pPr>
              <w:pStyle w:val="ListParagraph1"/>
              <w:numPr>
                <w:ilvl w:val="0"/>
                <w:numId w:val="10"/>
              </w:numPr>
              <w:spacing w:after="0"/>
              <w:rPr>
                <w:szCs w:val="24"/>
              </w:rPr>
            </w:pPr>
            <w:bookmarkStart w:id="54" w:name="_Ref334137677"/>
            <w:r w:rsidRPr="00D42DDA">
              <w:rPr>
                <w:szCs w:val="24"/>
              </w:rPr>
              <w:t>Letecký předpis Postupy pro letové navigační služby – Uspořádání letového provozu, L4444, Doplněk 2B – Letový plán a Doplněk 3B – Zprávy letových provozních služeb, uveřejněno Ministerstvem dopravy pod č.j. 439/2011-220-SP/1, datum účinnosti: 29.8.2011.</w:t>
            </w:r>
            <w:bookmarkEnd w:id="54"/>
          </w:p>
        </w:tc>
      </w:tr>
      <w:tr w:rsidR="00C45082" w:rsidRPr="00D42DDA" w14:paraId="08110029" w14:textId="77777777" w:rsidTr="00C42039">
        <w:trPr>
          <w:cantSplit/>
        </w:trPr>
        <w:tc>
          <w:tcPr>
            <w:tcW w:w="9120" w:type="dxa"/>
            <w:hideMark/>
          </w:tcPr>
          <w:p w14:paraId="7516D5B2" w14:textId="77777777" w:rsidR="00C45082" w:rsidRPr="00D42DDA" w:rsidRDefault="00C45082" w:rsidP="00C42039">
            <w:pPr>
              <w:pStyle w:val="ListParagraph1"/>
              <w:numPr>
                <w:ilvl w:val="0"/>
                <w:numId w:val="10"/>
              </w:numPr>
              <w:spacing w:after="0"/>
              <w:rPr>
                <w:szCs w:val="24"/>
              </w:rPr>
            </w:pPr>
            <w:bookmarkStart w:id="55" w:name="_Ref356155816"/>
            <w:r w:rsidRPr="00D42DDA">
              <w:rPr>
                <w:szCs w:val="24"/>
              </w:rPr>
              <w:t>Vyhláška č. 154/2011 Sb. o vojenské letecké technice, schvalování technické způsobilosti vojenské letecké techniky, provádění pravidelných technických prohlídek a zkoušek technických zařízení vojenské letecké techniky, provozování a kontrolách vojenské letecké techniky a pověřování a osvědčování právnických a fyzických osob, a o vojenském leteckém rejstříku.</w:t>
            </w:r>
            <w:bookmarkEnd w:id="55"/>
          </w:p>
        </w:tc>
      </w:tr>
      <w:tr w:rsidR="00C45082" w:rsidRPr="00D42DDA" w14:paraId="1CC1A431" w14:textId="77777777" w:rsidTr="00C42039">
        <w:trPr>
          <w:cantSplit/>
        </w:trPr>
        <w:tc>
          <w:tcPr>
            <w:tcW w:w="9120" w:type="dxa"/>
            <w:hideMark/>
          </w:tcPr>
          <w:p w14:paraId="0F3FC6FD" w14:textId="77777777" w:rsidR="00C45082" w:rsidRPr="00D42DDA" w:rsidRDefault="00C45082" w:rsidP="00C42039">
            <w:pPr>
              <w:pStyle w:val="ListParagraph1"/>
              <w:numPr>
                <w:ilvl w:val="0"/>
                <w:numId w:val="10"/>
              </w:numPr>
              <w:spacing w:after="0"/>
              <w:rPr>
                <w:szCs w:val="24"/>
              </w:rPr>
            </w:pPr>
            <w:bookmarkStart w:id="56" w:name="_Ref356156059"/>
            <w:r w:rsidRPr="00D42DDA">
              <w:rPr>
                <w:szCs w:val="24"/>
              </w:rPr>
              <w:t>Guidelines for ANS Software Safety Assurance, ED-153, EUROCAE, August 2009.</w:t>
            </w:r>
            <w:bookmarkEnd w:id="56"/>
          </w:p>
        </w:tc>
      </w:tr>
      <w:tr w:rsidR="00C45082" w:rsidRPr="00D42DDA" w14:paraId="509AFE6A" w14:textId="77777777" w:rsidTr="00C42039">
        <w:trPr>
          <w:cantSplit/>
        </w:trPr>
        <w:tc>
          <w:tcPr>
            <w:tcW w:w="9120" w:type="dxa"/>
            <w:hideMark/>
          </w:tcPr>
          <w:p w14:paraId="4BC49BD4" w14:textId="77777777" w:rsidR="00C45082" w:rsidRPr="00D42DDA" w:rsidRDefault="00C45082" w:rsidP="00C42039">
            <w:pPr>
              <w:numPr>
                <w:ilvl w:val="0"/>
                <w:numId w:val="10"/>
              </w:numPr>
              <w:spacing w:before="100" w:beforeAutospacing="1"/>
              <w:contextualSpacing/>
            </w:pPr>
            <w:r w:rsidRPr="00D42DDA">
              <w:t>Flexible Use of Airspace: Commission Regulation No 2150/2005, EUROCAE, 2005.</w:t>
            </w:r>
          </w:p>
        </w:tc>
      </w:tr>
      <w:bookmarkEnd w:id="42"/>
      <w:bookmarkEnd w:id="43"/>
    </w:tbl>
    <w:p w14:paraId="13825FB6" w14:textId="06A3580C" w:rsidR="00C45082" w:rsidRPr="00C45082" w:rsidRDefault="00C45082" w:rsidP="00C45082"/>
    <w:sectPr w:rsidR="00C45082" w:rsidRPr="00C45082" w:rsidSect="00C45082">
      <w:pgSz w:w="11906" w:h="16838" w:code="9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DEA0A" w14:textId="77777777" w:rsidR="00C427BD" w:rsidRDefault="00C427BD" w:rsidP="00B06FE0">
      <w:r>
        <w:separator/>
      </w:r>
    </w:p>
  </w:endnote>
  <w:endnote w:type="continuationSeparator" w:id="0">
    <w:p w14:paraId="6A388143" w14:textId="77777777" w:rsidR="00C427BD" w:rsidRDefault="00C427BD" w:rsidP="00B0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BC4A9" w14:textId="2048C226" w:rsidR="004E3EF9" w:rsidRDefault="004E3EF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073B9">
      <w:rPr>
        <w:noProof/>
      </w:rPr>
      <w:t>2</w:t>
    </w:r>
    <w:r>
      <w:fldChar w:fldCharType="end"/>
    </w:r>
  </w:p>
  <w:p w14:paraId="22F44E21" w14:textId="77777777" w:rsidR="004E3EF9" w:rsidRDefault="004E3E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921CE" w14:textId="77777777" w:rsidR="00C427BD" w:rsidRDefault="00C427BD" w:rsidP="00B06FE0">
      <w:r>
        <w:separator/>
      </w:r>
    </w:p>
  </w:footnote>
  <w:footnote w:type="continuationSeparator" w:id="0">
    <w:p w14:paraId="28A00324" w14:textId="77777777" w:rsidR="00C427BD" w:rsidRDefault="00C427BD" w:rsidP="00B0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447"/>
    <w:multiLevelType w:val="hybridMultilevel"/>
    <w:tmpl w:val="3E1AFC0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809C5A94">
      <w:start w:val="1"/>
      <w:numFmt w:val="lowerLetter"/>
      <w:lvlText w:val="%2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00207559"/>
    <w:multiLevelType w:val="hybridMultilevel"/>
    <w:tmpl w:val="EB42E0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854F362">
      <w:start w:val="1"/>
      <w:numFmt w:val="lowerRoman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DD269052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70641F94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7D16"/>
    <w:multiLevelType w:val="hybridMultilevel"/>
    <w:tmpl w:val="D58AA1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27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966AA6"/>
    <w:multiLevelType w:val="hybridMultilevel"/>
    <w:tmpl w:val="1AFC9BF8"/>
    <w:styleLink w:val="Seznam21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E5C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E908EB"/>
    <w:multiLevelType w:val="hybridMultilevel"/>
    <w:tmpl w:val="D58AA1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E423A"/>
    <w:multiLevelType w:val="hybridMultilevel"/>
    <w:tmpl w:val="D58AA1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76C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277F87"/>
    <w:multiLevelType w:val="multilevel"/>
    <w:tmpl w:val="98E89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A72A78"/>
    <w:multiLevelType w:val="hybridMultilevel"/>
    <w:tmpl w:val="D58AA1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905A2"/>
    <w:multiLevelType w:val="hybridMultilevel"/>
    <w:tmpl w:val="D58AA1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C7CC1"/>
    <w:multiLevelType w:val="multilevel"/>
    <w:tmpl w:val="B986008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  <w:rPr>
        <w:rFonts w:cs="Times New Roman"/>
        <w:color w:val="auto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964" w:hanging="680"/>
      </w:pPr>
      <w:rPr>
        <w:rFonts w:cs="Times New Roman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964" w:hanging="9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2E7E6420"/>
    <w:multiLevelType w:val="hybridMultilevel"/>
    <w:tmpl w:val="2304A51E"/>
    <w:lvl w:ilvl="0" w:tplc="97668B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72C690E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7D6840"/>
    <w:multiLevelType w:val="hybridMultilevel"/>
    <w:tmpl w:val="757EE93C"/>
    <w:lvl w:ilvl="0" w:tplc="5956AE9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B916B25"/>
    <w:multiLevelType w:val="hybridMultilevel"/>
    <w:tmpl w:val="50D42818"/>
    <w:lvl w:ilvl="0" w:tplc="6400B7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E1B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46583C"/>
    <w:multiLevelType w:val="hybridMultilevel"/>
    <w:tmpl w:val="D58AA1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7076C"/>
    <w:multiLevelType w:val="hybridMultilevel"/>
    <w:tmpl w:val="CC186E2E"/>
    <w:lvl w:ilvl="0" w:tplc="04050011">
      <w:start w:val="1"/>
      <w:numFmt w:val="decimal"/>
      <w:lvlText w:val="%1)"/>
      <w:lvlJc w:val="left"/>
      <w:pPr>
        <w:ind w:left="1003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4D8700E8"/>
    <w:multiLevelType w:val="hybridMultilevel"/>
    <w:tmpl w:val="D58AA1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A26AA"/>
    <w:multiLevelType w:val="hybridMultilevel"/>
    <w:tmpl w:val="D58AA1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E6485"/>
    <w:multiLevelType w:val="hybridMultilevel"/>
    <w:tmpl w:val="D58AA1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7343D"/>
    <w:multiLevelType w:val="hybridMultilevel"/>
    <w:tmpl w:val="D58AA1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8095A"/>
    <w:multiLevelType w:val="hybridMultilevel"/>
    <w:tmpl w:val="EB0CCD82"/>
    <w:lvl w:ilvl="0" w:tplc="CB620704">
      <w:start w:val="1"/>
      <w:numFmt w:val="decimal"/>
      <w:lvlText w:val="%1)"/>
      <w:lvlJc w:val="left"/>
      <w:pPr>
        <w:ind w:left="1003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54557B40"/>
    <w:multiLevelType w:val="hybridMultilevel"/>
    <w:tmpl w:val="A76458C4"/>
    <w:lvl w:ilvl="0" w:tplc="FFFFFFFF">
      <w:start w:val="1"/>
      <w:numFmt w:val="decimal"/>
      <w:lvlText w:val="[%1]"/>
      <w:lvlJc w:val="center"/>
      <w:pPr>
        <w:ind w:left="720" w:hanging="360"/>
      </w:pPr>
      <w:rPr>
        <w:rFonts w:cs="Times New Roman"/>
        <w:sz w:val="22"/>
        <w:szCs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F44B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BF3178D"/>
    <w:multiLevelType w:val="hybridMultilevel"/>
    <w:tmpl w:val="D58AA1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F7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31701C8"/>
    <w:multiLevelType w:val="hybridMultilevel"/>
    <w:tmpl w:val="E36C5F68"/>
    <w:styleLink w:val="Bullet1"/>
    <w:lvl w:ilvl="0" w:tplc="04050001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DA159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6"/>
  </w:num>
  <w:num w:numId="5">
    <w:abstractNumId w:val="8"/>
  </w:num>
  <w:num w:numId="6">
    <w:abstractNumId w:val="3"/>
  </w:num>
  <w:num w:numId="7">
    <w:abstractNumId w:val="25"/>
  </w:num>
  <w:num w:numId="8">
    <w:abstractNumId w:val="27"/>
  </w:num>
  <w:num w:numId="9">
    <w:abstractNumId w:val="5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9"/>
  </w:num>
  <w:num w:numId="13">
    <w:abstractNumId w:val="19"/>
  </w:num>
  <w:num w:numId="14">
    <w:abstractNumId w:val="18"/>
  </w:num>
  <w:num w:numId="15">
    <w:abstractNumId w:val="23"/>
  </w:num>
  <w:num w:numId="16">
    <w:abstractNumId w:val="22"/>
  </w:num>
  <w:num w:numId="17">
    <w:abstractNumId w:val="15"/>
  </w:num>
  <w:num w:numId="18">
    <w:abstractNumId w:val="6"/>
  </w:num>
  <w:num w:numId="19">
    <w:abstractNumId w:val="7"/>
  </w:num>
  <w:num w:numId="20">
    <w:abstractNumId w:val="2"/>
  </w:num>
  <w:num w:numId="21">
    <w:abstractNumId w:val="17"/>
  </w:num>
  <w:num w:numId="22">
    <w:abstractNumId w:val="20"/>
  </w:num>
  <w:num w:numId="23">
    <w:abstractNumId w:val="26"/>
  </w:num>
  <w:num w:numId="24">
    <w:abstractNumId w:val="21"/>
  </w:num>
  <w:num w:numId="25">
    <w:abstractNumId w:val="11"/>
  </w:num>
  <w:num w:numId="26">
    <w:abstractNumId w:val="1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0"/>
  </w:num>
  <w:num w:numId="36">
    <w:abstractNumId w:val="1"/>
  </w:num>
  <w:num w:numId="37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7C"/>
    <w:rsid w:val="00076105"/>
    <w:rsid w:val="000828C5"/>
    <w:rsid w:val="000959E9"/>
    <w:rsid w:val="001038FC"/>
    <w:rsid w:val="00123E94"/>
    <w:rsid w:val="00150B08"/>
    <w:rsid w:val="001C44BC"/>
    <w:rsid w:val="001D4D62"/>
    <w:rsid w:val="001E7BB5"/>
    <w:rsid w:val="00256DB5"/>
    <w:rsid w:val="00316BA9"/>
    <w:rsid w:val="00371A27"/>
    <w:rsid w:val="003A06D6"/>
    <w:rsid w:val="004A24E1"/>
    <w:rsid w:val="004E0FB2"/>
    <w:rsid w:val="004E3694"/>
    <w:rsid w:val="004E3EF9"/>
    <w:rsid w:val="005217A6"/>
    <w:rsid w:val="00545F96"/>
    <w:rsid w:val="00586AD6"/>
    <w:rsid w:val="00587180"/>
    <w:rsid w:val="005B0F8E"/>
    <w:rsid w:val="005F3CDD"/>
    <w:rsid w:val="00617C35"/>
    <w:rsid w:val="006250C0"/>
    <w:rsid w:val="00642471"/>
    <w:rsid w:val="00642688"/>
    <w:rsid w:val="006A7628"/>
    <w:rsid w:val="006C2755"/>
    <w:rsid w:val="006D175B"/>
    <w:rsid w:val="006E4956"/>
    <w:rsid w:val="006F4089"/>
    <w:rsid w:val="0074366F"/>
    <w:rsid w:val="00765948"/>
    <w:rsid w:val="00775466"/>
    <w:rsid w:val="007846C2"/>
    <w:rsid w:val="00784B11"/>
    <w:rsid w:val="00784CE1"/>
    <w:rsid w:val="00801517"/>
    <w:rsid w:val="00805163"/>
    <w:rsid w:val="00837239"/>
    <w:rsid w:val="00846D68"/>
    <w:rsid w:val="00867E3B"/>
    <w:rsid w:val="008737C8"/>
    <w:rsid w:val="008A1241"/>
    <w:rsid w:val="008B0933"/>
    <w:rsid w:val="008D67BB"/>
    <w:rsid w:val="0093150C"/>
    <w:rsid w:val="00943BEC"/>
    <w:rsid w:val="00947EA0"/>
    <w:rsid w:val="00956B0B"/>
    <w:rsid w:val="009758CA"/>
    <w:rsid w:val="00994253"/>
    <w:rsid w:val="009D0F30"/>
    <w:rsid w:val="009D58EF"/>
    <w:rsid w:val="00A073B9"/>
    <w:rsid w:val="00A13D37"/>
    <w:rsid w:val="00A25CFD"/>
    <w:rsid w:val="00AB3B55"/>
    <w:rsid w:val="00B02295"/>
    <w:rsid w:val="00B027C8"/>
    <w:rsid w:val="00B06FE0"/>
    <w:rsid w:val="00B11776"/>
    <w:rsid w:val="00B141B5"/>
    <w:rsid w:val="00B417E9"/>
    <w:rsid w:val="00BB0F4D"/>
    <w:rsid w:val="00BE6957"/>
    <w:rsid w:val="00BF0F24"/>
    <w:rsid w:val="00BF5B03"/>
    <w:rsid w:val="00C10773"/>
    <w:rsid w:val="00C427BD"/>
    <w:rsid w:val="00C45082"/>
    <w:rsid w:val="00C54421"/>
    <w:rsid w:val="00C56699"/>
    <w:rsid w:val="00C64155"/>
    <w:rsid w:val="00C94783"/>
    <w:rsid w:val="00CD6CF4"/>
    <w:rsid w:val="00CE21B0"/>
    <w:rsid w:val="00D42DDA"/>
    <w:rsid w:val="00D6157C"/>
    <w:rsid w:val="00D61D40"/>
    <w:rsid w:val="00DA65F4"/>
    <w:rsid w:val="00DC0ED5"/>
    <w:rsid w:val="00DC5918"/>
    <w:rsid w:val="00E3405D"/>
    <w:rsid w:val="00E60CF7"/>
    <w:rsid w:val="00E84467"/>
    <w:rsid w:val="00E917EA"/>
    <w:rsid w:val="00EA7E0A"/>
    <w:rsid w:val="00EE6A3D"/>
    <w:rsid w:val="00EF5680"/>
    <w:rsid w:val="00F403A7"/>
    <w:rsid w:val="00F4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9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57C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D6157C"/>
    <w:pPr>
      <w:numPr>
        <w:numId w:val="1"/>
      </w:numPr>
      <w:spacing w:before="240" w:after="120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unhideWhenUsed/>
    <w:qFormat/>
    <w:rsid w:val="00D6157C"/>
    <w:pPr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6157C"/>
    <w:pPr>
      <w:keepLines/>
      <w:numPr>
        <w:ilvl w:val="2"/>
        <w:numId w:val="1"/>
      </w:numPr>
      <w:suppressAutoHyphens/>
      <w:spacing w:before="240" w:after="60"/>
      <w:jc w:val="both"/>
      <w:outlineLvl w:val="2"/>
    </w:pPr>
    <w:rPr>
      <w:rFonts w:ascii="Arial" w:hAnsi="Arial" w:cs="Arial"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6157C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6157C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bCs/>
      <w:iCs/>
      <w:sz w:val="20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6157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6157C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D6157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6157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6157C"/>
    <w:rPr>
      <w:rFonts w:ascii="Arial" w:eastAsia="Times New Roman" w:hAnsi="Arial"/>
      <w:b/>
      <w:sz w:val="24"/>
      <w:szCs w:val="24"/>
    </w:rPr>
  </w:style>
  <w:style w:type="character" w:customStyle="1" w:styleId="Nadpis2Char">
    <w:name w:val="Nadpis 2 Char"/>
    <w:link w:val="Nadpis2"/>
    <w:rsid w:val="00D6157C"/>
    <w:rPr>
      <w:rFonts w:ascii="Arial" w:eastAsia="Times New Roman" w:hAnsi="Arial" w:cs="Arial"/>
      <w:b/>
      <w:bCs/>
      <w:iCs/>
      <w:sz w:val="22"/>
      <w:szCs w:val="22"/>
    </w:rPr>
  </w:style>
  <w:style w:type="character" w:customStyle="1" w:styleId="Nadpis3Char">
    <w:name w:val="Nadpis 3 Char"/>
    <w:link w:val="Nadpis3"/>
    <w:semiHidden/>
    <w:rsid w:val="00D6157C"/>
    <w:rPr>
      <w:rFonts w:ascii="Arial" w:eastAsia="Times New Roman" w:hAnsi="Arial" w:cs="Arial"/>
      <w:bCs/>
    </w:rPr>
  </w:style>
  <w:style w:type="character" w:customStyle="1" w:styleId="Nadpis4Char">
    <w:name w:val="Nadpis 4 Char"/>
    <w:link w:val="Nadpis4"/>
    <w:semiHidden/>
    <w:rsid w:val="00D6157C"/>
    <w:rPr>
      <w:rFonts w:ascii="Arial" w:eastAsia="Times New Roman" w:hAnsi="Arial" w:cs="Arial"/>
      <w:bCs/>
    </w:rPr>
  </w:style>
  <w:style w:type="character" w:customStyle="1" w:styleId="Nadpis5Char">
    <w:name w:val="Nadpis 5 Char"/>
    <w:link w:val="Nadpis5"/>
    <w:semiHidden/>
    <w:rsid w:val="00D6157C"/>
    <w:rPr>
      <w:rFonts w:ascii="Arial" w:eastAsia="Times New Roman" w:hAnsi="Arial" w:cs="Arial"/>
      <w:bCs/>
      <w:iCs/>
    </w:rPr>
  </w:style>
  <w:style w:type="character" w:customStyle="1" w:styleId="Nadpis6Char">
    <w:name w:val="Nadpis 6 Char"/>
    <w:link w:val="Nadpis6"/>
    <w:semiHidden/>
    <w:rsid w:val="00D6157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D6157C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semiHidden/>
    <w:rsid w:val="00D6157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D6157C"/>
    <w:rPr>
      <w:rFonts w:ascii="Arial" w:eastAsia="Times New Roman" w:hAnsi="Arial" w:cs="Arial"/>
      <w:sz w:val="22"/>
      <w:szCs w:val="22"/>
    </w:rPr>
  </w:style>
  <w:style w:type="character" w:styleId="Hypertextovodkaz">
    <w:name w:val="Hyperlink"/>
    <w:uiPriority w:val="99"/>
    <w:unhideWhenUsed/>
    <w:rsid w:val="00D6157C"/>
    <w:rPr>
      <w:rFonts w:ascii="Times New Roman" w:hAnsi="Times New Roman" w:cs="Times New Roman" w:hint="default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256DB5"/>
    <w:pPr>
      <w:tabs>
        <w:tab w:val="left" w:pos="567"/>
        <w:tab w:val="right" w:leader="dot" w:pos="9062"/>
      </w:tabs>
      <w:spacing w:before="120" w:after="120"/>
    </w:pPr>
    <w:rPr>
      <w:b/>
      <w:noProof/>
    </w:rPr>
  </w:style>
  <w:style w:type="paragraph" w:styleId="Obsah2">
    <w:name w:val="toc 2"/>
    <w:basedOn w:val="Normln"/>
    <w:next w:val="Normln"/>
    <w:autoRedefine/>
    <w:semiHidden/>
    <w:unhideWhenUsed/>
    <w:rsid w:val="00D6157C"/>
    <w:pPr>
      <w:spacing w:after="120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6157C"/>
    <w:pPr>
      <w:spacing w:after="120"/>
    </w:pPr>
    <w:rPr>
      <w:szCs w:val="20"/>
    </w:rPr>
  </w:style>
  <w:style w:type="character" w:customStyle="1" w:styleId="StylArial1">
    <w:name w:val="Styl Arial1"/>
    <w:rsid w:val="00D6157C"/>
    <w:rPr>
      <w:rFonts w:ascii="Arial" w:hAnsi="Arial" w:cs="Times New Roman" w:hint="default"/>
      <w:sz w:val="20"/>
    </w:rPr>
  </w:style>
  <w:style w:type="paragraph" w:styleId="Odstavecseseznamem">
    <w:name w:val="List Paragraph"/>
    <w:basedOn w:val="Normln"/>
    <w:uiPriority w:val="99"/>
    <w:qFormat/>
    <w:rsid w:val="003A06D6"/>
    <w:pPr>
      <w:ind w:left="720"/>
      <w:contextualSpacing/>
    </w:pPr>
  </w:style>
  <w:style w:type="numbering" w:customStyle="1" w:styleId="Seznam21">
    <w:name w:val="Seznam 21"/>
    <w:rsid w:val="003A06D6"/>
    <w:pPr>
      <w:numPr>
        <w:numId w:val="2"/>
      </w:numPr>
    </w:pPr>
  </w:style>
  <w:style w:type="paragraph" w:customStyle="1" w:styleId="ListParagraph1">
    <w:name w:val="List Paragraph1"/>
    <w:basedOn w:val="Normln"/>
    <w:rsid w:val="00784B11"/>
    <w:pPr>
      <w:spacing w:after="120"/>
      <w:ind w:left="720"/>
      <w:contextualSpacing/>
    </w:pPr>
    <w:rPr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784B11"/>
    <w:pPr>
      <w:widowControl w:val="0"/>
      <w:adjustRightInd w:val="0"/>
      <w:spacing w:after="200"/>
      <w:ind w:left="284"/>
      <w:jc w:val="both"/>
    </w:pPr>
    <w:rPr>
      <w:rFonts w:ascii="Calibri" w:hAnsi="Calibri"/>
      <w:i/>
      <w:iCs/>
      <w:color w:val="44546A"/>
      <w:sz w:val="18"/>
      <w:szCs w:val="18"/>
    </w:rPr>
  </w:style>
  <w:style w:type="paragraph" w:customStyle="1" w:styleId="Body">
    <w:name w:val="Body"/>
    <w:rsid w:val="00784B11"/>
    <w:pPr>
      <w:spacing w:after="120"/>
      <w:jc w:val="both"/>
    </w:pPr>
    <w:rPr>
      <w:rFonts w:ascii="Helvetica" w:eastAsia="Arial Unicode MS" w:hAnsi="Arial Unicode MS" w:cs="Arial Unicode MS"/>
      <w:color w:val="000000"/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B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4B1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06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06FE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06F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6FE0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B06FE0"/>
    <w:pPr>
      <w:spacing w:after="120"/>
    </w:pPr>
    <w:rPr>
      <w:i/>
      <w:szCs w:val="20"/>
    </w:rPr>
  </w:style>
  <w:style w:type="character" w:customStyle="1" w:styleId="ZkladntextChar">
    <w:name w:val="Základní text Char"/>
    <w:link w:val="Zkladntext"/>
    <w:semiHidden/>
    <w:rsid w:val="00B06FE0"/>
    <w:rPr>
      <w:rFonts w:ascii="Times New Roman" w:eastAsia="Times New Roman" w:hAnsi="Times New Roman"/>
      <w:i/>
      <w:sz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B06FE0"/>
    <w:pPr>
      <w:spacing w:after="120"/>
      <w:ind w:left="426"/>
    </w:pPr>
    <w:rPr>
      <w:szCs w:val="20"/>
    </w:rPr>
  </w:style>
  <w:style w:type="character" w:customStyle="1" w:styleId="Zkladntextodsazen2Char">
    <w:name w:val="Základní text odsazený 2 Char"/>
    <w:link w:val="Zkladntextodsazen2"/>
    <w:semiHidden/>
    <w:rsid w:val="00B06FE0"/>
    <w:rPr>
      <w:rFonts w:ascii="Times New Roman" w:eastAsia="Times New Roman" w:hAnsi="Times New Roman"/>
      <w:sz w:val="24"/>
    </w:rPr>
  </w:style>
  <w:style w:type="numbering" w:customStyle="1" w:styleId="Bullet1">
    <w:name w:val="Bullet1"/>
    <w:rsid w:val="00C64155"/>
    <w:pPr>
      <w:numPr>
        <w:numId w:val="11"/>
      </w:numPr>
    </w:pPr>
  </w:style>
  <w:style w:type="character" w:styleId="Odkaznakoment">
    <w:name w:val="annotation reference"/>
    <w:uiPriority w:val="99"/>
    <w:semiHidden/>
    <w:unhideWhenUsed/>
    <w:rsid w:val="006E49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495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E4956"/>
    <w:rPr>
      <w:rFonts w:ascii="Times New Roman" w:eastAsia="Times New Roman" w:hAnsi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495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4956"/>
    <w:rPr>
      <w:rFonts w:ascii="Times New Roman" w:eastAsia="Times New Roman" w:hAnsi="Times New Roman"/>
      <w:b/>
      <w:bCs/>
      <w:lang w:val="cs-CZ"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5217A6"/>
    <w:pPr>
      <w:keepNext/>
      <w:keepLines/>
      <w:numPr>
        <w:numId w:val="0"/>
      </w:numPr>
      <w:spacing w:after="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val="en-US" w:eastAsia="en-US"/>
    </w:rPr>
  </w:style>
  <w:style w:type="paragraph" w:styleId="Revize">
    <w:name w:val="Revision"/>
    <w:hidden/>
    <w:uiPriority w:val="99"/>
    <w:semiHidden/>
    <w:rsid w:val="00C10773"/>
    <w:rPr>
      <w:rFonts w:ascii="Times New Roman" w:eastAsia="Times New Roman" w:hAnsi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57C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D6157C"/>
    <w:pPr>
      <w:numPr>
        <w:numId w:val="1"/>
      </w:numPr>
      <w:spacing w:before="240" w:after="120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unhideWhenUsed/>
    <w:qFormat/>
    <w:rsid w:val="00D6157C"/>
    <w:pPr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6157C"/>
    <w:pPr>
      <w:keepLines/>
      <w:numPr>
        <w:ilvl w:val="2"/>
        <w:numId w:val="1"/>
      </w:numPr>
      <w:suppressAutoHyphens/>
      <w:spacing w:before="240" w:after="60"/>
      <w:jc w:val="both"/>
      <w:outlineLvl w:val="2"/>
    </w:pPr>
    <w:rPr>
      <w:rFonts w:ascii="Arial" w:hAnsi="Arial" w:cs="Arial"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6157C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6157C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bCs/>
      <w:iCs/>
      <w:sz w:val="20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6157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6157C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D6157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6157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6157C"/>
    <w:rPr>
      <w:rFonts w:ascii="Arial" w:eastAsia="Times New Roman" w:hAnsi="Arial"/>
      <w:b/>
      <w:sz w:val="24"/>
      <w:szCs w:val="24"/>
    </w:rPr>
  </w:style>
  <w:style w:type="character" w:customStyle="1" w:styleId="Nadpis2Char">
    <w:name w:val="Nadpis 2 Char"/>
    <w:link w:val="Nadpis2"/>
    <w:rsid w:val="00D6157C"/>
    <w:rPr>
      <w:rFonts w:ascii="Arial" w:eastAsia="Times New Roman" w:hAnsi="Arial" w:cs="Arial"/>
      <w:b/>
      <w:bCs/>
      <w:iCs/>
      <w:sz w:val="22"/>
      <w:szCs w:val="22"/>
    </w:rPr>
  </w:style>
  <w:style w:type="character" w:customStyle="1" w:styleId="Nadpis3Char">
    <w:name w:val="Nadpis 3 Char"/>
    <w:link w:val="Nadpis3"/>
    <w:semiHidden/>
    <w:rsid w:val="00D6157C"/>
    <w:rPr>
      <w:rFonts w:ascii="Arial" w:eastAsia="Times New Roman" w:hAnsi="Arial" w:cs="Arial"/>
      <w:bCs/>
    </w:rPr>
  </w:style>
  <w:style w:type="character" w:customStyle="1" w:styleId="Nadpis4Char">
    <w:name w:val="Nadpis 4 Char"/>
    <w:link w:val="Nadpis4"/>
    <w:semiHidden/>
    <w:rsid w:val="00D6157C"/>
    <w:rPr>
      <w:rFonts w:ascii="Arial" w:eastAsia="Times New Roman" w:hAnsi="Arial" w:cs="Arial"/>
      <w:bCs/>
    </w:rPr>
  </w:style>
  <w:style w:type="character" w:customStyle="1" w:styleId="Nadpis5Char">
    <w:name w:val="Nadpis 5 Char"/>
    <w:link w:val="Nadpis5"/>
    <w:semiHidden/>
    <w:rsid w:val="00D6157C"/>
    <w:rPr>
      <w:rFonts w:ascii="Arial" w:eastAsia="Times New Roman" w:hAnsi="Arial" w:cs="Arial"/>
      <w:bCs/>
      <w:iCs/>
    </w:rPr>
  </w:style>
  <w:style w:type="character" w:customStyle="1" w:styleId="Nadpis6Char">
    <w:name w:val="Nadpis 6 Char"/>
    <w:link w:val="Nadpis6"/>
    <w:semiHidden/>
    <w:rsid w:val="00D6157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D6157C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semiHidden/>
    <w:rsid w:val="00D6157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D6157C"/>
    <w:rPr>
      <w:rFonts w:ascii="Arial" w:eastAsia="Times New Roman" w:hAnsi="Arial" w:cs="Arial"/>
      <w:sz w:val="22"/>
      <w:szCs w:val="22"/>
    </w:rPr>
  </w:style>
  <w:style w:type="character" w:styleId="Hypertextovodkaz">
    <w:name w:val="Hyperlink"/>
    <w:uiPriority w:val="99"/>
    <w:unhideWhenUsed/>
    <w:rsid w:val="00D6157C"/>
    <w:rPr>
      <w:rFonts w:ascii="Times New Roman" w:hAnsi="Times New Roman" w:cs="Times New Roman" w:hint="default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256DB5"/>
    <w:pPr>
      <w:tabs>
        <w:tab w:val="left" w:pos="567"/>
        <w:tab w:val="right" w:leader="dot" w:pos="9062"/>
      </w:tabs>
      <w:spacing w:before="120" w:after="120"/>
    </w:pPr>
    <w:rPr>
      <w:b/>
      <w:noProof/>
    </w:rPr>
  </w:style>
  <w:style w:type="paragraph" w:styleId="Obsah2">
    <w:name w:val="toc 2"/>
    <w:basedOn w:val="Normln"/>
    <w:next w:val="Normln"/>
    <w:autoRedefine/>
    <w:semiHidden/>
    <w:unhideWhenUsed/>
    <w:rsid w:val="00D6157C"/>
    <w:pPr>
      <w:spacing w:after="120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6157C"/>
    <w:pPr>
      <w:spacing w:after="120"/>
    </w:pPr>
    <w:rPr>
      <w:szCs w:val="20"/>
    </w:rPr>
  </w:style>
  <w:style w:type="character" w:customStyle="1" w:styleId="StylArial1">
    <w:name w:val="Styl Arial1"/>
    <w:rsid w:val="00D6157C"/>
    <w:rPr>
      <w:rFonts w:ascii="Arial" w:hAnsi="Arial" w:cs="Times New Roman" w:hint="default"/>
      <w:sz w:val="20"/>
    </w:rPr>
  </w:style>
  <w:style w:type="paragraph" w:styleId="Odstavecseseznamem">
    <w:name w:val="List Paragraph"/>
    <w:basedOn w:val="Normln"/>
    <w:uiPriority w:val="99"/>
    <w:qFormat/>
    <w:rsid w:val="003A06D6"/>
    <w:pPr>
      <w:ind w:left="720"/>
      <w:contextualSpacing/>
    </w:pPr>
  </w:style>
  <w:style w:type="numbering" w:customStyle="1" w:styleId="Seznam21">
    <w:name w:val="Seznam 21"/>
    <w:rsid w:val="003A06D6"/>
    <w:pPr>
      <w:numPr>
        <w:numId w:val="2"/>
      </w:numPr>
    </w:pPr>
  </w:style>
  <w:style w:type="paragraph" w:customStyle="1" w:styleId="ListParagraph1">
    <w:name w:val="List Paragraph1"/>
    <w:basedOn w:val="Normln"/>
    <w:rsid w:val="00784B11"/>
    <w:pPr>
      <w:spacing w:after="120"/>
      <w:ind w:left="720"/>
      <w:contextualSpacing/>
    </w:pPr>
    <w:rPr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784B11"/>
    <w:pPr>
      <w:widowControl w:val="0"/>
      <w:adjustRightInd w:val="0"/>
      <w:spacing w:after="200"/>
      <w:ind w:left="284"/>
      <w:jc w:val="both"/>
    </w:pPr>
    <w:rPr>
      <w:rFonts w:ascii="Calibri" w:hAnsi="Calibri"/>
      <w:i/>
      <w:iCs/>
      <w:color w:val="44546A"/>
      <w:sz w:val="18"/>
      <w:szCs w:val="18"/>
    </w:rPr>
  </w:style>
  <w:style w:type="paragraph" w:customStyle="1" w:styleId="Body">
    <w:name w:val="Body"/>
    <w:rsid w:val="00784B11"/>
    <w:pPr>
      <w:spacing w:after="120"/>
      <w:jc w:val="both"/>
    </w:pPr>
    <w:rPr>
      <w:rFonts w:ascii="Helvetica" w:eastAsia="Arial Unicode MS" w:hAnsi="Arial Unicode MS" w:cs="Arial Unicode MS"/>
      <w:color w:val="000000"/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B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4B1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06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06FE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06F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6FE0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B06FE0"/>
    <w:pPr>
      <w:spacing w:after="120"/>
    </w:pPr>
    <w:rPr>
      <w:i/>
      <w:szCs w:val="20"/>
    </w:rPr>
  </w:style>
  <w:style w:type="character" w:customStyle="1" w:styleId="ZkladntextChar">
    <w:name w:val="Základní text Char"/>
    <w:link w:val="Zkladntext"/>
    <w:semiHidden/>
    <w:rsid w:val="00B06FE0"/>
    <w:rPr>
      <w:rFonts w:ascii="Times New Roman" w:eastAsia="Times New Roman" w:hAnsi="Times New Roman"/>
      <w:i/>
      <w:sz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B06FE0"/>
    <w:pPr>
      <w:spacing w:after="120"/>
      <w:ind w:left="426"/>
    </w:pPr>
    <w:rPr>
      <w:szCs w:val="20"/>
    </w:rPr>
  </w:style>
  <w:style w:type="character" w:customStyle="1" w:styleId="Zkladntextodsazen2Char">
    <w:name w:val="Základní text odsazený 2 Char"/>
    <w:link w:val="Zkladntextodsazen2"/>
    <w:semiHidden/>
    <w:rsid w:val="00B06FE0"/>
    <w:rPr>
      <w:rFonts w:ascii="Times New Roman" w:eastAsia="Times New Roman" w:hAnsi="Times New Roman"/>
      <w:sz w:val="24"/>
    </w:rPr>
  </w:style>
  <w:style w:type="numbering" w:customStyle="1" w:styleId="Bullet1">
    <w:name w:val="Bullet1"/>
    <w:rsid w:val="00C64155"/>
    <w:pPr>
      <w:numPr>
        <w:numId w:val="11"/>
      </w:numPr>
    </w:pPr>
  </w:style>
  <w:style w:type="character" w:styleId="Odkaznakoment">
    <w:name w:val="annotation reference"/>
    <w:uiPriority w:val="99"/>
    <w:semiHidden/>
    <w:unhideWhenUsed/>
    <w:rsid w:val="006E49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495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E4956"/>
    <w:rPr>
      <w:rFonts w:ascii="Times New Roman" w:eastAsia="Times New Roman" w:hAnsi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495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4956"/>
    <w:rPr>
      <w:rFonts w:ascii="Times New Roman" w:eastAsia="Times New Roman" w:hAnsi="Times New Roman"/>
      <w:b/>
      <w:bCs/>
      <w:lang w:val="cs-CZ"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5217A6"/>
    <w:pPr>
      <w:keepNext/>
      <w:keepLines/>
      <w:numPr>
        <w:numId w:val="0"/>
      </w:numPr>
      <w:spacing w:after="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val="en-US" w:eastAsia="en-US"/>
    </w:rPr>
  </w:style>
  <w:style w:type="paragraph" w:styleId="Revize">
    <w:name w:val="Revision"/>
    <w:hidden/>
    <w:uiPriority w:val="99"/>
    <w:semiHidden/>
    <w:rsid w:val="00C10773"/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2EEE9-7B1C-4F8B-BD76-B551690C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3049</Words>
  <Characters>17994</Characters>
  <Application>Microsoft Office Word</Application>
  <DocSecurity>0</DocSecurity>
  <Lines>149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 ACR</Company>
  <LinksUpToDate>false</LinksUpToDate>
  <CharactersWithSpaces>21001</CharactersWithSpaces>
  <SharedDoc>false</SharedDoc>
  <HLinks>
    <vt:vector size="48" baseType="variant">
      <vt:variant>
        <vt:i4>1769472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_Toc451935650</vt:lpwstr>
      </vt:variant>
      <vt:variant>
        <vt:i4>1703945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_Toc451935649</vt:lpwstr>
      </vt:variant>
      <vt:variant>
        <vt:i4>1703944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_Toc451935648</vt:lpwstr>
      </vt:variant>
      <vt:variant>
        <vt:i4>1703943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_Toc451935647</vt:lpwstr>
      </vt:variant>
      <vt:variant>
        <vt:i4>1703942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_Toc451935646</vt:lpwstr>
      </vt:variant>
      <vt:variant>
        <vt:i4>1572871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_Toc451935564</vt:lpwstr>
      </vt:variant>
      <vt:variant>
        <vt:i4>1572864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_Toc451935563</vt:lpwstr>
      </vt:variant>
      <vt:variant>
        <vt:i4>1572865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_Toc451935562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CubaV</dc:creator>
  <cp:lastModifiedBy>Teššenyová Ilona - MO 1350 - ŠIS AČR</cp:lastModifiedBy>
  <cp:revision>2</cp:revision>
  <cp:lastPrinted>2016-05-13T11:30:00Z</cp:lastPrinted>
  <dcterms:created xsi:type="dcterms:W3CDTF">2017-05-30T10:10:00Z</dcterms:created>
  <dcterms:modified xsi:type="dcterms:W3CDTF">2017-05-30T10:10:00Z</dcterms:modified>
</cp:coreProperties>
</file>