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02DEC122" w:rsidR="00726B26" w:rsidRPr="00726B26" w:rsidRDefault="00FB6778" w:rsidP="00726B26">
      <w:pPr>
        <w:rPr>
          <w:b/>
        </w:rPr>
      </w:pPr>
      <w:r>
        <w:rPr>
          <w:b/>
        </w:rPr>
        <w:t>DATASCAN, s.r.o.</w:t>
      </w:r>
    </w:p>
    <w:p w14:paraId="11EC8AB2" w14:textId="4A24D34F" w:rsidR="00726B26" w:rsidRDefault="00726B26" w:rsidP="00726B26">
      <w:r>
        <w:t xml:space="preserve">IČ: </w:t>
      </w:r>
      <w:r w:rsidR="00FB6778">
        <w:t>47906839</w:t>
      </w:r>
    </w:p>
    <w:p w14:paraId="3A9189DC" w14:textId="190DB4B0" w:rsidR="00726B26" w:rsidRPr="00512AB9" w:rsidRDefault="00726B26" w:rsidP="00726B26">
      <w:r>
        <w:t xml:space="preserve">DIČ: </w:t>
      </w:r>
      <w:r w:rsidR="00FB6778">
        <w:t>CZ47906839</w:t>
      </w:r>
    </w:p>
    <w:p w14:paraId="7C62836D" w14:textId="04FF8DB6" w:rsidR="00726B26" w:rsidRPr="00512AB9" w:rsidRDefault="00726B26" w:rsidP="00726B26">
      <w:r>
        <w:t>se sídlem</w:t>
      </w:r>
      <w:r w:rsidRPr="00512AB9">
        <w:t xml:space="preserve">: </w:t>
      </w:r>
      <w:r w:rsidR="00073102">
        <w:t>Jihlavská 796/7a, 625 00 Brno</w:t>
      </w:r>
    </w:p>
    <w:p w14:paraId="6A58E9E0" w14:textId="7C9384A8" w:rsidR="00726B26" w:rsidRPr="00512AB9" w:rsidRDefault="00726B26" w:rsidP="00726B26">
      <w:r>
        <w:t>zastoupena</w:t>
      </w:r>
      <w:r w:rsidRPr="00512AB9">
        <w:t xml:space="preserve">: </w:t>
      </w:r>
      <w:r w:rsidR="00073102">
        <w:t>Davidem Vorlem, jednatelem</w:t>
      </w:r>
    </w:p>
    <w:p w14:paraId="70112B30" w14:textId="532F674C" w:rsidR="00726B26" w:rsidRPr="00512AB9" w:rsidRDefault="00726B26" w:rsidP="00726B26">
      <w:r w:rsidRPr="00512AB9">
        <w:t xml:space="preserve">bankovní spojení: </w:t>
      </w:r>
      <w:r w:rsidR="00073102">
        <w:t>Raiffeisenbank a.s.</w:t>
      </w:r>
    </w:p>
    <w:p w14:paraId="5DB2B118" w14:textId="740F471C" w:rsidR="00726B26" w:rsidRPr="00512AB9" w:rsidRDefault="00726B26" w:rsidP="00726B26">
      <w:r w:rsidRPr="00512AB9">
        <w:t xml:space="preserve">číslo účtu: </w:t>
      </w:r>
      <w:r w:rsidR="00073102">
        <w:t>8129750001/5500</w:t>
      </w:r>
    </w:p>
    <w:p w14:paraId="2B40CBD9" w14:textId="3A998B56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073102">
        <w:t>Krajským</w:t>
      </w:r>
      <w:r>
        <w:t xml:space="preserve"> </w:t>
      </w:r>
      <w:r w:rsidRPr="00652864">
        <w:t>soudem v </w:t>
      </w:r>
      <w:r w:rsidR="00073102">
        <w:t>Brně</w:t>
      </w:r>
      <w:r w:rsidRPr="00652864">
        <w:t xml:space="preserve">, oddíl </w:t>
      </w:r>
      <w:r w:rsidR="00073102">
        <w:t>C</w:t>
      </w:r>
      <w:r w:rsidRPr="00652864">
        <w:t xml:space="preserve">, vložka </w:t>
      </w:r>
      <w:r w:rsidR="00073102">
        <w:t>8535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576FE68A" w:rsidR="00726B26" w:rsidRPr="002B77A6" w:rsidRDefault="00073102" w:rsidP="00726B26">
      <w:pPr>
        <w:rPr>
          <w:b/>
        </w:rPr>
      </w:pPr>
      <w:r>
        <w:rPr>
          <w:b/>
        </w:rPr>
        <w:t>Fakultní nemocnice Brno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38D095B1" w14:textId="7BBC4F99" w:rsidR="00726B26" w:rsidRPr="002B77A6" w:rsidRDefault="00DD5922" w:rsidP="00DD5922">
      <w:pPr>
        <w:pStyle w:val="Nadpis1"/>
      </w:pPr>
      <w:r>
        <w:t>Ú</w:t>
      </w:r>
      <w:r w:rsidR="00BE50CA">
        <w:t xml:space="preserve">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6BD485B0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773ED7">
        <w:t>Pacientské náramky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7117497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</w:t>
      </w:r>
      <w:r w:rsidR="00295ADC">
        <w:lastRenderedPageBreak/>
        <w:t>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982F41">
        <w:t>III</w:t>
      </w:r>
      <w:r w:rsidR="00295ADC">
        <w:fldChar w:fldCharType="end"/>
      </w:r>
      <w:r w:rsidR="00295ADC">
        <w:t xml:space="preserve"> této smlouvy</w:t>
      </w:r>
      <w:r w:rsidR="003F248A">
        <w:t>.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50FE16AE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 w:rsidR="003F248A">
        <w:t>.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48DF8913" w:rsidR="00014CFB" w:rsidRDefault="00014CFB" w:rsidP="00014CFB">
      <w:pPr>
        <w:pStyle w:val="Psmenoodstavce"/>
      </w:pPr>
      <w:r>
        <w:t>e-mailem na adresu</w:t>
      </w:r>
      <w:r w:rsidR="008A5BD9">
        <w:t>: obchod@datascan.cz</w:t>
      </w:r>
      <w:r>
        <w:t>;</w:t>
      </w:r>
    </w:p>
    <w:p w14:paraId="529C2256" w14:textId="6103A7A7" w:rsidR="00014CFB" w:rsidRDefault="00014CFB" w:rsidP="00014CFB">
      <w:pPr>
        <w:pStyle w:val="Psmenoodstavce"/>
      </w:pPr>
      <w:r>
        <w:t>faxem na telefonní číslo</w:t>
      </w:r>
      <w:r w:rsidR="008A5BD9">
        <w:t>:</w:t>
      </w:r>
      <w:r>
        <w:t xml:space="preserve"> </w:t>
      </w:r>
      <w:r w:rsidR="008A5BD9">
        <w:t>-</w:t>
      </w:r>
      <w:r>
        <w:t>;</w:t>
      </w:r>
    </w:p>
    <w:p w14:paraId="4ADE2850" w14:textId="37E4355A" w:rsidR="00014CFB" w:rsidRPr="003F248A" w:rsidRDefault="00014CFB" w:rsidP="00014CFB">
      <w:pPr>
        <w:pStyle w:val="Psmenoodstavce"/>
      </w:pPr>
      <w:r>
        <w:t>v internetovém systému Prodávajícího na adrese</w:t>
      </w:r>
      <w:r w:rsidR="008A5BD9">
        <w:t>: -</w:t>
      </w:r>
      <w:r w:rsidRPr="003F248A"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39644B96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8A5BD9">
        <w:t>545 215 558</w:t>
      </w:r>
      <w:r w:rsidR="003F248A">
        <w:t>.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071794D" w14:textId="4B860523" w:rsidR="003F248A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</w:t>
      </w:r>
      <w:r w:rsidR="00B64460">
        <w:t xml:space="preserve">po přijetí Objednávky </w:t>
      </w:r>
      <w:r>
        <w:t xml:space="preserve">na adresu </w:t>
      </w:r>
      <w:r w:rsidR="004A3D6F">
        <w:t>XXXXXXXXXX</w:t>
      </w:r>
      <w:r w:rsidR="003F248A" w:rsidRPr="004A3D6F">
        <w:t>@fnbrno.cz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6DA32B45" w:rsidR="00014CFB" w:rsidRDefault="00014CFB" w:rsidP="00923251">
      <w:pPr>
        <w:pStyle w:val="Odstavecsmlouvy"/>
      </w:pPr>
      <w:r>
        <w:t xml:space="preserve">Místem dodání je </w:t>
      </w:r>
      <w:r w:rsidR="00664C22">
        <w:t xml:space="preserve">sklad </w:t>
      </w:r>
      <w:r w:rsidR="00773ED7">
        <w:t>M</w:t>
      </w:r>
      <w:r w:rsidR="00664C22">
        <w:t>ateriálně-technického zásobování (sklad MZT)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>, Jihlavská 20, 625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9A2DAA7" w14:textId="2A6D4FA8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="00773ED7" w:rsidRPr="0033456A">
        <w:rPr>
          <w:b/>
        </w:rPr>
        <w:t xml:space="preserve">vždy </w:t>
      </w:r>
      <w:r w:rsidR="00773ED7">
        <w:rPr>
          <w:b/>
        </w:rPr>
        <w:t>nejpozději k poslednímu dni v měsíci</w:t>
      </w:r>
      <w:r w:rsidR="00773ED7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463FA45E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</w:t>
      </w:r>
      <w:r w:rsidR="00754D50">
        <w:lastRenderedPageBreak/>
        <w:t xml:space="preserve">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346E0A3E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083B7681" w14:textId="2C70758E" w:rsidR="00C84E70" w:rsidRDefault="00C84E70" w:rsidP="003E07FA">
      <w:pPr>
        <w:pStyle w:val="Psmenoodstavce"/>
        <w:ind w:left="1418" w:firstLine="0"/>
      </w:pPr>
      <w:r>
        <w:t>číslo Objednávky;</w:t>
      </w:r>
    </w:p>
    <w:p w14:paraId="1A652287" w14:textId="77777777" w:rsidR="00806564" w:rsidRDefault="00806564" w:rsidP="003E07FA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34EA521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3CA7A2A6" w:rsidR="00EA4C8B" w:rsidRDefault="00EA4C8B" w:rsidP="003E07FA">
      <w:pPr>
        <w:pStyle w:val="Psmenoodstavce"/>
        <w:ind w:left="1418" w:firstLine="0"/>
      </w:pPr>
      <w:r>
        <w:t>jednotkové ceny dodané</w:t>
      </w:r>
      <w:r w:rsidR="00B209BF">
        <w:t>ho Zboží (bez DPH a včetně DPH).</w:t>
      </w:r>
    </w:p>
    <w:p w14:paraId="62427E30" w14:textId="77777777" w:rsidR="00B57703" w:rsidRDefault="00B57703" w:rsidP="003E07FA">
      <w:pPr>
        <w:pStyle w:val="Odstavecsmlouvy"/>
        <w:numPr>
          <w:ilvl w:val="0"/>
          <w:numId w:val="0"/>
        </w:numPr>
        <w:ind w:left="567"/>
      </w:pPr>
    </w:p>
    <w:p w14:paraId="2BEFF279" w14:textId="06177CFF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4CBAA986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="00876761">
        <w:t xml:space="preserve"> (zaměstnancem skladu MTZ)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38B7458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7FB4FC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lastRenderedPageBreak/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7F73ABE4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 w:rsidR="004C11DE">
        <w:t>.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139646D0" w:rsidR="000C1FD1" w:rsidRDefault="000C1FD1" w:rsidP="000C1FD1">
      <w:pPr>
        <w:pStyle w:val="Odstavecsmlouvy"/>
      </w:pPr>
      <w:r>
        <w:t xml:space="preserve">Navýšení Kupní ceny je možné pouze na základě </w:t>
      </w:r>
      <w:r w:rsidR="00B209BF">
        <w:t>písemného dodatku k této smlouvě</w:t>
      </w:r>
      <w:r w:rsidR="006D5E44">
        <w:t>.</w:t>
      </w: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C1FD1">
      <w:pPr>
        <w:pStyle w:val="Nadpis3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46459CF6" w:rsidR="000C1FD1" w:rsidRPr="00A207CC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 xml:space="preserve">rodávajícího na základě faktur – </w:t>
      </w:r>
      <w:r w:rsidRPr="00A207CC">
        <w:t xml:space="preserve">daňových dokladů vystavených Prodávajícím a doručených Kupujícímu, a to </w:t>
      </w:r>
      <w:r w:rsidR="00A207CC" w:rsidRPr="00A207CC">
        <w:t>k jednotlivým Objednávkám</w:t>
      </w:r>
      <w:r w:rsidRPr="00A207CC">
        <w:t>.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4153EAB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2E11E74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1D41CA64" w:rsidR="00806564" w:rsidRDefault="00806564" w:rsidP="00806564">
      <w:pPr>
        <w:pStyle w:val="Psmenoodstavce"/>
      </w:pPr>
      <w:r>
        <w:t>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0F576CF9" w14:textId="1BDADB25" w:rsidR="00754D50" w:rsidRDefault="000C1FD1" w:rsidP="00B209BF">
      <w:pPr>
        <w:pStyle w:val="Psmenoodstavce"/>
      </w:pPr>
      <w:r>
        <w:t xml:space="preserve">celková fakturovaná částka (bez DPH, včetně </w:t>
      </w:r>
      <w:r w:rsidR="00B209BF">
        <w:t>DPH)</w:t>
      </w:r>
      <w:r w:rsidR="00923251">
        <w:t>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42ABE87F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</w:t>
      </w:r>
      <w:r w:rsidR="00293174">
        <w:t xml:space="preserve"> bez vad faktických i právních.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0CA5F430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</w:t>
      </w:r>
      <w:r w:rsidRPr="00CC5B10">
        <w:t xml:space="preserve">musí </w:t>
      </w:r>
      <w:r w:rsidR="003E1948" w:rsidRPr="00CC5B10">
        <w:t xml:space="preserve">od okamžiku dodání Zboží Kupujícímu </w:t>
      </w:r>
      <w:r w:rsidRPr="00CC5B10">
        <w:t xml:space="preserve">činit </w:t>
      </w:r>
      <w:r w:rsidRPr="00CC5B10">
        <w:rPr>
          <w:b/>
        </w:rPr>
        <w:t xml:space="preserve">minimálně </w:t>
      </w:r>
      <w:r w:rsidR="00773ED7">
        <w:rPr>
          <w:b/>
        </w:rPr>
        <w:t>12</w:t>
      </w:r>
      <w:r w:rsidR="00B209BF" w:rsidRPr="00CC5B10">
        <w:rPr>
          <w:b/>
        </w:rPr>
        <w:t xml:space="preserve"> měsíců</w:t>
      </w:r>
      <w:r w:rsidR="005452F8" w:rsidRPr="00CC5B10">
        <w:t xml:space="preserve"> (dále též jen „</w:t>
      </w:r>
      <w:r w:rsidR="005452F8" w:rsidRPr="00CC5B10">
        <w:rPr>
          <w:b/>
        </w:rPr>
        <w:t xml:space="preserve">Záruční </w:t>
      </w:r>
      <w:r w:rsidR="005452F8" w:rsidRPr="005452F8">
        <w:rPr>
          <w:b/>
        </w:rPr>
        <w:t>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</w:t>
      </w:r>
      <w:r w:rsidR="00DD5922">
        <w:t xml:space="preserve">Zboží bude po celou Záruční dobu </w:t>
      </w:r>
      <w:r w:rsidR="00DD5922"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DD5922">
        <w:t xml:space="preserve">celou Záruční </w:t>
      </w:r>
      <w:r w:rsidR="00DD5922" w:rsidRPr="00D859C2">
        <w:t>dobu</w:t>
      </w:r>
      <w:r w:rsidR="005452F8">
        <w:t>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3B8876BD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DD5922">
        <w:t>, nejpozději však ve lhůtě sjednané pro splnění Objednávky,</w:t>
      </w:r>
      <w:r w:rsidR="00B209BF">
        <w:t xml:space="preserve"> </w:t>
      </w:r>
      <w:r w:rsidRPr="00512AB9">
        <w:t xml:space="preserve">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B25C7F8" w14:textId="77777777" w:rsidR="00726B2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5EAE592" w14:textId="795981A4" w:rsidR="00CD098E" w:rsidRPr="00512AB9" w:rsidRDefault="00CD098E" w:rsidP="003E07FA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2709F1">
        <w:t>2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 xml:space="preserve">, </w:t>
      </w:r>
      <w:r w:rsidR="00C84E70">
        <w:t xml:space="preserve">minimálně však 500 Kč, </w:t>
      </w:r>
      <w:r>
        <w:t>a to</w:t>
      </w:r>
      <w:r w:rsidRPr="00512AB9">
        <w:t xml:space="preserve"> za každý započatý </w:t>
      </w:r>
      <w:r w:rsidR="00C84E70">
        <w:t xml:space="preserve">pracovní </w:t>
      </w:r>
      <w:r w:rsidR="00B209BF">
        <w:t>den prodlení.</w:t>
      </w:r>
    </w:p>
    <w:p w14:paraId="5F75E8E1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973ED95" w14:textId="77777777" w:rsidR="00C92C8B" w:rsidRPr="00C92C8B" w:rsidRDefault="00726B26" w:rsidP="00C92C8B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7F6E51E7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64916E2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A8A365C" w14:textId="7106A4F7" w:rsidR="009F5A27" w:rsidRPr="00CC5B10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</w:t>
      </w:r>
      <w:r w:rsidR="00575F84" w:rsidRPr="00CC5B10">
        <w:t xml:space="preserve">zákona o registru smluv a </w:t>
      </w:r>
      <w:r w:rsidRPr="00CC5B10">
        <w:t xml:space="preserve">je uzavřena na dobu </w:t>
      </w:r>
      <w:r w:rsidR="00FD6E70">
        <w:rPr>
          <w:b/>
        </w:rPr>
        <w:t>1 roku</w:t>
      </w:r>
      <w:r w:rsidR="00CE3F06" w:rsidRPr="00CC5B10">
        <w:rPr>
          <w:b/>
        </w:rPr>
        <w:t xml:space="preserve"> ode dne nabytí účinnosti této smlouvy</w:t>
      </w:r>
      <w:r w:rsidRPr="00CC5B10">
        <w:t>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09722738" w:rsidR="001E166C" w:rsidRDefault="001E166C" w:rsidP="001E166C">
      <w:pPr>
        <w:pStyle w:val="Odstavecsmlouvy"/>
      </w:pPr>
      <w:r>
        <w:t>Prodávající na sebe přebírá nebezpečí změny okolností dle § 17</w:t>
      </w:r>
      <w:r w:rsidR="005D540C">
        <w:t>65 odst. 2 občanského zákoníku.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lastRenderedPageBreak/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5051CAB" w14:textId="409A29E3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3133A6" w:rsidRPr="00EB50E0">
        <w:rPr>
          <w:snapToGrid w:val="0"/>
        </w:rPr>
        <w:t>dvou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EB50E0">
        <w:rPr>
          <w:snapToGrid w:val="0"/>
        </w:rPr>
        <w:t>jedno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  <w:r w:rsidR="00B91378" w:rsidRPr="00B91378">
        <w:rPr>
          <w:snapToGrid w:val="0"/>
        </w:rPr>
        <w:t xml:space="preserve"> </w:t>
      </w:r>
      <w:r w:rsidR="00B91378">
        <w:rPr>
          <w:snapToGrid w:val="0"/>
        </w:rPr>
        <w:t>Je-li však tato smlouva uzavřena elektronicky, obdrží každá smluvní strana jednu kopii elektronického originálu.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019C38D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13D2CBA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4A2633F" w:rsidR="004A45B0" w:rsidRPr="00D722DC" w:rsidRDefault="004A45B0" w:rsidP="002F36F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2F36FD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3EE27D51" w:rsidR="004A45B0" w:rsidRPr="00D722DC" w:rsidRDefault="002F36FD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Datascan, s.r.o.</w:t>
            </w:r>
          </w:p>
          <w:p w14:paraId="72AE30CD" w14:textId="64198098" w:rsidR="004A45B0" w:rsidRPr="00D722DC" w:rsidRDefault="002F36FD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Vorel, jednatel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7C34C91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78517503" w14:textId="77777777" w:rsidR="00652943" w:rsidRDefault="00652943" w:rsidP="00896745">
      <w:pPr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5" w:space="0" w:color="484848"/>
          <w:left w:val="single" w:sz="5" w:space="0" w:color="484848"/>
          <w:bottom w:val="single" w:sz="5" w:space="0" w:color="484848"/>
          <w:right w:val="single" w:sz="5" w:space="0" w:color="484848"/>
          <w:insideH w:val="single" w:sz="5" w:space="0" w:color="484848"/>
          <w:insideV w:val="single" w:sz="5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4574"/>
        <w:gridCol w:w="2398"/>
        <w:gridCol w:w="2551"/>
      </w:tblGrid>
      <w:tr w:rsidR="00652943" w:rsidRPr="00B05356" w14:paraId="1C0630B3" w14:textId="77777777" w:rsidTr="00C5752F">
        <w:trPr>
          <w:trHeight w:hRule="exact" w:val="1161"/>
        </w:trPr>
        <w:tc>
          <w:tcPr>
            <w:tcW w:w="4574" w:type="dxa"/>
            <w:tcBorders>
              <w:left w:val="single" w:sz="5" w:space="0" w:color="233F44"/>
              <w:bottom w:val="single" w:sz="6" w:space="0" w:color="343438"/>
              <w:right w:val="single" w:sz="6" w:space="0" w:color="2F3438"/>
            </w:tcBorders>
          </w:tcPr>
          <w:p w14:paraId="0368A3A6" w14:textId="77777777" w:rsidR="00652943" w:rsidRPr="00B05356" w:rsidRDefault="00652943" w:rsidP="00C5752F">
            <w:pPr>
              <w:pStyle w:val="TableParagraph"/>
              <w:spacing w:before="7"/>
              <w:ind w:left="0"/>
              <w:jc w:val="left"/>
            </w:pPr>
          </w:p>
          <w:p w14:paraId="605ACA7B" w14:textId="77777777" w:rsidR="00652943" w:rsidRPr="00B05356" w:rsidRDefault="00652943" w:rsidP="00C5752F">
            <w:pPr>
              <w:pStyle w:val="TableParagraph"/>
              <w:spacing w:before="0"/>
              <w:ind w:right="635"/>
            </w:pPr>
            <w:r>
              <w:rPr>
                <w:color w:val="161A1C"/>
              </w:rPr>
              <w:t>Název zboží</w:t>
            </w:r>
          </w:p>
        </w:tc>
        <w:tc>
          <w:tcPr>
            <w:tcW w:w="2398" w:type="dxa"/>
            <w:tcBorders>
              <w:left w:val="single" w:sz="6" w:space="0" w:color="2F3438"/>
              <w:bottom w:val="single" w:sz="6" w:space="0" w:color="343438"/>
              <w:right w:val="single" w:sz="6" w:space="0" w:color="343B3F"/>
            </w:tcBorders>
            <w:vAlign w:val="center"/>
          </w:tcPr>
          <w:p w14:paraId="1616ACD9" w14:textId="77777777" w:rsidR="00652943" w:rsidRPr="00B05356" w:rsidRDefault="00652943" w:rsidP="00C5752F">
            <w:pPr>
              <w:pStyle w:val="TableParagraph"/>
              <w:spacing w:before="0" w:line="262" w:lineRule="auto"/>
              <w:ind w:left="216" w:hanging="125"/>
            </w:pPr>
            <w:r w:rsidRPr="00B05356">
              <w:rPr>
                <w:color w:val="161A1C"/>
                <w:w w:val="95"/>
              </w:rPr>
              <w:t>Nabídková cena bez DPH</w:t>
            </w:r>
            <w:r>
              <w:rPr>
                <w:color w:val="161A1C"/>
                <w:w w:val="95"/>
              </w:rPr>
              <w:t xml:space="preserve"> za 1 kus náramku</w:t>
            </w:r>
          </w:p>
        </w:tc>
        <w:tc>
          <w:tcPr>
            <w:tcW w:w="2551" w:type="dxa"/>
            <w:tcBorders>
              <w:top w:val="single" w:sz="3" w:space="0" w:color="131C1C"/>
              <w:left w:val="single" w:sz="6" w:space="0" w:color="343B3F"/>
              <w:bottom w:val="single" w:sz="4" w:space="0" w:color="808383"/>
              <w:right w:val="single" w:sz="5" w:space="0" w:color="2B4448"/>
            </w:tcBorders>
            <w:vAlign w:val="center"/>
          </w:tcPr>
          <w:p w14:paraId="7EF1C457" w14:textId="77777777" w:rsidR="00652943" w:rsidRPr="00B05356" w:rsidRDefault="00652943" w:rsidP="00C5752F">
            <w:pPr>
              <w:pStyle w:val="TableParagraph"/>
              <w:spacing w:before="75" w:line="261" w:lineRule="auto"/>
              <w:ind w:left="333" w:right="86" w:hanging="240"/>
            </w:pPr>
            <w:r w:rsidRPr="00B05356">
              <w:rPr>
                <w:color w:val="161A1C"/>
                <w:w w:val="95"/>
              </w:rPr>
              <w:t xml:space="preserve">Nabídková cena s </w:t>
            </w:r>
            <w:r>
              <w:rPr>
                <w:color w:val="161A1C"/>
                <w:w w:val="95"/>
              </w:rPr>
              <w:t xml:space="preserve">21% </w:t>
            </w:r>
            <w:r w:rsidRPr="00B05356">
              <w:rPr>
                <w:color w:val="161A1C"/>
                <w:w w:val="95"/>
              </w:rPr>
              <w:t>DPH</w:t>
            </w:r>
            <w:r>
              <w:rPr>
                <w:color w:val="161A1C"/>
                <w:w w:val="95"/>
              </w:rPr>
              <w:t xml:space="preserve"> za 1 kus náramku</w:t>
            </w:r>
          </w:p>
        </w:tc>
      </w:tr>
      <w:tr w:rsidR="00652943" w:rsidRPr="00B05356" w14:paraId="05B7D420" w14:textId="77777777" w:rsidTr="00C5752F">
        <w:trPr>
          <w:trHeight w:hRule="exact" w:val="1060"/>
        </w:trPr>
        <w:tc>
          <w:tcPr>
            <w:tcW w:w="4574" w:type="dxa"/>
            <w:tcBorders>
              <w:top w:val="single" w:sz="6" w:space="0" w:color="343438"/>
              <w:left w:val="single" w:sz="5" w:space="0" w:color="233F44"/>
              <w:bottom w:val="single" w:sz="6" w:space="0" w:color="2B2B2B"/>
              <w:right w:val="single" w:sz="6" w:space="0" w:color="2F3438"/>
            </w:tcBorders>
          </w:tcPr>
          <w:p w14:paraId="3486F681" w14:textId="77777777" w:rsidR="00652943" w:rsidRPr="00B05356" w:rsidRDefault="00652943" w:rsidP="00C5752F">
            <w:pPr>
              <w:pStyle w:val="TableParagraph"/>
              <w:spacing w:before="150"/>
              <w:ind w:right="668"/>
            </w:pPr>
            <w:r>
              <w:rPr>
                <w:color w:val="161A1C"/>
                <w:w w:val="110"/>
              </w:rPr>
              <w:t>Zebra Wristband – Z-Band Direct, 25 x 279, Adult size, bílá barva</w:t>
            </w:r>
          </w:p>
        </w:tc>
        <w:tc>
          <w:tcPr>
            <w:tcW w:w="2398" w:type="dxa"/>
            <w:tcBorders>
              <w:top w:val="single" w:sz="6" w:space="0" w:color="343438"/>
              <w:left w:val="single" w:sz="6" w:space="0" w:color="2F3438"/>
              <w:bottom w:val="single" w:sz="6" w:space="0" w:color="2B2B2B"/>
              <w:right w:val="single" w:sz="6" w:space="0" w:color="343B3F"/>
            </w:tcBorders>
          </w:tcPr>
          <w:p w14:paraId="38AB8489" w14:textId="524EEAFE" w:rsidR="00652943" w:rsidRPr="00B05356" w:rsidRDefault="00652943" w:rsidP="00652943">
            <w:pPr>
              <w:pStyle w:val="TableParagraph"/>
              <w:spacing w:before="113"/>
              <w:ind w:left="133" w:right="133"/>
            </w:pPr>
            <w:r>
              <w:rPr>
                <w:color w:val="161A1C"/>
                <w:w w:val="110"/>
              </w:rPr>
              <w:t>3,65</w:t>
            </w:r>
            <w:r w:rsidRPr="00B05356">
              <w:rPr>
                <w:color w:val="161A1C"/>
                <w:w w:val="110"/>
              </w:rPr>
              <w:t xml:space="preserve"> Kč</w:t>
            </w:r>
          </w:p>
        </w:tc>
        <w:tc>
          <w:tcPr>
            <w:tcW w:w="2551" w:type="dxa"/>
            <w:tcBorders>
              <w:top w:val="single" w:sz="4" w:space="0" w:color="808383"/>
              <w:left w:val="single" w:sz="6" w:space="0" w:color="343B3F"/>
              <w:bottom w:val="single" w:sz="6" w:space="0" w:color="2B2B2B"/>
              <w:right w:val="single" w:sz="5" w:space="0" w:color="2B4448"/>
            </w:tcBorders>
          </w:tcPr>
          <w:p w14:paraId="27085529" w14:textId="24D4877D" w:rsidR="00652943" w:rsidRPr="00B05356" w:rsidRDefault="00652943" w:rsidP="00652943">
            <w:pPr>
              <w:pStyle w:val="TableParagraph"/>
              <w:ind w:left="303" w:right="303"/>
            </w:pPr>
            <w:r>
              <w:rPr>
                <w:color w:val="161A1C"/>
                <w:w w:val="105"/>
              </w:rPr>
              <w:t xml:space="preserve">4,42 </w:t>
            </w:r>
            <w:r w:rsidRPr="00B05356">
              <w:rPr>
                <w:color w:val="161A1C"/>
                <w:w w:val="105"/>
              </w:rPr>
              <w:t>Kč</w:t>
            </w:r>
          </w:p>
        </w:tc>
      </w:tr>
    </w:tbl>
    <w:p w14:paraId="6B5F403C" w14:textId="77777777" w:rsidR="00AA34DF" w:rsidRDefault="00AA34DF" w:rsidP="00023008"/>
    <w:p w14:paraId="085E7CD0" w14:textId="69F82CF0" w:rsidR="00652943" w:rsidRDefault="00652943" w:rsidP="00023008">
      <w:r>
        <w:t>Balení obsahuje 6 rolí po 200 ks náramků.</w:t>
      </w:r>
    </w:p>
    <w:p w14:paraId="2BE6E618" w14:textId="77777777" w:rsidR="00652943" w:rsidRDefault="00652943" w:rsidP="00023008"/>
    <w:sectPr w:rsidR="00652943" w:rsidSect="00D930BD">
      <w:footerReference w:type="defaul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9CBD" w14:textId="77777777" w:rsidR="004A270C" w:rsidRDefault="004A270C" w:rsidP="006337DC">
      <w:r>
        <w:separator/>
      </w:r>
    </w:p>
  </w:endnote>
  <w:endnote w:type="continuationSeparator" w:id="0">
    <w:p w14:paraId="690F6254" w14:textId="77777777" w:rsidR="004A270C" w:rsidRDefault="004A270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B5FE" w14:textId="7777777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652943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DC80" w14:textId="77777777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2943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9521" w14:textId="77777777" w:rsidR="004A270C" w:rsidRDefault="004A270C" w:rsidP="006337DC">
      <w:r>
        <w:separator/>
      </w:r>
    </w:p>
  </w:footnote>
  <w:footnote w:type="continuationSeparator" w:id="0">
    <w:p w14:paraId="14CABD7B" w14:textId="77777777" w:rsidR="004A270C" w:rsidRDefault="004A270C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9248542">
    <w:abstractNumId w:val="12"/>
  </w:num>
  <w:num w:numId="2" w16cid:durableId="223220343">
    <w:abstractNumId w:val="7"/>
  </w:num>
  <w:num w:numId="3" w16cid:durableId="773748009">
    <w:abstractNumId w:val="0"/>
  </w:num>
  <w:num w:numId="4" w16cid:durableId="518201213">
    <w:abstractNumId w:val="8"/>
  </w:num>
  <w:num w:numId="5" w16cid:durableId="267083264">
    <w:abstractNumId w:val="3"/>
  </w:num>
  <w:num w:numId="6" w16cid:durableId="131103120">
    <w:abstractNumId w:val="9"/>
  </w:num>
  <w:num w:numId="7" w16cid:durableId="1038434710">
    <w:abstractNumId w:val="7"/>
  </w:num>
  <w:num w:numId="8" w16cid:durableId="1947887848">
    <w:abstractNumId w:val="7"/>
  </w:num>
  <w:num w:numId="9" w16cid:durableId="1373001548">
    <w:abstractNumId w:val="7"/>
  </w:num>
  <w:num w:numId="10" w16cid:durableId="59447042">
    <w:abstractNumId w:val="7"/>
  </w:num>
  <w:num w:numId="11" w16cid:durableId="692339181">
    <w:abstractNumId w:val="6"/>
  </w:num>
  <w:num w:numId="12" w16cid:durableId="481043992">
    <w:abstractNumId w:val="2"/>
  </w:num>
  <w:num w:numId="13" w16cid:durableId="1247612399">
    <w:abstractNumId w:val="11"/>
  </w:num>
  <w:num w:numId="14" w16cid:durableId="1661034727">
    <w:abstractNumId w:val="1"/>
  </w:num>
  <w:num w:numId="15" w16cid:durableId="650210776">
    <w:abstractNumId w:val="13"/>
  </w:num>
  <w:num w:numId="16" w16cid:durableId="850071187">
    <w:abstractNumId w:val="4"/>
  </w:num>
  <w:num w:numId="17" w16cid:durableId="36512402">
    <w:abstractNumId w:val="10"/>
  </w:num>
  <w:num w:numId="18" w16cid:durableId="2098598225">
    <w:abstractNumId w:val="5"/>
  </w:num>
  <w:num w:numId="19" w16cid:durableId="1480419591">
    <w:abstractNumId w:val="7"/>
  </w:num>
  <w:num w:numId="20" w16cid:durableId="167957447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56DF"/>
    <w:rsid w:val="00011F43"/>
    <w:rsid w:val="00012084"/>
    <w:rsid w:val="00012814"/>
    <w:rsid w:val="00014CFB"/>
    <w:rsid w:val="0001607C"/>
    <w:rsid w:val="00020A2F"/>
    <w:rsid w:val="00023008"/>
    <w:rsid w:val="00023AFC"/>
    <w:rsid w:val="00024928"/>
    <w:rsid w:val="00027592"/>
    <w:rsid w:val="00030B09"/>
    <w:rsid w:val="0003167F"/>
    <w:rsid w:val="0003714D"/>
    <w:rsid w:val="00057DF0"/>
    <w:rsid w:val="00061455"/>
    <w:rsid w:val="00064A2C"/>
    <w:rsid w:val="000729CF"/>
    <w:rsid w:val="00073102"/>
    <w:rsid w:val="00073896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1641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67E6B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20D7C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709F1"/>
    <w:rsid w:val="00286EBA"/>
    <w:rsid w:val="00286F30"/>
    <w:rsid w:val="0029236A"/>
    <w:rsid w:val="00293174"/>
    <w:rsid w:val="002959B0"/>
    <w:rsid w:val="00295ADC"/>
    <w:rsid w:val="002973E3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36FD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248A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270C"/>
    <w:rsid w:val="004A3D6F"/>
    <w:rsid w:val="004A45B0"/>
    <w:rsid w:val="004A7901"/>
    <w:rsid w:val="004B05E8"/>
    <w:rsid w:val="004B1019"/>
    <w:rsid w:val="004C11DE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0E4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540C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2943"/>
    <w:rsid w:val="00657357"/>
    <w:rsid w:val="00664C22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3ED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790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6761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A5BD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239C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2F41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07C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9BF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5F7"/>
    <w:rsid w:val="00B609E9"/>
    <w:rsid w:val="00B62BE7"/>
    <w:rsid w:val="00B64460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1378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3BBB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5B10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210"/>
    <w:rsid w:val="00D669F9"/>
    <w:rsid w:val="00D720C7"/>
    <w:rsid w:val="00D722DC"/>
    <w:rsid w:val="00D72755"/>
    <w:rsid w:val="00D765F0"/>
    <w:rsid w:val="00D80EA0"/>
    <w:rsid w:val="00D828A2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D5922"/>
    <w:rsid w:val="00DE128C"/>
    <w:rsid w:val="00DE6446"/>
    <w:rsid w:val="00DF0B22"/>
    <w:rsid w:val="00E02379"/>
    <w:rsid w:val="00E034D5"/>
    <w:rsid w:val="00E04FEC"/>
    <w:rsid w:val="00E052D0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5A7B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B50E0"/>
    <w:rsid w:val="00EB53E8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2B19"/>
    <w:rsid w:val="00F43EC4"/>
    <w:rsid w:val="00F45871"/>
    <w:rsid w:val="00F45BDE"/>
    <w:rsid w:val="00F51C8E"/>
    <w:rsid w:val="00F55E3B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1A5B"/>
    <w:rsid w:val="00F921A1"/>
    <w:rsid w:val="00F93A20"/>
    <w:rsid w:val="00FA41D0"/>
    <w:rsid w:val="00FA78DA"/>
    <w:rsid w:val="00FB23A7"/>
    <w:rsid w:val="00FB4FC8"/>
    <w:rsid w:val="00FB6778"/>
    <w:rsid w:val="00FC17C4"/>
    <w:rsid w:val="00FD476F"/>
    <w:rsid w:val="00FD6674"/>
    <w:rsid w:val="00FD6E70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529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52943"/>
    <w:pPr>
      <w:widowControl w:val="0"/>
      <w:autoSpaceDE w:val="0"/>
      <w:autoSpaceDN w:val="0"/>
      <w:spacing w:before="115" w:line="240" w:lineRule="auto"/>
      <w:ind w:left="642"/>
      <w:jc w:val="center"/>
    </w:pPr>
    <w:rPr>
      <w:rFonts w:eastAsia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F26F49-E8A4-4097-94A7-579FDCBF8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7e37686-00e6-405d-9032-d05dd3ba55a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2929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19797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Láníčková Kateřina</cp:lastModifiedBy>
  <cp:revision>3</cp:revision>
  <cp:lastPrinted>2023-02-15T07:49:00Z</cp:lastPrinted>
  <dcterms:created xsi:type="dcterms:W3CDTF">2023-06-08T09:04:00Z</dcterms:created>
  <dcterms:modified xsi:type="dcterms:W3CDTF">2023-06-08T09:05:00Z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