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B4" w:rsidRPr="009E0C9B" w:rsidRDefault="009B22B4" w:rsidP="00FF471C">
      <w:pPr>
        <w:spacing w:before="1680"/>
        <w:jc w:val="right"/>
        <w:rPr>
          <w:b/>
          <w:i/>
          <w:szCs w:val="20"/>
        </w:rPr>
      </w:pPr>
      <w:r w:rsidRPr="009E0C9B">
        <w:rPr>
          <w:b/>
          <w:i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2C7EDA0" wp14:editId="7AF4101A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22B4" w:rsidRPr="009E0C9B" w:rsidRDefault="009B22B4" w:rsidP="00FF471C">
      <w:pPr>
        <w:jc w:val="right"/>
        <w:rPr>
          <w:i/>
        </w:rPr>
      </w:pPr>
    </w:p>
    <w:p w:rsidR="009B22B4" w:rsidRPr="009E0C9B" w:rsidRDefault="009B22B4" w:rsidP="00216C3C">
      <w:pPr>
        <w:tabs>
          <w:tab w:val="left" w:pos="3544"/>
        </w:tabs>
        <w:rPr>
          <w:i/>
        </w:rPr>
      </w:pPr>
    </w:p>
    <w:p w:rsidR="009B22B4" w:rsidRPr="009E0C9B" w:rsidRDefault="00CA4B62" w:rsidP="00095D70">
      <w:pPr>
        <w:jc w:val="left"/>
        <w:rPr>
          <w:b/>
          <w:sz w:val="32"/>
          <w:szCs w:val="32"/>
        </w:rPr>
      </w:pPr>
      <w:bookmarkStart w:id="0" w:name="Priloha_1"/>
      <w:bookmarkEnd w:id="0"/>
      <w:r w:rsidRPr="009E0C9B">
        <w:rPr>
          <w:b/>
          <w:sz w:val="32"/>
          <w:szCs w:val="32"/>
        </w:rPr>
        <w:t>Dodatek</w:t>
      </w:r>
      <w:r w:rsidR="009B22B4" w:rsidRPr="009E0C9B">
        <w:rPr>
          <w:b/>
          <w:sz w:val="32"/>
          <w:szCs w:val="32"/>
        </w:rPr>
        <w:t xml:space="preserve"> č.</w:t>
      </w:r>
      <w:r w:rsidR="00095D70" w:rsidRPr="009E0C9B">
        <w:rPr>
          <w:b/>
          <w:sz w:val="32"/>
          <w:szCs w:val="32"/>
        </w:rPr>
        <w:t xml:space="preserve"> </w:t>
      </w:r>
      <w:r w:rsidR="009B2D1B">
        <w:rPr>
          <w:b/>
          <w:sz w:val="32"/>
          <w:szCs w:val="32"/>
        </w:rPr>
        <w:t>1</w:t>
      </w:r>
    </w:p>
    <w:p w:rsidR="00CA4B62" w:rsidRPr="009E0C9B" w:rsidRDefault="00095D70" w:rsidP="00095D70">
      <w:pPr>
        <w:tabs>
          <w:tab w:val="left" w:pos="3062"/>
          <w:tab w:val="right" w:leader="dot" w:pos="4820"/>
        </w:tabs>
        <w:jc w:val="left"/>
        <w:rPr>
          <w:b/>
          <w:sz w:val="32"/>
          <w:szCs w:val="32"/>
        </w:rPr>
      </w:pPr>
      <w:r w:rsidRPr="009E0C9B">
        <w:rPr>
          <w:b/>
          <w:sz w:val="32"/>
          <w:szCs w:val="32"/>
        </w:rPr>
        <w:t>k pojistné smlouvě č.</w:t>
      </w:r>
      <w:r w:rsidRPr="009E0C9B">
        <w:rPr>
          <w:b/>
          <w:sz w:val="32"/>
          <w:szCs w:val="32"/>
        </w:rPr>
        <w:tab/>
      </w:r>
      <w:r w:rsidR="009B2D1B">
        <w:rPr>
          <w:b/>
          <w:sz w:val="32"/>
          <w:szCs w:val="32"/>
        </w:rPr>
        <w:t>7721037072</w:t>
      </w:r>
    </w:p>
    <w:p w:rsidR="009B22B4" w:rsidRPr="009E0C9B" w:rsidRDefault="009B22B4" w:rsidP="00280823">
      <w:pPr>
        <w:spacing w:after="240"/>
        <w:rPr>
          <w:b/>
        </w:rPr>
      </w:pPr>
      <w:r w:rsidRPr="009E0C9B">
        <w:rPr>
          <w:b/>
        </w:rPr>
        <w:t>Úsek pojištění hospodářských rizik</w:t>
      </w:r>
    </w:p>
    <w:p w:rsidR="009B2D1B" w:rsidRDefault="009B2D1B" w:rsidP="009B2D1B">
      <w:pPr>
        <w:rPr>
          <w:rFonts w:cs="Arial"/>
          <w:b/>
          <w:spacing w:val="20"/>
          <w:sz w:val="32"/>
        </w:rPr>
      </w:pPr>
    </w:p>
    <w:p w:rsidR="009B2D1B" w:rsidRPr="009B2D1B" w:rsidRDefault="009B2D1B" w:rsidP="009B2D1B">
      <w:pPr>
        <w:rPr>
          <w:rFonts w:cs="Arial"/>
          <w:b/>
          <w:spacing w:val="20"/>
          <w:sz w:val="32"/>
        </w:rPr>
      </w:pPr>
      <w:r w:rsidRPr="009B2D1B">
        <w:rPr>
          <w:rFonts w:cs="Arial"/>
          <w:b/>
          <w:spacing w:val="20"/>
          <w:sz w:val="32"/>
        </w:rPr>
        <w:t xml:space="preserve">Kooperativa pojišťovna, a.s., </w:t>
      </w:r>
      <w:proofErr w:type="spellStart"/>
      <w:r w:rsidRPr="009B2D1B">
        <w:rPr>
          <w:rFonts w:cs="Arial"/>
          <w:b/>
          <w:spacing w:val="20"/>
          <w:sz w:val="32"/>
        </w:rPr>
        <w:t>Vienna</w:t>
      </w:r>
      <w:proofErr w:type="spellEnd"/>
      <w:r w:rsidRPr="009B2D1B">
        <w:rPr>
          <w:rFonts w:cs="Arial"/>
          <w:b/>
          <w:spacing w:val="20"/>
          <w:sz w:val="32"/>
        </w:rPr>
        <w:t xml:space="preserve"> </w:t>
      </w:r>
      <w:proofErr w:type="spellStart"/>
      <w:r w:rsidRPr="009B2D1B">
        <w:rPr>
          <w:rFonts w:cs="Arial"/>
          <w:b/>
          <w:spacing w:val="20"/>
          <w:sz w:val="32"/>
        </w:rPr>
        <w:t>Insurance</w:t>
      </w:r>
      <w:proofErr w:type="spellEnd"/>
      <w:r w:rsidRPr="009B2D1B">
        <w:rPr>
          <w:rFonts w:cs="Arial"/>
          <w:b/>
          <w:spacing w:val="20"/>
          <w:sz w:val="32"/>
        </w:rPr>
        <w:t xml:space="preserve"> Group</w:t>
      </w:r>
    </w:p>
    <w:p w:rsidR="009B2D1B" w:rsidRPr="009B2D1B" w:rsidRDefault="009B2D1B" w:rsidP="009B2D1B">
      <w:pPr>
        <w:rPr>
          <w:rFonts w:cs="Arial"/>
          <w:b/>
        </w:rPr>
      </w:pPr>
      <w:r w:rsidRPr="009B2D1B">
        <w:rPr>
          <w:rFonts w:cs="Arial"/>
          <w:b/>
        </w:rPr>
        <w:t xml:space="preserve">se sídlem Praha 8, Pobřežní 665/21, PSČ 186 00, Česká republika </w:t>
      </w:r>
    </w:p>
    <w:p w:rsidR="009B2D1B" w:rsidRPr="009B2D1B" w:rsidRDefault="009B2D1B" w:rsidP="009B2D1B">
      <w:pPr>
        <w:rPr>
          <w:rFonts w:cs="Arial"/>
          <w:b/>
        </w:rPr>
      </w:pPr>
      <w:r w:rsidRPr="009B2D1B">
        <w:rPr>
          <w:rFonts w:cs="Arial"/>
          <w:b/>
        </w:rPr>
        <w:t>IČO: 47116617</w:t>
      </w:r>
    </w:p>
    <w:p w:rsidR="009B2D1B" w:rsidRPr="009B2D1B" w:rsidRDefault="009B2D1B" w:rsidP="009B2D1B">
      <w:pPr>
        <w:rPr>
          <w:rFonts w:cs="Arial"/>
        </w:rPr>
      </w:pPr>
      <w:r w:rsidRPr="009B2D1B">
        <w:rPr>
          <w:rFonts w:cs="Arial"/>
        </w:rPr>
        <w:t xml:space="preserve">zapsaná v obchodním rejstříku u Městského soudu v Praze, </w:t>
      </w:r>
      <w:proofErr w:type="spellStart"/>
      <w:r w:rsidRPr="009B2D1B">
        <w:rPr>
          <w:rFonts w:cs="Arial"/>
        </w:rPr>
        <w:t>sp</w:t>
      </w:r>
      <w:proofErr w:type="spellEnd"/>
      <w:r w:rsidRPr="009B2D1B">
        <w:rPr>
          <w:rFonts w:cs="Arial"/>
        </w:rPr>
        <w:t>. zn. B 1897</w:t>
      </w:r>
    </w:p>
    <w:p w:rsidR="009B2D1B" w:rsidRPr="009B2D1B" w:rsidRDefault="009B2D1B" w:rsidP="009B2D1B">
      <w:pPr>
        <w:rPr>
          <w:rFonts w:cs="Arial"/>
        </w:rPr>
      </w:pPr>
      <w:r w:rsidRPr="009B2D1B">
        <w:rPr>
          <w:rFonts w:cs="Arial"/>
        </w:rPr>
        <w:t>(dále jen „</w:t>
      </w:r>
      <w:r w:rsidRPr="009B2D1B">
        <w:rPr>
          <w:rFonts w:cs="Arial"/>
          <w:b/>
        </w:rPr>
        <w:t>pojistitel“</w:t>
      </w:r>
      <w:r w:rsidRPr="009B2D1B">
        <w:rPr>
          <w:rFonts w:cs="Arial"/>
        </w:rPr>
        <w:t>),</w:t>
      </w:r>
    </w:p>
    <w:p w:rsidR="009B2D1B" w:rsidRPr="009B2D1B" w:rsidRDefault="009B2D1B" w:rsidP="009B2D1B">
      <w:pPr>
        <w:spacing w:after="120"/>
        <w:jc w:val="left"/>
        <w:rPr>
          <w:rFonts w:cs="Arial"/>
          <w:szCs w:val="20"/>
        </w:rPr>
      </w:pPr>
      <w:r w:rsidRPr="009B2D1B">
        <w:rPr>
          <w:rFonts w:cs="Arial"/>
          <w:szCs w:val="20"/>
        </w:rPr>
        <w:t>zastoupený na základě zmocnění níže podepsanými osobami</w:t>
      </w:r>
    </w:p>
    <w:p w:rsidR="009B2D1B" w:rsidRPr="009B2D1B" w:rsidRDefault="009B2D1B" w:rsidP="009B2D1B">
      <w:pPr>
        <w:rPr>
          <w:rFonts w:cs="Arial"/>
        </w:rPr>
      </w:pPr>
      <w:r w:rsidRPr="009B2D1B">
        <w:rPr>
          <w:rFonts w:cs="Arial"/>
        </w:rPr>
        <w:t xml:space="preserve">Pracoviště: </w:t>
      </w:r>
      <w:r w:rsidRPr="009B2D1B">
        <w:rPr>
          <w:szCs w:val="20"/>
        </w:rPr>
        <w:t xml:space="preserve">Kooperativa pojišťovna, a.s., </w:t>
      </w:r>
      <w:proofErr w:type="spellStart"/>
      <w:r w:rsidRPr="009B2D1B">
        <w:rPr>
          <w:szCs w:val="20"/>
        </w:rPr>
        <w:t>Vienna</w:t>
      </w:r>
      <w:proofErr w:type="spellEnd"/>
      <w:r w:rsidRPr="009B2D1B">
        <w:rPr>
          <w:szCs w:val="20"/>
        </w:rPr>
        <w:t xml:space="preserve"> </w:t>
      </w:r>
      <w:proofErr w:type="spellStart"/>
      <w:r w:rsidRPr="009B2D1B">
        <w:rPr>
          <w:szCs w:val="20"/>
        </w:rPr>
        <w:t>Insurance</w:t>
      </w:r>
      <w:proofErr w:type="spellEnd"/>
      <w:r w:rsidRPr="009B2D1B">
        <w:rPr>
          <w:szCs w:val="20"/>
        </w:rPr>
        <w:t xml:space="preserve"> Group</w:t>
      </w:r>
      <w:r w:rsidRPr="009B2D1B">
        <w:rPr>
          <w:rFonts w:cs="Arial"/>
        </w:rPr>
        <w:t>, Vinohradská 72, Praha 3, PSČ 130 00,</w:t>
      </w:r>
    </w:p>
    <w:p w:rsidR="009B22B4" w:rsidRPr="009E0C9B" w:rsidRDefault="009B2D1B" w:rsidP="009B2D1B">
      <w:pPr>
        <w:spacing w:after="240"/>
        <w:rPr>
          <w:szCs w:val="20"/>
        </w:rPr>
      </w:pPr>
      <w:r w:rsidRPr="009B2D1B">
        <w:rPr>
          <w:rFonts w:cs="Arial"/>
        </w:rPr>
        <w:t>tel. 251 016</w:t>
      </w:r>
      <w:r>
        <w:rPr>
          <w:rFonts w:cs="Arial"/>
        </w:rPr>
        <w:t> </w:t>
      </w:r>
      <w:r w:rsidRPr="009B2D1B">
        <w:rPr>
          <w:rFonts w:cs="Arial"/>
        </w:rPr>
        <w:t>111</w:t>
      </w:r>
    </w:p>
    <w:p w:rsidR="009B2D1B" w:rsidRDefault="009B2D1B" w:rsidP="00280823">
      <w:pPr>
        <w:spacing w:after="240"/>
        <w:rPr>
          <w:szCs w:val="20"/>
        </w:rPr>
      </w:pPr>
    </w:p>
    <w:p w:rsidR="009B22B4" w:rsidRPr="009E0C9B" w:rsidRDefault="009B22B4" w:rsidP="00280823">
      <w:pPr>
        <w:spacing w:after="240"/>
        <w:rPr>
          <w:szCs w:val="20"/>
        </w:rPr>
      </w:pPr>
      <w:r w:rsidRPr="009E0C9B">
        <w:rPr>
          <w:szCs w:val="20"/>
        </w:rPr>
        <w:t>a</w:t>
      </w:r>
    </w:p>
    <w:p w:rsidR="009B2D1B" w:rsidRDefault="009B2D1B" w:rsidP="009B2D1B">
      <w:pPr>
        <w:rPr>
          <w:rFonts w:cs="Arial"/>
          <w:b/>
          <w:sz w:val="32"/>
        </w:rPr>
      </w:pPr>
    </w:p>
    <w:p w:rsidR="009B2D1B" w:rsidRPr="00FD3572" w:rsidRDefault="009B2D1B" w:rsidP="009B2D1B">
      <w:pPr>
        <w:rPr>
          <w:rFonts w:cs="Arial"/>
          <w:b/>
          <w:i/>
          <w:sz w:val="32"/>
        </w:rPr>
      </w:pPr>
      <w:r w:rsidRPr="00FD3572">
        <w:rPr>
          <w:rFonts w:cs="Arial"/>
          <w:b/>
          <w:sz w:val="32"/>
        </w:rPr>
        <w:t>STÁTNÍ VETERINÁRNÍ ÚSTAV PRAHA</w:t>
      </w:r>
    </w:p>
    <w:p w:rsidR="009B2D1B" w:rsidRPr="00FD3572" w:rsidRDefault="009B2D1B" w:rsidP="009B2D1B">
      <w:pPr>
        <w:rPr>
          <w:rFonts w:cs="Arial"/>
          <w:b/>
        </w:rPr>
      </w:pPr>
      <w:r w:rsidRPr="00FD3572">
        <w:rPr>
          <w:rFonts w:cs="Arial"/>
          <w:b/>
        </w:rPr>
        <w:t>se sídlem Praha 6 - Lysolaje, Sídlištní 136/24, PSČ 165 03, Česká republika</w:t>
      </w:r>
    </w:p>
    <w:p w:rsidR="009B2D1B" w:rsidRPr="00FD3572" w:rsidRDefault="009B2D1B" w:rsidP="009B2D1B">
      <w:pPr>
        <w:pStyle w:val="Zkladntext3"/>
        <w:rPr>
          <w:rFonts w:cs="Arial"/>
          <w:b/>
          <w:sz w:val="22"/>
          <w:szCs w:val="22"/>
        </w:rPr>
      </w:pPr>
      <w:r w:rsidRPr="00FD3572">
        <w:rPr>
          <w:rFonts w:cs="Arial"/>
          <w:b/>
          <w:sz w:val="22"/>
          <w:szCs w:val="22"/>
        </w:rPr>
        <w:t>IČO: 00019305</w:t>
      </w:r>
    </w:p>
    <w:p w:rsidR="009B2D1B" w:rsidRPr="00FD3572" w:rsidRDefault="009B2D1B" w:rsidP="009B2D1B">
      <w:pPr>
        <w:rPr>
          <w:rFonts w:cs="Arial"/>
          <w:bCs/>
        </w:rPr>
      </w:pPr>
      <w:r w:rsidRPr="00FD3572">
        <w:rPr>
          <w:rFonts w:cs="Arial"/>
          <w:bCs/>
        </w:rPr>
        <w:t xml:space="preserve"> (dále jen „</w:t>
      </w:r>
      <w:r w:rsidRPr="00FD3572">
        <w:rPr>
          <w:rFonts w:cs="Arial"/>
          <w:b/>
        </w:rPr>
        <w:t>pojistník“</w:t>
      </w:r>
      <w:r w:rsidRPr="00FD3572">
        <w:rPr>
          <w:rFonts w:cs="Arial"/>
          <w:bCs/>
        </w:rPr>
        <w:t>)</w:t>
      </w:r>
    </w:p>
    <w:p w:rsidR="009B2D1B" w:rsidRPr="00FD3572" w:rsidRDefault="009B2D1B" w:rsidP="009B2D1B">
      <w:pPr>
        <w:rPr>
          <w:rFonts w:cs="Arial"/>
          <w:bCs/>
        </w:rPr>
      </w:pPr>
      <w:r w:rsidRPr="00FD3572">
        <w:rPr>
          <w:rFonts w:cs="Arial"/>
          <w:bCs/>
        </w:rPr>
        <w:t xml:space="preserve">zastoupený </w:t>
      </w:r>
      <w:r w:rsidRPr="0071628E">
        <w:rPr>
          <w:rFonts w:cs="Arial"/>
          <w:bCs/>
        </w:rPr>
        <w:t>MVDr. Kamil</w:t>
      </w:r>
      <w:r>
        <w:rPr>
          <w:rFonts w:cs="Arial"/>
          <w:bCs/>
        </w:rPr>
        <w:t>em</w:t>
      </w:r>
      <w:r w:rsidRPr="0071628E">
        <w:rPr>
          <w:rFonts w:cs="Arial"/>
          <w:bCs/>
        </w:rPr>
        <w:t xml:space="preserve"> Sedlák</w:t>
      </w:r>
      <w:r>
        <w:rPr>
          <w:rFonts w:cs="Arial"/>
          <w:bCs/>
        </w:rPr>
        <w:t>em</w:t>
      </w:r>
      <w:r w:rsidRPr="0071628E">
        <w:rPr>
          <w:rFonts w:cs="Arial"/>
          <w:bCs/>
        </w:rPr>
        <w:t>, Ph.D.</w:t>
      </w:r>
      <w:r>
        <w:rPr>
          <w:rFonts w:cs="Arial"/>
          <w:bCs/>
        </w:rPr>
        <w:t>, ředitelem</w:t>
      </w:r>
    </w:p>
    <w:p w:rsidR="009B2D1B" w:rsidRPr="00FD3572" w:rsidRDefault="009B2D1B" w:rsidP="009B2D1B">
      <w:pPr>
        <w:pStyle w:val="Styl10bZarovnatdobloku"/>
      </w:pPr>
    </w:p>
    <w:p w:rsidR="009B22B4" w:rsidRPr="009E0C9B" w:rsidRDefault="009B2D1B" w:rsidP="009B2D1B">
      <w:pPr>
        <w:spacing w:before="120" w:after="240"/>
        <w:rPr>
          <w:szCs w:val="20"/>
        </w:rPr>
      </w:pPr>
      <w:r w:rsidRPr="00FD3572">
        <w:rPr>
          <w:rFonts w:cs="Arial"/>
          <w:bCs/>
        </w:rPr>
        <w:t>Korespondenční adresa pojistníka je totožná s výše uvedenou adresou pojistníka.</w:t>
      </w:r>
      <w:r w:rsidR="00000DF1" w:rsidRPr="009E0C9B">
        <w:rPr>
          <w:szCs w:val="20"/>
        </w:rPr>
        <w:t xml:space="preserve"> </w:t>
      </w:r>
    </w:p>
    <w:p w:rsidR="009B22B4" w:rsidRPr="009E0C9B" w:rsidRDefault="009B22B4" w:rsidP="00456A83">
      <w:pPr>
        <w:spacing w:before="240" w:after="240"/>
        <w:rPr>
          <w:szCs w:val="20"/>
        </w:rPr>
      </w:pPr>
      <w:r w:rsidRPr="009E0C9B">
        <w:rPr>
          <w:szCs w:val="20"/>
        </w:rPr>
        <w:t xml:space="preserve">uzavírají </w:t>
      </w:r>
    </w:p>
    <w:p w:rsidR="009B22B4" w:rsidRPr="009E0C9B" w:rsidRDefault="009B22B4" w:rsidP="00873C2F">
      <w:pPr>
        <w:spacing w:after="480"/>
        <w:rPr>
          <w:szCs w:val="20"/>
        </w:rPr>
      </w:pPr>
      <w:r w:rsidRPr="009E0C9B">
        <w:rPr>
          <w:szCs w:val="20"/>
        </w:rPr>
        <w:t xml:space="preserve">ve smyslu zákona č. 89/2012 Sb., občanského zákoníku, </w:t>
      </w:r>
      <w:r w:rsidR="005E3F28" w:rsidRPr="009E0C9B">
        <w:rPr>
          <w:szCs w:val="20"/>
        </w:rPr>
        <w:t>tento dodatek</w:t>
      </w:r>
      <w:r w:rsidRPr="009E0C9B">
        <w:rPr>
          <w:szCs w:val="20"/>
        </w:rPr>
        <w:t>, kter</w:t>
      </w:r>
      <w:r w:rsidR="005E3F28" w:rsidRPr="009E0C9B">
        <w:rPr>
          <w:szCs w:val="20"/>
        </w:rPr>
        <w:t>ý</w:t>
      </w:r>
      <w:r w:rsidRPr="009E0C9B">
        <w:rPr>
          <w:szCs w:val="20"/>
        </w:rPr>
        <w:t xml:space="preserve"> spolu</w:t>
      </w:r>
      <w:r w:rsidR="005E3F28" w:rsidRPr="009E0C9B">
        <w:rPr>
          <w:szCs w:val="20"/>
        </w:rPr>
        <w:t xml:space="preserve"> s výše uvedenou pojistnou smlouvou,</w:t>
      </w:r>
      <w:r w:rsidRPr="009E0C9B">
        <w:rPr>
          <w:szCs w:val="20"/>
        </w:rPr>
        <w:t> pojistnými podmínkami pojistite</w:t>
      </w:r>
      <w:r w:rsidR="00216C3C" w:rsidRPr="009E0C9B">
        <w:rPr>
          <w:szCs w:val="20"/>
        </w:rPr>
        <w:t>le a přílohami, na které se</w:t>
      </w:r>
      <w:r w:rsidRPr="009E0C9B">
        <w:rPr>
          <w:szCs w:val="20"/>
        </w:rPr>
        <w:t xml:space="preserve"> pojistná smlouva</w:t>
      </w:r>
      <w:r w:rsidR="005E3F28" w:rsidRPr="009E0C9B">
        <w:rPr>
          <w:szCs w:val="20"/>
        </w:rPr>
        <w:t xml:space="preserve"> (ve znění tohoto dodatku)</w:t>
      </w:r>
      <w:r w:rsidRPr="009E0C9B">
        <w:rPr>
          <w:szCs w:val="20"/>
        </w:rPr>
        <w:t xml:space="preserve"> odvolává, tvoří nedílný celek.</w:t>
      </w:r>
    </w:p>
    <w:p w:rsidR="009B22B4" w:rsidRPr="009E0C9B" w:rsidRDefault="00486022" w:rsidP="00FF471C">
      <w:pPr>
        <w:rPr>
          <w:szCs w:val="20"/>
        </w:rPr>
      </w:pPr>
      <w:r w:rsidRPr="009E0C9B">
        <w:rPr>
          <w:szCs w:val="20"/>
        </w:rPr>
        <w:t xml:space="preserve"> </w:t>
      </w:r>
    </w:p>
    <w:p w:rsidR="009B22B4" w:rsidRPr="009E0C9B" w:rsidRDefault="009B22B4" w:rsidP="00FF471C">
      <w:r w:rsidRPr="009E0C9B">
        <w:br w:type="page"/>
      </w:r>
    </w:p>
    <w:p w:rsidR="005E3F28" w:rsidRPr="009E0C9B" w:rsidRDefault="005E3F28" w:rsidP="005E3F28">
      <w:r w:rsidRPr="009E0C9B">
        <w:lastRenderedPageBreak/>
        <w:t xml:space="preserve">S účinností od </w:t>
      </w:r>
      <w:r w:rsidR="00680DCB">
        <w:t>1. 6. 2017</w:t>
      </w:r>
      <w:r w:rsidRPr="009E0C9B">
        <w:t xml:space="preserve"> se výše uvedená pojistná smlouva (včetně výše uvedených údajů o výše uvedených subjektech) mění </w:t>
      </w:r>
      <w:proofErr w:type="gramStart"/>
      <w:r w:rsidRPr="009E0C9B">
        <w:t>takto</w:t>
      </w:r>
      <w:r w:rsidR="00CF24D3" w:rsidRPr="009E0C9B">
        <w:t xml:space="preserve"> </w:t>
      </w:r>
      <w:r w:rsidR="00CF24D3" w:rsidRPr="009E0C9B">
        <w:rPr>
          <w:vertAlign w:val="superscript"/>
        </w:rPr>
        <w:t>*</w:t>
      </w:r>
      <w:r w:rsidR="00CF24D3" w:rsidRPr="009E0C9B">
        <w:t xml:space="preserve"> </w:t>
      </w:r>
      <w:r w:rsidRPr="009E0C9B">
        <w:t>:</w:t>
      </w:r>
      <w:proofErr w:type="gramEnd"/>
    </w:p>
    <w:p w:rsidR="005E3F28" w:rsidRPr="009E0C9B" w:rsidRDefault="00B63FA4" w:rsidP="00B63FA4">
      <w:pPr>
        <w:pStyle w:val="hvzdika"/>
        <w:rPr>
          <w:sz w:val="20"/>
          <w:vertAlign w:val="superscript"/>
        </w:rPr>
      </w:pPr>
      <w:r w:rsidRPr="009E0C9B">
        <w:rPr>
          <w:sz w:val="20"/>
          <w:vertAlign w:val="superscript"/>
        </w:rPr>
        <w:t>*</w:t>
      </w:r>
      <w:r w:rsidR="004137C8" w:rsidRPr="009E0C9B">
        <w:rPr>
          <w:sz w:val="20"/>
          <w:vertAlign w:val="superscript"/>
        </w:rPr>
        <w:t xml:space="preserve"> </w:t>
      </w:r>
      <w:r w:rsidRPr="009E0C9B">
        <w:rPr>
          <w:sz w:val="20"/>
          <w:vertAlign w:val="superscript"/>
        </w:rPr>
        <w:t>pokud se v tomto novém znění používá pojem „tento dodatek“, považuje se za něj tento dodatek</w:t>
      </w:r>
    </w:p>
    <w:p w:rsidR="00B63FA4" w:rsidRPr="009E0C9B" w:rsidRDefault="004137C8" w:rsidP="007107F5">
      <w:pPr>
        <w:pStyle w:val="slovn-Velkpsmena0"/>
        <w:spacing w:before="240"/>
      </w:pPr>
      <w:r w:rsidRPr="009E0C9B">
        <w:t xml:space="preserve">Článek </w:t>
      </w:r>
      <w:r w:rsidRPr="009B2D1B">
        <w:t xml:space="preserve">I. (Úvodní ustanovení) </w:t>
      </w:r>
      <w:r w:rsidR="009B2D1B" w:rsidRPr="009B2D1B">
        <w:t xml:space="preserve">bod </w:t>
      </w:r>
      <w:r w:rsidR="009B2D1B">
        <w:t>2. se doplňuje o následující doložku</w:t>
      </w:r>
      <w:r w:rsidRPr="009E0C9B">
        <w:t>:</w:t>
      </w:r>
    </w:p>
    <w:p w:rsidR="009B2D1B" w:rsidRDefault="009B2D1B" w:rsidP="009B2D1B">
      <w:pPr>
        <w:pStyle w:val="slovn-rove1-netun"/>
        <w:numPr>
          <w:ilvl w:val="0"/>
          <w:numId w:val="0"/>
        </w:numPr>
        <w:ind w:left="425"/>
        <w:rPr>
          <w:szCs w:val="20"/>
        </w:rPr>
      </w:pPr>
      <w:r w:rsidRPr="000969FB">
        <w:rPr>
          <w:b/>
          <w:szCs w:val="20"/>
        </w:rPr>
        <w:t>Odpovědnost za újmu</w:t>
      </w:r>
    </w:p>
    <w:p w:rsidR="00D212AA" w:rsidRPr="009E0C9B" w:rsidRDefault="009B2D1B" w:rsidP="009B2D1B">
      <w:pPr>
        <w:pStyle w:val="slovn-rove1-netun"/>
        <w:numPr>
          <w:ilvl w:val="0"/>
          <w:numId w:val="0"/>
        </w:numPr>
        <w:spacing w:before="0"/>
        <w:ind w:left="425"/>
      </w:pPr>
      <w:r w:rsidRPr="005B0708">
        <w:rPr>
          <w:szCs w:val="20"/>
        </w:rPr>
        <w:t>DODP111 - Čisté finanční škody - k pojištění obecné odpovědnosti za újmu - Rozšíření rozsahu pojištění (1704)</w:t>
      </w:r>
    </w:p>
    <w:p w:rsidR="00B404A3" w:rsidRPr="007107F5" w:rsidRDefault="009B2D1B" w:rsidP="007107F5">
      <w:pPr>
        <w:pStyle w:val="slovn-Velkpsmena0"/>
        <w:spacing w:before="240"/>
      </w:pPr>
      <w:r w:rsidRPr="009B2D1B">
        <w:rPr>
          <w:b/>
          <w:color w:val="FF00FF"/>
          <w:szCs w:val="20"/>
        </w:rPr>
        <w:t xml:space="preserve"> </w:t>
      </w:r>
      <w:r w:rsidR="00B404A3" w:rsidRPr="009E0C9B">
        <w:t xml:space="preserve">V Článku </w:t>
      </w:r>
      <w:r w:rsidR="00B404A3" w:rsidRPr="007107F5">
        <w:t xml:space="preserve">II. (Druhy a způsoby pojištění, předměty a rozsah pojištění) bodě </w:t>
      </w:r>
      <w:r w:rsidR="007107F5" w:rsidRPr="007107F5">
        <w:t>2</w:t>
      </w:r>
      <w:r w:rsidR="00B404A3" w:rsidRPr="007107F5">
        <w:t>.</w:t>
      </w:r>
      <w:r w:rsidR="007107F5" w:rsidRPr="007107F5">
        <w:t xml:space="preserve"> se mění</w:t>
      </w:r>
      <w:r w:rsidR="00B404A3" w:rsidRPr="007107F5">
        <w:t xml:space="preserve"> tabul</w:t>
      </w:r>
      <w:r w:rsidR="007107F5" w:rsidRPr="007107F5">
        <w:t>ka</w:t>
      </w:r>
      <w:r w:rsidR="00B404A3" w:rsidRPr="007107F5">
        <w:t xml:space="preserve"> </w:t>
      </w:r>
      <w:r w:rsidR="007107F5" w:rsidRPr="007107F5">
        <w:t>2</w:t>
      </w:r>
      <w:r w:rsidR="00B404A3" w:rsidRPr="007107F5">
        <w:t>.</w:t>
      </w:r>
      <w:r w:rsidR="007107F5" w:rsidRPr="007107F5">
        <w:t>4</w:t>
      </w:r>
      <w:r w:rsidR="00B404A3" w:rsidRPr="007107F5">
        <w:t>.</w:t>
      </w:r>
      <w:r w:rsidR="007107F5" w:rsidRPr="007107F5">
        <w:t>1</w:t>
      </w:r>
      <w:r w:rsidR="00B404A3" w:rsidRPr="007107F5">
        <w:t xml:space="preserve">. </w:t>
      </w:r>
    </w:p>
    <w:p w:rsidR="009B2D1B" w:rsidRPr="009B2D1B" w:rsidRDefault="009B2D1B" w:rsidP="009B2D1B">
      <w:pPr>
        <w:pStyle w:val="Odstavecseseznamem"/>
        <w:keepNext/>
        <w:numPr>
          <w:ilvl w:val="0"/>
          <w:numId w:val="8"/>
        </w:numPr>
        <w:spacing w:before="120" w:after="120" w:line="240" w:lineRule="auto"/>
        <w:contextualSpacing w:val="0"/>
        <w:rPr>
          <w:rFonts w:ascii="Koop Office" w:hAnsi="Koop Office"/>
          <w:b/>
          <w:vanish/>
          <w:szCs w:val="24"/>
        </w:rPr>
      </w:pPr>
    </w:p>
    <w:p w:rsidR="009B2D1B" w:rsidRPr="009B2D1B" w:rsidRDefault="009B2D1B" w:rsidP="009B2D1B">
      <w:pPr>
        <w:pStyle w:val="Odstavecseseznamem"/>
        <w:keepNext/>
        <w:numPr>
          <w:ilvl w:val="0"/>
          <w:numId w:val="8"/>
        </w:numPr>
        <w:spacing w:before="120" w:after="120" w:line="240" w:lineRule="auto"/>
        <w:contextualSpacing w:val="0"/>
        <w:rPr>
          <w:rFonts w:ascii="Koop Office" w:hAnsi="Koop Office"/>
          <w:b/>
          <w:vanish/>
          <w:szCs w:val="24"/>
        </w:rPr>
      </w:pPr>
    </w:p>
    <w:p w:rsidR="009B2D1B" w:rsidRPr="009B2D1B" w:rsidRDefault="009B2D1B" w:rsidP="009B2D1B">
      <w:pPr>
        <w:pStyle w:val="Odstavecseseznamem"/>
        <w:keepNext/>
        <w:numPr>
          <w:ilvl w:val="1"/>
          <w:numId w:val="8"/>
        </w:numPr>
        <w:tabs>
          <w:tab w:val="left" w:pos="454"/>
        </w:tabs>
        <w:spacing w:before="120" w:after="120" w:line="240" w:lineRule="auto"/>
        <w:contextualSpacing w:val="0"/>
        <w:rPr>
          <w:rFonts w:ascii="Koop Office" w:hAnsi="Koop Office"/>
          <w:b/>
          <w:vanish/>
          <w:szCs w:val="24"/>
        </w:rPr>
      </w:pPr>
    </w:p>
    <w:p w:rsidR="009B2D1B" w:rsidRPr="009B2D1B" w:rsidRDefault="009B2D1B" w:rsidP="009B2D1B">
      <w:pPr>
        <w:pStyle w:val="Odstavecseseznamem"/>
        <w:keepNext/>
        <w:numPr>
          <w:ilvl w:val="1"/>
          <w:numId w:val="8"/>
        </w:numPr>
        <w:tabs>
          <w:tab w:val="left" w:pos="454"/>
        </w:tabs>
        <w:spacing w:before="120" w:after="120" w:line="240" w:lineRule="auto"/>
        <w:contextualSpacing w:val="0"/>
        <w:rPr>
          <w:rFonts w:ascii="Koop Office" w:hAnsi="Koop Office"/>
          <w:b/>
          <w:vanish/>
          <w:szCs w:val="24"/>
        </w:rPr>
      </w:pPr>
    </w:p>
    <w:p w:rsidR="009B2D1B" w:rsidRPr="000969FB" w:rsidRDefault="009B2D1B" w:rsidP="009B2D1B">
      <w:pPr>
        <w:pStyle w:val="slovn-rove2"/>
      </w:pPr>
      <w:r w:rsidRPr="000969FB">
        <w:t>Pojištění odpovědnosti za újmu</w:t>
      </w:r>
    </w:p>
    <w:p w:rsidR="009B2D1B" w:rsidRPr="000969FB" w:rsidRDefault="009B2D1B" w:rsidP="009B2D1B">
      <w:pPr>
        <w:keepLines/>
      </w:pPr>
      <w:r w:rsidRPr="000969FB">
        <w:t>Pojištění se sjednává v rozsahu a za podmínek uvedených v následující tabulce/následujících tabulkách:</w:t>
      </w:r>
    </w:p>
    <w:p w:rsidR="009B2D1B" w:rsidRPr="000969FB" w:rsidRDefault="009B2D1B" w:rsidP="009B2D1B">
      <w:pPr>
        <w:pStyle w:val="slovn-rove3"/>
      </w:pPr>
      <w:r w:rsidRPr="000969FB">
        <w:t>Pojištění odpovědnosti za újmu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1701"/>
        <w:gridCol w:w="1418"/>
        <w:gridCol w:w="1701"/>
      </w:tblGrid>
      <w:tr w:rsidR="009B2D1B" w:rsidRPr="000969FB" w:rsidTr="000E667C">
        <w:tc>
          <w:tcPr>
            <w:tcW w:w="9498" w:type="dxa"/>
            <w:gridSpan w:val="6"/>
          </w:tcPr>
          <w:p w:rsidR="009B2D1B" w:rsidRPr="000969FB" w:rsidRDefault="009B2D1B" w:rsidP="000E667C">
            <w:r w:rsidRPr="000969FB">
              <w:rPr>
                <w:b/>
              </w:rPr>
              <w:t>Pojištění se řídí:</w:t>
            </w:r>
            <w:r w:rsidRPr="000969FB">
              <w:t xml:space="preserve"> VPP P-100/14, ZPP P-600/14 a dolož</w:t>
            </w:r>
            <w:r>
              <w:t>kami DOB101, DODP101, DODP104, DODP109,</w:t>
            </w:r>
            <w:r w:rsidR="00680DCB">
              <w:t xml:space="preserve"> DODP111,</w:t>
            </w:r>
            <w:bookmarkStart w:id="1" w:name="_GoBack"/>
            <w:bookmarkEnd w:id="1"/>
            <w:r>
              <w:t xml:space="preserve"> DODP119</w:t>
            </w:r>
          </w:p>
        </w:tc>
      </w:tr>
      <w:tr w:rsidR="009B2D1B" w:rsidRPr="000969FB" w:rsidTr="000E667C">
        <w:tc>
          <w:tcPr>
            <w:tcW w:w="709" w:type="dxa"/>
            <w:vAlign w:val="center"/>
          </w:tcPr>
          <w:p w:rsidR="009B2D1B" w:rsidRPr="000969FB" w:rsidRDefault="009B2D1B" w:rsidP="000E667C">
            <w:pPr>
              <w:jc w:val="center"/>
              <w:rPr>
                <w:b/>
              </w:rPr>
            </w:pPr>
            <w:proofErr w:type="spellStart"/>
            <w:r w:rsidRPr="000969FB">
              <w:rPr>
                <w:b/>
              </w:rPr>
              <w:t>Poř</w:t>
            </w:r>
            <w:proofErr w:type="spellEnd"/>
            <w:r w:rsidRPr="000969FB">
              <w:rPr>
                <w:b/>
              </w:rPr>
              <w:t>. číslo</w:t>
            </w:r>
          </w:p>
        </w:tc>
        <w:tc>
          <w:tcPr>
            <w:tcW w:w="2268" w:type="dxa"/>
            <w:vAlign w:val="center"/>
          </w:tcPr>
          <w:p w:rsidR="009B2D1B" w:rsidRPr="000969FB" w:rsidRDefault="009B2D1B" w:rsidP="000E667C">
            <w:pPr>
              <w:jc w:val="center"/>
              <w:rPr>
                <w:b/>
              </w:rPr>
            </w:pPr>
            <w:r w:rsidRPr="000969FB">
              <w:rPr>
                <w:b/>
              </w:rPr>
              <w:t>Rozsah pojištění</w:t>
            </w:r>
          </w:p>
        </w:tc>
        <w:tc>
          <w:tcPr>
            <w:tcW w:w="1701" w:type="dxa"/>
            <w:vAlign w:val="center"/>
          </w:tcPr>
          <w:p w:rsidR="009B2D1B" w:rsidRPr="000969FB" w:rsidRDefault="009B2D1B" w:rsidP="000E667C">
            <w:pPr>
              <w:jc w:val="center"/>
              <w:rPr>
                <w:b/>
              </w:rPr>
            </w:pPr>
            <w:r w:rsidRPr="000969FB">
              <w:rPr>
                <w:b/>
              </w:rPr>
              <w:t>Limit pojistného plnění</w:t>
            </w:r>
          </w:p>
        </w:tc>
        <w:tc>
          <w:tcPr>
            <w:tcW w:w="1701" w:type="dxa"/>
            <w:vAlign w:val="center"/>
          </w:tcPr>
          <w:p w:rsidR="009B2D1B" w:rsidRPr="000969FB" w:rsidRDefault="009B2D1B" w:rsidP="000E667C">
            <w:pPr>
              <w:jc w:val="center"/>
              <w:rPr>
                <w:b/>
              </w:rPr>
            </w:pPr>
            <w:proofErr w:type="spellStart"/>
            <w:r w:rsidRPr="000969FB">
              <w:rPr>
                <w:b/>
              </w:rPr>
              <w:t>Sublimit</w:t>
            </w:r>
            <w:proofErr w:type="spellEnd"/>
            <w:r w:rsidRPr="000969FB">
              <w:rPr>
                <w:b/>
              </w:rPr>
              <w:t xml:space="preserve"> pojistného plnění</w:t>
            </w:r>
          </w:p>
        </w:tc>
        <w:tc>
          <w:tcPr>
            <w:tcW w:w="1418" w:type="dxa"/>
            <w:vAlign w:val="center"/>
          </w:tcPr>
          <w:p w:rsidR="009B2D1B" w:rsidRPr="000969FB" w:rsidRDefault="009B2D1B" w:rsidP="000E667C">
            <w:pPr>
              <w:jc w:val="center"/>
              <w:rPr>
                <w:b/>
              </w:rPr>
            </w:pPr>
            <w:r w:rsidRPr="000969FB">
              <w:rPr>
                <w:b/>
              </w:rPr>
              <w:t>Spoluúčast</w:t>
            </w:r>
            <w:r w:rsidRPr="000969FB">
              <w:rPr>
                <w:b/>
                <w:vertAlign w:val="superscript"/>
              </w:rPr>
              <w:t>5)</w:t>
            </w:r>
          </w:p>
        </w:tc>
        <w:tc>
          <w:tcPr>
            <w:tcW w:w="1701" w:type="dxa"/>
            <w:vAlign w:val="center"/>
          </w:tcPr>
          <w:p w:rsidR="009B2D1B" w:rsidRPr="000969FB" w:rsidRDefault="009B2D1B" w:rsidP="000E667C">
            <w:pPr>
              <w:jc w:val="center"/>
              <w:rPr>
                <w:b/>
              </w:rPr>
            </w:pPr>
            <w:r w:rsidRPr="000969FB">
              <w:rPr>
                <w:b/>
              </w:rPr>
              <w:t>Územní platnost pojištění</w:t>
            </w:r>
          </w:p>
        </w:tc>
      </w:tr>
      <w:tr w:rsidR="009B2D1B" w:rsidRPr="000969FB" w:rsidTr="000E667C">
        <w:tc>
          <w:tcPr>
            <w:tcW w:w="709" w:type="dxa"/>
            <w:vAlign w:val="center"/>
          </w:tcPr>
          <w:p w:rsidR="009B2D1B" w:rsidRPr="00793522" w:rsidRDefault="009B2D1B" w:rsidP="000E667C">
            <w:pPr>
              <w:rPr>
                <w:szCs w:val="20"/>
              </w:rPr>
            </w:pPr>
            <w:r w:rsidRPr="00793522">
              <w:rPr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:rsidR="009B2D1B" w:rsidRPr="00793522" w:rsidRDefault="009B2D1B" w:rsidP="000E667C">
            <w:pPr>
              <w:jc w:val="left"/>
              <w:rPr>
                <w:szCs w:val="20"/>
              </w:rPr>
            </w:pPr>
            <w:r w:rsidRPr="006368D9">
              <w:rPr>
                <w:rFonts w:cs="Arial"/>
                <w:bCs/>
              </w:rPr>
              <w:t xml:space="preserve">Pojištění obecné odpovědnosti za </w:t>
            </w:r>
            <w:r>
              <w:rPr>
                <w:rFonts w:cs="Arial"/>
                <w:bCs/>
              </w:rPr>
              <w:t>újmu DODP101</w:t>
            </w:r>
          </w:p>
        </w:tc>
        <w:tc>
          <w:tcPr>
            <w:tcW w:w="1701" w:type="dxa"/>
            <w:vAlign w:val="center"/>
          </w:tcPr>
          <w:p w:rsidR="009B2D1B" w:rsidRPr="000969FB" w:rsidRDefault="009B2D1B" w:rsidP="000E667C">
            <w:pPr>
              <w:jc w:val="left"/>
            </w:pPr>
            <w:r w:rsidRPr="000969FB">
              <w:t xml:space="preserve"> </w:t>
            </w:r>
            <w:r>
              <w:t>5 000 000 Kč</w:t>
            </w:r>
          </w:p>
        </w:tc>
        <w:tc>
          <w:tcPr>
            <w:tcW w:w="1701" w:type="dxa"/>
            <w:vAlign w:val="center"/>
          </w:tcPr>
          <w:p w:rsidR="009B2D1B" w:rsidRPr="000969FB" w:rsidRDefault="009B2D1B" w:rsidP="000E667C">
            <w:pPr>
              <w:jc w:val="left"/>
            </w:pPr>
            <w:r w:rsidRPr="004E3ABB">
              <w:rPr>
                <w:rFonts w:cs="Arial"/>
                <w:szCs w:val="20"/>
              </w:rPr>
              <w:t>nesjednává se</w:t>
            </w:r>
          </w:p>
        </w:tc>
        <w:tc>
          <w:tcPr>
            <w:tcW w:w="1418" w:type="dxa"/>
            <w:vAlign w:val="center"/>
          </w:tcPr>
          <w:p w:rsidR="009B2D1B" w:rsidRPr="000969FB" w:rsidRDefault="009B2D1B" w:rsidP="000E667C">
            <w:pPr>
              <w:jc w:val="left"/>
            </w:pPr>
            <w:r>
              <w:t>3 000 Kč</w:t>
            </w:r>
          </w:p>
        </w:tc>
        <w:tc>
          <w:tcPr>
            <w:tcW w:w="1701" w:type="dxa"/>
            <w:vAlign w:val="center"/>
          </w:tcPr>
          <w:p w:rsidR="009B2D1B" w:rsidRPr="000969FB" w:rsidRDefault="009B2D1B" w:rsidP="000E667C">
            <w:pPr>
              <w:jc w:val="left"/>
            </w:pPr>
            <w:r>
              <w:t>Česká republika</w:t>
            </w:r>
          </w:p>
        </w:tc>
      </w:tr>
      <w:tr w:rsidR="009B2D1B" w:rsidRPr="000969FB" w:rsidTr="000E667C">
        <w:tc>
          <w:tcPr>
            <w:tcW w:w="709" w:type="dxa"/>
            <w:vAlign w:val="center"/>
          </w:tcPr>
          <w:p w:rsidR="009B2D1B" w:rsidRPr="00793522" w:rsidRDefault="009B2D1B" w:rsidP="000E667C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793522">
              <w:rPr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9B2D1B" w:rsidRPr="00793522" w:rsidRDefault="009B2D1B" w:rsidP="000E667C">
            <w:pPr>
              <w:jc w:val="left"/>
              <w:rPr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Cizí věci užívané DODP104, </w:t>
            </w:r>
            <w:r w:rsidRPr="000969FB">
              <w:rPr>
                <w:szCs w:val="20"/>
              </w:rPr>
              <w:t>Cizí věci převzaté včetně provozu motorových vozidel</w:t>
            </w:r>
            <w:r>
              <w:rPr>
                <w:szCs w:val="20"/>
              </w:rPr>
              <w:t xml:space="preserve"> DODP119</w:t>
            </w:r>
          </w:p>
        </w:tc>
        <w:tc>
          <w:tcPr>
            <w:tcW w:w="1701" w:type="dxa"/>
            <w:vAlign w:val="center"/>
          </w:tcPr>
          <w:p w:rsidR="009B2D1B" w:rsidRPr="000969FB" w:rsidRDefault="009B2D1B" w:rsidP="000E667C">
            <w:pPr>
              <w:jc w:val="left"/>
            </w:pPr>
            <w:r w:rsidRPr="004E3ABB">
              <w:rPr>
                <w:rFonts w:cs="Arial"/>
                <w:szCs w:val="20"/>
              </w:rPr>
              <w:t>nesjednává se</w:t>
            </w:r>
          </w:p>
        </w:tc>
        <w:tc>
          <w:tcPr>
            <w:tcW w:w="1701" w:type="dxa"/>
            <w:vAlign w:val="center"/>
          </w:tcPr>
          <w:p w:rsidR="009B2D1B" w:rsidRPr="000969FB" w:rsidRDefault="009B2D1B" w:rsidP="000E667C">
            <w:pPr>
              <w:jc w:val="left"/>
            </w:pPr>
            <w:r>
              <w:t>3 000 000 Kč</w:t>
            </w:r>
          </w:p>
        </w:tc>
        <w:tc>
          <w:tcPr>
            <w:tcW w:w="1418" w:type="dxa"/>
            <w:vAlign w:val="center"/>
          </w:tcPr>
          <w:p w:rsidR="009B2D1B" w:rsidRPr="000969FB" w:rsidRDefault="009B2D1B" w:rsidP="000E667C">
            <w:pPr>
              <w:jc w:val="left"/>
            </w:pPr>
            <w:r>
              <w:t>3 000 Kč</w:t>
            </w:r>
          </w:p>
        </w:tc>
        <w:tc>
          <w:tcPr>
            <w:tcW w:w="1701" w:type="dxa"/>
            <w:vAlign w:val="center"/>
          </w:tcPr>
          <w:p w:rsidR="009B2D1B" w:rsidRPr="000969FB" w:rsidRDefault="009B2D1B" w:rsidP="000E667C">
            <w:pPr>
              <w:jc w:val="left"/>
            </w:pPr>
            <w:r>
              <w:t>Česká republika</w:t>
            </w:r>
          </w:p>
        </w:tc>
      </w:tr>
      <w:tr w:rsidR="009B2D1B" w:rsidRPr="000969FB" w:rsidTr="000E667C">
        <w:tc>
          <w:tcPr>
            <w:tcW w:w="709" w:type="dxa"/>
            <w:vAlign w:val="center"/>
          </w:tcPr>
          <w:p w:rsidR="009B2D1B" w:rsidRDefault="009B2D1B" w:rsidP="000E667C">
            <w:pPr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2268" w:type="dxa"/>
            <w:vAlign w:val="center"/>
          </w:tcPr>
          <w:p w:rsidR="009B2D1B" w:rsidRPr="006368D9" w:rsidRDefault="009B2D1B" w:rsidP="000E667C">
            <w:pPr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Provoz pracovních strojů DODP109</w:t>
            </w:r>
          </w:p>
        </w:tc>
        <w:tc>
          <w:tcPr>
            <w:tcW w:w="1701" w:type="dxa"/>
            <w:vAlign w:val="center"/>
          </w:tcPr>
          <w:p w:rsidR="009B2D1B" w:rsidRPr="000969FB" w:rsidRDefault="009B2D1B" w:rsidP="000E667C">
            <w:pPr>
              <w:jc w:val="left"/>
            </w:pPr>
            <w:r w:rsidRPr="004E3ABB">
              <w:rPr>
                <w:rFonts w:cs="Arial"/>
                <w:szCs w:val="20"/>
              </w:rPr>
              <w:t>nesjednává se</w:t>
            </w:r>
          </w:p>
        </w:tc>
        <w:tc>
          <w:tcPr>
            <w:tcW w:w="1701" w:type="dxa"/>
            <w:vAlign w:val="center"/>
          </w:tcPr>
          <w:p w:rsidR="009B2D1B" w:rsidRPr="000969FB" w:rsidRDefault="009B2D1B" w:rsidP="000E667C">
            <w:pPr>
              <w:jc w:val="left"/>
            </w:pPr>
            <w:r>
              <w:t>500 000 Kč</w:t>
            </w:r>
          </w:p>
        </w:tc>
        <w:tc>
          <w:tcPr>
            <w:tcW w:w="1418" w:type="dxa"/>
            <w:vAlign w:val="center"/>
          </w:tcPr>
          <w:p w:rsidR="009B2D1B" w:rsidRPr="000969FB" w:rsidRDefault="009B2D1B" w:rsidP="000E667C">
            <w:pPr>
              <w:jc w:val="left"/>
            </w:pPr>
            <w:r>
              <w:t>3 000 Kč</w:t>
            </w:r>
          </w:p>
        </w:tc>
        <w:tc>
          <w:tcPr>
            <w:tcW w:w="1701" w:type="dxa"/>
            <w:vAlign w:val="center"/>
          </w:tcPr>
          <w:p w:rsidR="009B2D1B" w:rsidRPr="000969FB" w:rsidRDefault="009B2D1B" w:rsidP="000E667C">
            <w:pPr>
              <w:jc w:val="left"/>
            </w:pPr>
            <w:r>
              <w:t>Česká republika</w:t>
            </w:r>
          </w:p>
        </w:tc>
      </w:tr>
      <w:tr w:rsidR="009B2D1B" w:rsidRPr="000969FB" w:rsidTr="000E667C">
        <w:tc>
          <w:tcPr>
            <w:tcW w:w="709" w:type="dxa"/>
            <w:vAlign w:val="center"/>
          </w:tcPr>
          <w:p w:rsidR="009B2D1B" w:rsidRDefault="009B2D1B" w:rsidP="000E667C">
            <w:pPr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2268" w:type="dxa"/>
            <w:vAlign w:val="center"/>
          </w:tcPr>
          <w:p w:rsidR="009B2D1B" w:rsidRPr="00680DCB" w:rsidRDefault="009B2D1B" w:rsidP="000E667C">
            <w:pPr>
              <w:jc w:val="left"/>
              <w:rPr>
                <w:rFonts w:cs="Arial"/>
                <w:bCs/>
                <w:szCs w:val="20"/>
              </w:rPr>
            </w:pPr>
            <w:r w:rsidRPr="00680DCB">
              <w:rPr>
                <w:szCs w:val="20"/>
              </w:rPr>
              <w:t>Čisté finanční škody - k pojištění obecné odpovědnosti za újmu DODP111</w:t>
            </w:r>
          </w:p>
        </w:tc>
        <w:tc>
          <w:tcPr>
            <w:tcW w:w="1701" w:type="dxa"/>
            <w:vAlign w:val="center"/>
          </w:tcPr>
          <w:p w:rsidR="009B2D1B" w:rsidRPr="00680DCB" w:rsidRDefault="009B2D1B" w:rsidP="000E667C">
            <w:pPr>
              <w:jc w:val="left"/>
            </w:pPr>
            <w:r w:rsidRPr="00680DCB">
              <w:rPr>
                <w:rFonts w:cs="Arial"/>
                <w:szCs w:val="20"/>
              </w:rPr>
              <w:t>nesjednává se</w:t>
            </w:r>
          </w:p>
        </w:tc>
        <w:tc>
          <w:tcPr>
            <w:tcW w:w="1701" w:type="dxa"/>
            <w:vAlign w:val="center"/>
          </w:tcPr>
          <w:p w:rsidR="00F40817" w:rsidRPr="00680DCB" w:rsidRDefault="00F40817" w:rsidP="009B2D1B">
            <w:pPr>
              <w:jc w:val="left"/>
            </w:pPr>
            <w:r w:rsidRPr="00680DCB">
              <w:t xml:space="preserve">3 000 000 Kč </w:t>
            </w:r>
          </w:p>
        </w:tc>
        <w:tc>
          <w:tcPr>
            <w:tcW w:w="1418" w:type="dxa"/>
            <w:vAlign w:val="center"/>
          </w:tcPr>
          <w:p w:rsidR="009B2D1B" w:rsidRPr="00680DCB" w:rsidRDefault="00C07036" w:rsidP="000E667C">
            <w:pPr>
              <w:jc w:val="left"/>
            </w:pPr>
            <w:r w:rsidRPr="00680DCB">
              <w:t>5</w:t>
            </w:r>
            <w:r w:rsidR="009B2D1B" w:rsidRPr="00680DCB">
              <w:t> 000 Kč</w:t>
            </w:r>
          </w:p>
        </w:tc>
        <w:tc>
          <w:tcPr>
            <w:tcW w:w="1701" w:type="dxa"/>
            <w:vAlign w:val="center"/>
          </w:tcPr>
          <w:p w:rsidR="009B2D1B" w:rsidRPr="000969FB" w:rsidRDefault="009B2D1B" w:rsidP="000E667C">
            <w:pPr>
              <w:jc w:val="left"/>
            </w:pPr>
            <w:r>
              <w:t>Česká republika</w:t>
            </w:r>
          </w:p>
        </w:tc>
      </w:tr>
      <w:tr w:rsidR="009B2D1B" w:rsidRPr="000969FB" w:rsidTr="000E667C">
        <w:tc>
          <w:tcPr>
            <w:tcW w:w="9498" w:type="dxa"/>
            <w:gridSpan w:val="6"/>
          </w:tcPr>
          <w:p w:rsidR="009B2D1B" w:rsidRDefault="009B2D1B" w:rsidP="000E667C">
            <w:r w:rsidRPr="000969FB">
              <w:t>Poznámky:</w:t>
            </w:r>
          </w:p>
          <w:p w:rsidR="009B2D1B" w:rsidRPr="009F5E39" w:rsidRDefault="009B2D1B" w:rsidP="000E667C">
            <w:pPr>
              <w:keepNext/>
              <w:rPr>
                <w:b/>
                <w:color w:val="FF00FF"/>
                <w:szCs w:val="20"/>
              </w:rPr>
            </w:pPr>
            <w:r w:rsidRPr="009F5E39">
              <w:rPr>
                <w:szCs w:val="20"/>
              </w:rPr>
              <w:t>Pojistitel poskytne pojistné plnění za podmínek a v rozsahu pojištění účinných v okamžiku, kdy nastala příčina vzniku újmy; tím nejsou dotčena ujednání uvedená v čl. 5 ZPP P-600/14.</w:t>
            </w:r>
          </w:p>
          <w:p w:rsidR="009B2D1B" w:rsidRPr="009F5E39" w:rsidRDefault="009B2D1B" w:rsidP="000E667C">
            <w:pPr>
              <w:rPr>
                <w:b/>
                <w:color w:val="FF00FF"/>
                <w:szCs w:val="20"/>
              </w:rPr>
            </w:pPr>
          </w:p>
          <w:p w:rsidR="009B2D1B" w:rsidRPr="009F5E39" w:rsidRDefault="009B2D1B" w:rsidP="000E667C">
            <w:pPr>
              <w:spacing w:after="200"/>
              <w:ind w:left="34"/>
              <w:rPr>
                <w:szCs w:val="20"/>
              </w:rPr>
            </w:pPr>
            <w:r w:rsidRPr="009F5E39">
              <w:rPr>
                <w:szCs w:val="20"/>
              </w:rPr>
              <w:t>Odchylně od čl. 8 odst. 1) věty druhé ZPP P-600/14 poskytne pojistitel na úhradu všech takových pojistných událostí, jejichž příčiny vzniku újem nastaly během jednoho pojistného roku, pojistné plnění v souhrnu maximálně do výše limitu pojistného plnění účinného v tom pojistném roce, kdy nastaly příčiny vzniku újem všech těchto pojistných událostí.</w:t>
            </w:r>
          </w:p>
          <w:p w:rsidR="009B2D1B" w:rsidRPr="004E3ABB" w:rsidRDefault="009B2D1B" w:rsidP="000E667C">
            <w:pPr>
              <w:spacing w:after="200"/>
              <w:ind w:left="34"/>
              <w:rPr>
                <w:szCs w:val="20"/>
              </w:rPr>
            </w:pPr>
            <w:r w:rsidRPr="009F5E39">
              <w:rPr>
                <w:szCs w:val="20"/>
              </w:rPr>
              <w:t xml:space="preserve">Odchylně od čl. 8 odst. 2) věty třetí ZPP P-600/14 poskytne pojistitel na úhradu všech takových pojistných událostí nastalých ze specifického rozsahu pojištění, jejichž příčiny vzniku újem nastaly během jednoho pojistného roku, pojistné plnění v souhrnu maximálně do výše příslušného </w:t>
            </w:r>
            <w:proofErr w:type="spellStart"/>
            <w:r w:rsidRPr="009F5E39">
              <w:rPr>
                <w:szCs w:val="20"/>
              </w:rPr>
              <w:t>sublimitu</w:t>
            </w:r>
            <w:proofErr w:type="spellEnd"/>
            <w:r w:rsidRPr="009F5E39">
              <w:rPr>
                <w:szCs w:val="20"/>
              </w:rPr>
              <w:t xml:space="preserve"> účinného v tom pojistném roce, kdy nastaly příčiny vzniku újem vš</w:t>
            </w:r>
            <w:r>
              <w:rPr>
                <w:szCs w:val="20"/>
              </w:rPr>
              <w:t>ech těchto pojistných událostí.</w:t>
            </w:r>
          </w:p>
        </w:tc>
      </w:tr>
    </w:tbl>
    <w:p w:rsidR="009B2D1B" w:rsidRPr="000969FB" w:rsidRDefault="009B2D1B" w:rsidP="009B2D1B"/>
    <w:p w:rsidR="009B2D1B" w:rsidRPr="000969FB" w:rsidRDefault="009B2D1B" w:rsidP="009B2D1B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1)</w:t>
      </w:r>
      <w:r w:rsidRPr="000969FB">
        <w:rPr>
          <w:sz w:val="18"/>
          <w:szCs w:val="18"/>
        </w:rPr>
        <w:tab/>
        <w:t>nová cena je vyjádření pojistné hodnoty ve smyslu ustanovení čl. 21 odst. 2) písm. a) VPP P-100/14</w:t>
      </w:r>
    </w:p>
    <w:p w:rsidR="009B2D1B" w:rsidRPr="000969FB" w:rsidRDefault="009B2D1B" w:rsidP="009B2D1B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sz w:val="18"/>
          <w:szCs w:val="18"/>
        </w:rPr>
        <w:tab/>
        <w:t>časová cena je vyjádření pojistné hodnoty věci ve smyslu ustanovení čl. 21 odst. 2) písm. b) VPP P-100/14</w:t>
      </w:r>
    </w:p>
    <w:p w:rsidR="009B2D1B" w:rsidRPr="000969FB" w:rsidRDefault="009B2D1B" w:rsidP="009B2D1B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sz w:val="18"/>
          <w:szCs w:val="18"/>
        </w:rPr>
        <w:tab/>
        <w:t>obvyklá cena je vyjádření pojistné hodnoty věci ve smyslu ustanovení čl. 21 odst. 2) písm. c) VPP P-100/14</w:t>
      </w:r>
    </w:p>
    <w:p w:rsidR="009B2D1B" w:rsidRPr="000969FB" w:rsidRDefault="009B2D1B" w:rsidP="009B2D1B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sz w:val="18"/>
          <w:szCs w:val="18"/>
        </w:rPr>
        <w:tab/>
        <w:t>jiná cena je vyjádření pojistné hodnoty věci ve smyslu čl. V. Zvláštní ujednání této pojistné smlouvy</w:t>
      </w:r>
    </w:p>
    <w:p w:rsidR="009B2D1B" w:rsidRPr="000969FB" w:rsidRDefault="009B2D1B" w:rsidP="009B2D1B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2)</w:t>
      </w:r>
      <w:r w:rsidRPr="000969FB">
        <w:rPr>
          <w:sz w:val="18"/>
          <w:szCs w:val="18"/>
        </w:rPr>
        <w:tab/>
        <w:t>první riziko ve smyslu ustanovení čl. 23 odst. 1) písm. a) VPP P-100/14</w:t>
      </w:r>
    </w:p>
    <w:p w:rsidR="009B2D1B" w:rsidRPr="000969FB" w:rsidRDefault="009B2D1B" w:rsidP="009B2D1B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3)</w:t>
      </w:r>
      <w:r w:rsidRPr="000969FB">
        <w:rPr>
          <w:sz w:val="18"/>
          <w:szCs w:val="18"/>
        </w:rPr>
        <w:tab/>
        <w:t>MRLP je horní hranicí pojistného plnění v souhrnu ze všech pojistných událostí vzniklých v jednom pojistném roce. Je-li pojištění sjednáno na dobu kratší než jeden pojistný rok je MRLP horní hranicí pojistného plnění v souhrnu ze všech pojistných událostí vzn</w:t>
      </w:r>
      <w:r>
        <w:rPr>
          <w:sz w:val="18"/>
          <w:szCs w:val="18"/>
        </w:rPr>
        <w:t>iklých za dobu trvání pojištění</w:t>
      </w:r>
    </w:p>
    <w:p w:rsidR="009B2D1B" w:rsidRPr="000969FB" w:rsidRDefault="009B2D1B" w:rsidP="009B2D1B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4)</w:t>
      </w:r>
      <w:r w:rsidRPr="000969FB">
        <w:rPr>
          <w:sz w:val="18"/>
          <w:szCs w:val="18"/>
        </w:rPr>
        <w:tab/>
        <w:t>zlomkové pojištění ve smyslu čl. 23 odst. 1) písm. b) VPP P-100/14</w:t>
      </w:r>
    </w:p>
    <w:p w:rsidR="009B2D1B" w:rsidRPr="000969FB" w:rsidRDefault="009B2D1B" w:rsidP="009B2D1B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lastRenderedPageBreak/>
        <w:t>5)</w:t>
      </w:r>
      <w:r w:rsidRPr="000969FB">
        <w:rPr>
          <w:sz w:val="18"/>
          <w:szCs w:val="18"/>
        </w:rPr>
        <w:tab/>
        <w:t>spoluúčast může být vyjádřena pevnou částkou, procentem, časovým úsekem nebo jejich kombinací ve smyslu čl. 11 odst. 4) VPP P-100/14</w:t>
      </w:r>
    </w:p>
    <w:p w:rsidR="009B2D1B" w:rsidRPr="000969FB" w:rsidRDefault="009B2D1B" w:rsidP="009B2D1B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6)</w:t>
      </w:r>
      <w:r w:rsidRPr="000969FB">
        <w:rPr>
          <w:sz w:val="18"/>
          <w:szCs w:val="18"/>
        </w:rPr>
        <w:tab/>
        <w:t>odchylně od čl. 8 odst. 1) věta druhá ZPP P-600/14 poskytne pojistitel na úhradu všech pojistných událostí nastalých během jednoho pojistného roku pojistné plnění v souhrnu maximálně do výše limitu pojistného plnění</w:t>
      </w:r>
    </w:p>
    <w:p w:rsidR="009B2D1B" w:rsidRPr="000969FB" w:rsidRDefault="009B2D1B" w:rsidP="009B2D1B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7)</w:t>
      </w:r>
      <w:r w:rsidRPr="000969FB">
        <w:rPr>
          <w:sz w:val="18"/>
          <w:szCs w:val="18"/>
        </w:rPr>
        <w:tab/>
        <w:t xml:space="preserve">odchylně od čl. 8 odst. 2) věta třetí ZPP P-600/14 poskytne pojistitel na úhradu všech pojistných událostí nastalých během jednoho pojistného roku pojistné plnění v souhrnu maximálně do výše </w:t>
      </w:r>
      <w:proofErr w:type="spellStart"/>
      <w:r w:rsidRPr="000969FB">
        <w:rPr>
          <w:sz w:val="18"/>
          <w:szCs w:val="18"/>
        </w:rPr>
        <w:t>sublimitu</w:t>
      </w:r>
      <w:proofErr w:type="spellEnd"/>
      <w:r w:rsidRPr="000969FB">
        <w:rPr>
          <w:sz w:val="18"/>
          <w:szCs w:val="18"/>
        </w:rPr>
        <w:t xml:space="preserve"> pojistného plnění</w:t>
      </w:r>
    </w:p>
    <w:p w:rsidR="009B2D1B" w:rsidRPr="000969FB" w:rsidRDefault="009B2D1B" w:rsidP="009B2D1B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8)</w:t>
      </w:r>
      <w:r w:rsidRPr="000969FB">
        <w:rPr>
          <w:sz w:val="18"/>
          <w:szCs w:val="18"/>
        </w:rPr>
        <w:tab/>
        <w:t xml:space="preserve">dobou ručení se rozumí doba ve smyslu čl. 11 odst. 5) ZPP P-400/14  </w:t>
      </w:r>
    </w:p>
    <w:p w:rsidR="009B2D1B" w:rsidRPr="000969FB" w:rsidRDefault="009B2D1B" w:rsidP="009B2D1B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9)</w:t>
      </w:r>
      <w:r w:rsidRPr="000969FB">
        <w:rPr>
          <w:sz w:val="18"/>
          <w:szCs w:val="18"/>
        </w:rPr>
        <w:tab/>
        <w:t>integrální časová franšíza je časový úsek specifikovaný několika pracovními dny. Právo na pojistné plnění vzniká jen tehdy, je-li přerušení nebo omezení provozu pojištěného delší než tento počet pracovních dní. Je-li však přerušení nebo omezení provozu pojištěného delší než tento počet pracovních dní, nemá integrální časová franšíza</w:t>
      </w:r>
      <w:r>
        <w:rPr>
          <w:sz w:val="18"/>
          <w:szCs w:val="18"/>
        </w:rPr>
        <w:t xml:space="preserve"> vliv na výši pojistného plnění</w:t>
      </w:r>
    </w:p>
    <w:p w:rsidR="009B2D1B" w:rsidRPr="000969FB" w:rsidRDefault="009B2D1B" w:rsidP="009B2D1B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10)</w:t>
      </w:r>
      <w:r w:rsidRPr="000969FB">
        <w:rPr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:rsidR="009B2D1B" w:rsidRPr="000969FB" w:rsidRDefault="009B2D1B" w:rsidP="009B2D1B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11)</w:t>
      </w:r>
      <w:r w:rsidRPr="000969FB">
        <w:rPr>
          <w:sz w:val="18"/>
          <w:szCs w:val="18"/>
        </w:rPr>
        <w:tab/>
        <w:t>MRLPPR je horní hranicí plnění pojistitele v souhrnu ze všech pojistných událostí, u nichž věcná škoda, která byla důvodem jejich vzniku, nastala během jednoho pojistného roku. Je-li pojištění přerušení provozu sjednáno na dobu kratší než jeden pojistný rok, je MRLPPR horní hranicí plnění pojistitele v souhrnu ze všech pojistných událostí, u nichž věcná škoda, která byla důvodem jejich vzniku, nastala během doby trvání pojištění. Není-li sjednán limit plnění pojistitele pro jednu pojistnou událost, považuje se sjednaný MRLPPR i za limit plnění pojistite</w:t>
      </w:r>
      <w:r>
        <w:rPr>
          <w:sz w:val="18"/>
          <w:szCs w:val="18"/>
        </w:rPr>
        <w:t>le pro jednu pojistnou událost</w:t>
      </w:r>
    </w:p>
    <w:p w:rsidR="009B2D1B" w:rsidRDefault="009B2D1B" w:rsidP="009B2D1B">
      <w:pPr>
        <w:tabs>
          <w:tab w:val="left" w:pos="227"/>
        </w:tabs>
        <w:ind w:left="227" w:hanging="227"/>
        <w:rPr>
          <w:sz w:val="18"/>
          <w:szCs w:val="18"/>
        </w:rPr>
      </w:pPr>
      <w:r w:rsidRPr="000969FB">
        <w:rPr>
          <w:b/>
          <w:sz w:val="18"/>
          <w:szCs w:val="18"/>
          <w:vertAlign w:val="superscript"/>
        </w:rPr>
        <w:t>12)</w:t>
      </w:r>
      <w:r w:rsidRPr="000969FB">
        <w:rPr>
          <w:sz w:val="18"/>
          <w:szCs w:val="18"/>
        </w:rPr>
        <w:tab/>
        <w:t>MRLPPR v rámci pojistné částky stanovené ve smyslu ustanovení čl. 23 odst. 1) písm. c) VPP P-100/14 a sjednané pro ušlý zisk a stálé náklady pojištěného v příslušné tabulce pojištění pro případ přerušení nebo omezení provozu</w:t>
      </w:r>
    </w:p>
    <w:p w:rsidR="009B2D1B" w:rsidRPr="009E0C9B" w:rsidRDefault="009B2D1B" w:rsidP="009B2D1B">
      <w:pPr>
        <w:pStyle w:val="slovn-Velkpsmena0"/>
        <w:numPr>
          <w:ilvl w:val="0"/>
          <w:numId w:val="0"/>
        </w:numPr>
        <w:tabs>
          <w:tab w:val="left" w:pos="284"/>
        </w:tabs>
        <w:spacing w:before="0"/>
      </w:pPr>
      <w:r>
        <w:rPr>
          <w:b/>
          <w:sz w:val="18"/>
          <w:szCs w:val="18"/>
          <w:vertAlign w:val="superscript"/>
        </w:rPr>
        <w:t>13)</w:t>
      </w:r>
      <w:r>
        <w:rPr>
          <w:b/>
          <w:sz w:val="18"/>
          <w:szCs w:val="18"/>
          <w:vertAlign w:val="superscript"/>
        </w:rPr>
        <w:tab/>
      </w:r>
      <w:r w:rsidRPr="00C93528">
        <w:rPr>
          <w:sz w:val="18"/>
          <w:szCs w:val="18"/>
        </w:rPr>
        <w:t>dobou ručení se rozumí doba ve smyslu čl. 14 odst. 2) DPP P-330/16</w:t>
      </w:r>
    </w:p>
    <w:p w:rsidR="00B404A3" w:rsidRPr="009E0C9B" w:rsidRDefault="00B404A3" w:rsidP="000A4701">
      <w:pPr>
        <w:pStyle w:val="slovn-Velkpsmena0"/>
        <w:spacing w:after="0"/>
        <w:rPr>
          <w:b/>
        </w:rPr>
      </w:pPr>
      <w:r w:rsidRPr="009E0C9B">
        <w:t>Článek III. (Výše a způsob placení pojistného) se doplňuje o níže uvedený předpis pojistného:</w:t>
      </w:r>
    </w:p>
    <w:p w:rsidR="00726BE5" w:rsidRDefault="00726BE5" w:rsidP="000A4701">
      <w:pPr>
        <w:rPr>
          <w:b/>
          <w:i/>
          <w:color w:val="1BC404"/>
        </w:rPr>
      </w:pPr>
    </w:p>
    <w:p w:rsidR="00842CC1" w:rsidRPr="00842CC1" w:rsidRDefault="00842CC1" w:rsidP="00842CC1">
      <w:pPr>
        <w:keepNext/>
        <w:numPr>
          <w:ilvl w:val="1"/>
          <w:numId w:val="0"/>
        </w:numPr>
        <w:tabs>
          <w:tab w:val="num" w:pos="425"/>
          <w:tab w:val="left" w:pos="454"/>
        </w:tabs>
        <w:ind w:left="425" w:hanging="425"/>
        <w:rPr>
          <w:b/>
        </w:rPr>
      </w:pPr>
      <w:r w:rsidRPr="00842CC1">
        <w:rPr>
          <w:b/>
        </w:rPr>
        <w:t>Pojištění odpovědnosti za újmu</w:t>
      </w:r>
    </w:p>
    <w:p w:rsidR="00842CC1" w:rsidRPr="00842CC1" w:rsidRDefault="00842CC1" w:rsidP="00842CC1">
      <w:pPr>
        <w:tabs>
          <w:tab w:val="left" w:pos="426"/>
          <w:tab w:val="right" w:leader="dot" w:pos="9638"/>
        </w:tabs>
      </w:pPr>
      <w:r w:rsidRPr="00842CC1">
        <w:tab/>
      </w:r>
      <w:r>
        <w:t>Roční p</w:t>
      </w:r>
      <w:r w:rsidRPr="00842CC1">
        <w:t>ojistné</w:t>
      </w:r>
      <w:r>
        <w:t xml:space="preserve"> za tento dodatek</w:t>
      </w:r>
      <w:r w:rsidRPr="00842CC1">
        <w:t xml:space="preserve"> </w:t>
      </w:r>
      <w:r w:rsidRPr="00842CC1">
        <w:tab/>
        <w:t xml:space="preserve"> </w:t>
      </w:r>
      <w:r w:rsidR="00F40817">
        <w:t>15 000 Kč</w:t>
      </w:r>
    </w:p>
    <w:p w:rsidR="00842CC1" w:rsidRPr="00842CC1" w:rsidRDefault="00842CC1" w:rsidP="00842CC1">
      <w:pPr>
        <w:tabs>
          <w:tab w:val="right" w:leader="dot" w:pos="9638"/>
        </w:tabs>
        <w:spacing w:before="120" w:after="120"/>
        <w:rPr>
          <w:b/>
        </w:rPr>
      </w:pPr>
      <w:r w:rsidRPr="00842CC1">
        <w:rPr>
          <w:b/>
        </w:rPr>
        <w:t xml:space="preserve">Roční pojistné za tento dodatek činí </w:t>
      </w:r>
      <w:r w:rsidRPr="00842CC1">
        <w:rPr>
          <w:b/>
        </w:rPr>
        <w:tab/>
        <w:t xml:space="preserve"> </w:t>
      </w:r>
      <w:r w:rsidR="00F40817">
        <w:rPr>
          <w:b/>
        </w:rPr>
        <w:t>15 000 Kč</w:t>
      </w:r>
    </w:p>
    <w:p w:rsidR="00842CC1" w:rsidRPr="00842CC1" w:rsidRDefault="00842CC1" w:rsidP="00842CC1">
      <w:r w:rsidRPr="00842CC1">
        <w:t>Obchodní sleva činí 15%</w:t>
      </w:r>
    </w:p>
    <w:p w:rsidR="00842CC1" w:rsidRPr="00842CC1" w:rsidRDefault="00842CC1" w:rsidP="00842CC1">
      <w:pPr>
        <w:tabs>
          <w:tab w:val="right" w:leader="dot" w:pos="9638"/>
        </w:tabs>
        <w:spacing w:before="120" w:after="120"/>
        <w:rPr>
          <w:b/>
          <w:color w:val="FF00FF"/>
          <w:szCs w:val="20"/>
        </w:rPr>
      </w:pPr>
      <w:r w:rsidRPr="00842CC1">
        <w:rPr>
          <w:b/>
        </w:rPr>
        <w:t>Roční pojistné za tento dodatek</w:t>
      </w:r>
      <w:r>
        <w:rPr>
          <w:b/>
        </w:rPr>
        <w:t xml:space="preserve"> po slevách</w:t>
      </w:r>
      <w:r w:rsidRPr="00842CC1">
        <w:t xml:space="preserve"> </w:t>
      </w:r>
      <w:r w:rsidRPr="00842CC1">
        <w:rPr>
          <w:b/>
        </w:rPr>
        <w:t xml:space="preserve">činí </w:t>
      </w:r>
      <w:r w:rsidRPr="00842CC1">
        <w:rPr>
          <w:b/>
        </w:rPr>
        <w:tab/>
        <w:t xml:space="preserve"> </w:t>
      </w:r>
      <w:r w:rsidR="00F40817">
        <w:rPr>
          <w:b/>
        </w:rPr>
        <w:t>12 750 Kč</w:t>
      </w:r>
      <w:r w:rsidRPr="00842CC1">
        <w:rPr>
          <w:b/>
        </w:rPr>
        <w:t>.</w:t>
      </w:r>
    </w:p>
    <w:p w:rsidR="00726BE5" w:rsidRPr="00680DCB" w:rsidRDefault="00726BE5" w:rsidP="00726BE5">
      <w:pPr>
        <w:keepNext/>
        <w:spacing w:before="120" w:after="60"/>
        <w:jc w:val="left"/>
        <w:outlineLvl w:val="0"/>
        <w:rPr>
          <w:b/>
          <w:kern w:val="32"/>
          <w:position w:val="-4"/>
          <w:szCs w:val="20"/>
          <w:lang w:eastAsia="x-none"/>
        </w:rPr>
      </w:pPr>
      <w:r w:rsidRPr="00680DCB">
        <w:rPr>
          <w:b/>
          <w:kern w:val="32"/>
          <w:szCs w:val="20"/>
          <w:lang w:val="x-none" w:eastAsia="x-none"/>
        </w:rPr>
        <w:t xml:space="preserve">Pojistné za tento dodatek a </w:t>
      </w:r>
      <w:r w:rsidRPr="00680DCB">
        <w:rPr>
          <w:b/>
          <w:bCs/>
          <w:kern w:val="32"/>
          <w:szCs w:val="20"/>
          <w:lang w:val="x-none" w:eastAsia="x-none"/>
        </w:rPr>
        <w:t xml:space="preserve">dobu </w:t>
      </w:r>
      <w:r w:rsidR="00680DCB">
        <w:rPr>
          <w:b/>
          <w:bCs/>
          <w:kern w:val="32"/>
          <w:szCs w:val="20"/>
          <w:lang w:eastAsia="x-none"/>
        </w:rPr>
        <w:t xml:space="preserve">od 1. 6. 2017 </w:t>
      </w:r>
      <w:r w:rsidRPr="00680DCB">
        <w:rPr>
          <w:b/>
          <w:bCs/>
          <w:kern w:val="32"/>
          <w:szCs w:val="20"/>
          <w:lang w:val="x-none" w:eastAsia="x-none"/>
        </w:rPr>
        <w:t xml:space="preserve">do </w:t>
      </w:r>
      <w:r w:rsidR="00680DCB">
        <w:rPr>
          <w:b/>
          <w:bCs/>
          <w:kern w:val="32"/>
          <w:szCs w:val="20"/>
          <w:lang w:eastAsia="x-none"/>
        </w:rPr>
        <w:t>30. 4. 2018</w:t>
      </w:r>
      <w:r w:rsidRPr="00680DCB">
        <w:rPr>
          <w:b/>
          <w:bCs/>
          <w:kern w:val="32"/>
          <w:szCs w:val="20"/>
          <w:lang w:val="x-none" w:eastAsia="x-none"/>
        </w:rPr>
        <w:t xml:space="preserve"> </w:t>
      </w:r>
      <w:r w:rsidRPr="00680DCB">
        <w:rPr>
          <w:b/>
          <w:kern w:val="32"/>
          <w:szCs w:val="20"/>
          <w:lang w:val="x-none" w:eastAsia="x-none"/>
        </w:rPr>
        <w:t>ve výši</w:t>
      </w:r>
      <w:r w:rsidR="00680DCB">
        <w:rPr>
          <w:b/>
          <w:kern w:val="32"/>
          <w:szCs w:val="20"/>
          <w:lang w:eastAsia="x-none"/>
        </w:rPr>
        <w:t xml:space="preserve"> 11 667</w:t>
      </w:r>
      <w:r w:rsidRPr="00680DCB">
        <w:rPr>
          <w:b/>
          <w:kern w:val="32"/>
          <w:szCs w:val="20"/>
          <w:lang w:val="x-none" w:eastAsia="x-none"/>
        </w:rPr>
        <w:t xml:space="preserve"> Kč je splatné k</w:t>
      </w:r>
      <w:r w:rsidR="00680DCB">
        <w:rPr>
          <w:b/>
          <w:kern w:val="32"/>
          <w:szCs w:val="20"/>
          <w:lang w:eastAsia="x-none"/>
        </w:rPr>
        <w:t> 15. 6. 2017.</w:t>
      </w:r>
      <w:r w:rsidRPr="00680DCB">
        <w:rPr>
          <w:b/>
          <w:kern w:val="32"/>
          <w:szCs w:val="20"/>
          <w:lang w:val="x-none" w:eastAsia="x-none"/>
        </w:rPr>
        <w:t xml:space="preserve"> </w:t>
      </w:r>
    </w:p>
    <w:p w:rsidR="00842CC1" w:rsidRPr="00842CC1" w:rsidRDefault="00842CC1" w:rsidP="00842CC1">
      <w:pPr>
        <w:spacing w:before="120"/>
      </w:pPr>
      <w:r w:rsidRPr="00842CC1">
        <w:t>Pojistník je povinen uhradit pojistné v uvedené výši na účet pojistitele č. </w:t>
      </w:r>
      <w:proofErr w:type="spellStart"/>
      <w:r w:rsidRPr="00842CC1">
        <w:t>ú.</w:t>
      </w:r>
      <w:proofErr w:type="spellEnd"/>
      <w:r w:rsidRPr="00842CC1">
        <w:t xml:space="preserve"> 2226222/0800, variabilní symbol: 7721037072.</w:t>
      </w:r>
    </w:p>
    <w:p w:rsidR="000A4701" w:rsidRPr="009E0C9B" w:rsidRDefault="00AB2C03" w:rsidP="000A4701">
      <w:pPr>
        <w:pStyle w:val="slovn-Velkpsmena0"/>
        <w:rPr>
          <w:b/>
        </w:rPr>
      </w:pPr>
      <w:r w:rsidRPr="009E0C9B">
        <w:t>Článek VI. (Prohlášení pojistníka) nově zní:</w:t>
      </w:r>
    </w:p>
    <w:p w:rsidR="00A55D5A" w:rsidRPr="009E0C9B" w:rsidRDefault="009B22B4" w:rsidP="00A55D5A">
      <w:pPr>
        <w:pStyle w:val="Nadpislnk"/>
        <w:spacing w:after="0"/>
      </w:pPr>
      <w:r w:rsidRPr="009E0C9B">
        <w:t>Článek VI.</w:t>
      </w:r>
    </w:p>
    <w:p w:rsidR="009B22B4" w:rsidRPr="009E0C9B" w:rsidRDefault="009B22B4" w:rsidP="00A55D5A">
      <w:pPr>
        <w:pStyle w:val="Nadpislnk"/>
        <w:spacing w:before="0" w:after="0"/>
      </w:pPr>
      <w:r w:rsidRPr="009E0C9B">
        <w:t>Prohlášení pojistníka</w:t>
      </w:r>
    </w:p>
    <w:p w:rsidR="009B22B4" w:rsidRPr="009E0C9B" w:rsidRDefault="009B22B4" w:rsidP="00E41D35">
      <w:pPr>
        <w:pStyle w:val="slovn-rove1-netunb"/>
        <w:numPr>
          <w:ilvl w:val="0"/>
          <w:numId w:val="14"/>
        </w:numPr>
      </w:pPr>
      <w:r w:rsidRPr="009E0C9B">
        <w:t xml:space="preserve">Pojistník potvrzuje, že před uzavřením </w:t>
      </w:r>
      <w:r w:rsidR="00A55D5A" w:rsidRPr="009E0C9B">
        <w:t>tohoto dodatku</w:t>
      </w:r>
      <w:r w:rsidRPr="009E0C9B">
        <w:t xml:space="preserve"> mu byly oznámeny informace v souladu s ustanovením § 2760 občanského zákoníku.</w:t>
      </w:r>
    </w:p>
    <w:p w:rsidR="009B22B4" w:rsidRPr="009E0C9B" w:rsidRDefault="009B22B4" w:rsidP="00E41D35">
      <w:pPr>
        <w:pStyle w:val="slovn-rove1-netunb"/>
        <w:numPr>
          <w:ilvl w:val="0"/>
          <w:numId w:val="14"/>
        </w:numPr>
        <w:spacing w:after="0"/>
      </w:pPr>
      <w:r w:rsidRPr="009E0C9B">
        <w:t>Pojistník potvrzuje, že byl informován o rozsahu a účelu zpracování jeho osobních údajů a o právu přístupu k nim v souladu s ustanovením § 11, 12, 21 zákona č. 101/2000 Sb. o ochraně osobních údajů.</w:t>
      </w:r>
    </w:p>
    <w:p w:rsidR="009B22B4" w:rsidRPr="009E0C9B" w:rsidRDefault="009B22B4" w:rsidP="00E41D35">
      <w:pPr>
        <w:pStyle w:val="slovn-rove1-netunb"/>
        <w:numPr>
          <w:ilvl w:val="0"/>
          <w:numId w:val="14"/>
        </w:numPr>
      </w:pPr>
      <w:r w:rsidRPr="009E0C9B">
        <w:t xml:space="preserve">Pojistník potvrzuje, že před uzavřením </w:t>
      </w:r>
      <w:r w:rsidR="00A55D5A" w:rsidRPr="009E0C9B">
        <w:t>tohoto dodatku</w:t>
      </w:r>
      <w:r w:rsidRPr="009E0C9B">
        <w:t xml:space="preserve"> převzal v listinné nebo jiné textové podobě (např. na trvalém nosiči dat) dokumenty uvedené v čl. I. bodu 2. této pojistné smlouvy </w:t>
      </w:r>
      <w:r w:rsidR="00A55D5A" w:rsidRPr="009E0C9B">
        <w:t>ve znění tohoto dodatku a </w:t>
      </w:r>
      <w:r w:rsidRPr="009E0C9B">
        <w:t xml:space="preserve">seznámil se s nimi. Pojistník si je vědom, že tyto dokumenty tvoří nedílnou součást </w:t>
      </w:r>
      <w:r w:rsidR="00C11F55" w:rsidRPr="009E0C9B">
        <w:t xml:space="preserve">této </w:t>
      </w:r>
      <w:r w:rsidRPr="009E0C9B">
        <w:t xml:space="preserve">pojistné smlouvy </w:t>
      </w:r>
      <w:r w:rsidR="00A55D5A" w:rsidRPr="009E0C9B">
        <w:t xml:space="preserve">ve znění tohoto dodatku </w:t>
      </w:r>
      <w:r w:rsidRPr="009E0C9B">
        <w:t>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9B22B4" w:rsidRPr="009E0C9B" w:rsidRDefault="009B22B4" w:rsidP="00E41D35">
      <w:pPr>
        <w:pStyle w:val="slovn-rove1-netunb"/>
        <w:numPr>
          <w:ilvl w:val="0"/>
          <w:numId w:val="14"/>
        </w:numPr>
      </w:pPr>
      <w:r w:rsidRPr="009E0C9B">
        <w:t>Pojistník potvrzuje, že adresa jeho sídla/bydliště/trvalého pobytu a kontakty elektronické komunikace uvedené v</w:t>
      </w:r>
      <w:r w:rsidR="000E7850" w:rsidRPr="009E0C9B">
        <w:t> tomto dodatku</w:t>
      </w:r>
      <w:r w:rsidRPr="009E0C9B">
        <w:t xml:space="preserve"> jsou aktuální, a souhlasí, aby tyto údaje </w:t>
      </w:r>
      <w:r w:rsidR="00A32127" w:rsidRPr="009E0C9B">
        <w:t>byly v případě jejich rozporu s </w:t>
      </w:r>
      <w:r w:rsidRPr="009E0C9B">
        <w:t>jinými údaji uvedenými v dříve uzavřených pojistných smlouvách,</w:t>
      </w:r>
      <w:r w:rsidR="00A32127" w:rsidRPr="009E0C9B">
        <w:t xml:space="preserve"> ve kterých je pojistníkem nebo </w:t>
      </w:r>
      <w:r w:rsidRPr="009E0C9B">
        <w:t>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:rsidR="009B22B4" w:rsidRPr="009E0C9B" w:rsidRDefault="009B22B4" w:rsidP="00E41D35">
      <w:pPr>
        <w:pStyle w:val="slovn-rove1-netunb"/>
        <w:numPr>
          <w:ilvl w:val="0"/>
          <w:numId w:val="14"/>
        </w:numPr>
      </w:pPr>
      <w:r w:rsidRPr="009E0C9B">
        <w:lastRenderedPageBreak/>
        <w:t xml:space="preserve">Pojistník souhlasí, aby pojistitel předával jeho osobní údaje členům pojišťovací skupiny </w:t>
      </w:r>
      <w:proofErr w:type="spellStart"/>
      <w:r w:rsidRPr="009E0C9B">
        <w:t>Vienna</w:t>
      </w:r>
      <w:proofErr w:type="spellEnd"/>
      <w:r w:rsidRPr="009E0C9B">
        <w:t xml:space="preserve"> </w:t>
      </w:r>
      <w:proofErr w:type="spellStart"/>
      <w:r w:rsidRPr="009E0C9B">
        <w:t>Insurance</w:t>
      </w:r>
      <w:proofErr w:type="spellEnd"/>
      <w:r w:rsidRPr="009E0C9B">
        <w:t xml:space="preserve"> Group a Finanční skupiny České spořitelny, a.s. (dále jen „</w:t>
      </w:r>
      <w:r w:rsidRPr="009E0C9B">
        <w:rPr>
          <w:b/>
        </w:rPr>
        <w:t>spřízněné osoby</w:t>
      </w:r>
      <w:r w:rsidRPr="009E0C9B">
        <w:t>“). Pojistník dále souhlasí, aby pojistitel i spřízněné osoby používali jeho osobní údaje, včetně kontaktů pro elektronickou komunikaci, za účelem zasílání svých obchodních a reklamních sdělení a nabídky služeb.</w:t>
      </w:r>
    </w:p>
    <w:p w:rsidR="009B22B4" w:rsidRPr="009E0C9B" w:rsidRDefault="009B22B4" w:rsidP="00E41D35">
      <w:pPr>
        <w:pStyle w:val="slovn-rove1-netunb"/>
        <w:numPr>
          <w:ilvl w:val="0"/>
          <w:numId w:val="14"/>
        </w:numPr>
        <w:spacing w:after="0"/>
      </w:pPr>
      <w:r w:rsidRPr="009E0C9B">
        <w:t xml:space="preserve">Pojistník prohlašuje, že má oprávněnou potřebu ochrany před následky pojistné události (pojistný zájem). </w:t>
      </w:r>
    </w:p>
    <w:p w:rsidR="009B22B4" w:rsidRPr="009E0C9B" w:rsidRDefault="009B22B4" w:rsidP="00E41D35">
      <w:pPr>
        <w:pStyle w:val="slovn-rove1-netunb"/>
        <w:numPr>
          <w:ilvl w:val="0"/>
          <w:numId w:val="14"/>
        </w:numPr>
      </w:pPr>
      <w:r w:rsidRPr="009E0C9B">
        <w:t xml:space="preserve">Pojistník prohlašuje, že věci nebo jiné hodnoty pojistného zájmu pojištěné touto pojistnou smlouvou </w:t>
      </w:r>
      <w:r w:rsidR="000E7850" w:rsidRPr="009E0C9B">
        <w:t xml:space="preserve">ve znění tohoto dodatku </w:t>
      </w:r>
      <w:r w:rsidRPr="009E0C9B">
        <w:t xml:space="preserve">nejsou k datu uzavření </w:t>
      </w:r>
      <w:r w:rsidR="000E7850" w:rsidRPr="009E0C9B">
        <w:t xml:space="preserve">tohoto dodatku </w:t>
      </w:r>
      <w:r w:rsidRPr="009E0C9B">
        <w:t>pojištěny proti stejným nebezpečím u jinéh</w:t>
      </w:r>
      <w:r w:rsidR="00DA0210" w:rsidRPr="009E0C9B">
        <w:t xml:space="preserve">o pojistitele, pokud není v </w:t>
      </w:r>
      <w:r w:rsidRPr="009E0C9B">
        <w:t>pojistné smlouvě</w:t>
      </w:r>
      <w:r w:rsidR="00216C3C" w:rsidRPr="009E0C9B">
        <w:t xml:space="preserve"> ve znění tohoto dodatku</w:t>
      </w:r>
      <w:r w:rsidRPr="009E0C9B">
        <w:t xml:space="preserve"> výslovně uvedeno jinak.</w:t>
      </w:r>
    </w:p>
    <w:p w:rsidR="00207D6B" w:rsidRPr="009E0C9B" w:rsidRDefault="00207D6B" w:rsidP="00AE24DB">
      <w:pPr>
        <w:pStyle w:val="slovn-rove1-netunb"/>
        <w:numPr>
          <w:ilvl w:val="0"/>
          <w:numId w:val="14"/>
        </w:numPr>
      </w:pPr>
      <w:r w:rsidRPr="009E0C9B">
        <w:t>Smluvní strany se dohodly, že pokud tento dodatek podléhá povinnosti uveřejnění podle zákona č. 340/2015 Sb., o zvláštních podmínkách účinnosti některých smluv, uveřejňování těchto smluv a o registru smluv (dále jen „</w:t>
      </w:r>
      <w:r w:rsidRPr="00AE24DB">
        <w:rPr>
          <w:b/>
        </w:rPr>
        <w:t>zákon o registru smluv</w:t>
      </w:r>
      <w:r w:rsidRPr="009E0C9B">
        <w:t xml:space="preserve">“), je tento dodatek (včetně všech předchozích dodatků a pojistné smlouvy, nebyly-li již dříve uveřejněny) povinen uveřejnit pojistník, a to ve lhůtě a způsobem stanoveným tímto zákonem. Pojistník je povinen bezodkladně informovat pojistitele o zaslání tohoto dodatku správci registru smluv </w:t>
      </w:r>
      <w:r w:rsidR="00AE24DB" w:rsidRPr="00AE24DB">
        <w:t>zprávou do datové schránky ID: n6tetn3</w:t>
      </w:r>
      <w:r w:rsidRPr="009E0C9B">
        <w:t>.</w:t>
      </w:r>
    </w:p>
    <w:p w:rsidR="00207D6B" w:rsidRPr="009E0C9B" w:rsidRDefault="00207D6B" w:rsidP="00207D6B">
      <w:pPr>
        <w:spacing w:before="120" w:after="120"/>
        <w:ind w:left="426"/>
      </w:pPr>
      <w:r w:rsidRPr="009E0C9B">
        <w:t>Nezajistí-li pojistník uveřejnění tohoto dodatku (včetně všech předchozích dodatků a pojistné smlouvy, nebyly-li již dříve uveřejněny) podle předchozího odstavce ve lhůtě 30 dní ode dne jeho u</w:t>
      </w:r>
      <w:r w:rsidR="00216C3C" w:rsidRPr="009E0C9B">
        <w:t>zavření, je </w:t>
      </w:r>
      <w:r w:rsidRPr="009E0C9B">
        <w:t>pojistitel oprávněn sám tento dodatek (včetně všech předchozích dodatků a pojistné smlouvy) uveřejnit. Pro tento případ pojistník výslovně souhlasí s poskytnutím/</w:t>
      </w:r>
      <w:r w:rsidR="001D0D57" w:rsidRPr="009E0C9B">
        <w:t>u</w:t>
      </w:r>
      <w:r w:rsidRPr="009E0C9B">
        <w:t>veřejněním informací o tomto dodatku (</w:t>
      </w:r>
      <w:r w:rsidR="00216C3C" w:rsidRPr="009E0C9B">
        <w:t>a </w:t>
      </w:r>
      <w:r w:rsidRPr="009E0C9B">
        <w:t>o</w:t>
      </w:r>
      <w:r w:rsidR="00216C3C" w:rsidRPr="009E0C9B">
        <w:t> </w:t>
      </w:r>
      <w:r w:rsidRPr="009E0C9B">
        <w:t>všech předchozích dodatcích a pojistné smlouvě), a to v rozsahu nezbytném pro splnění povinnosti dle zákona o registru smluv. Pojistník, je-li osobou odlišnou od pojištěného, dále potvrzuje, že pojištěný dal souhlas s poskytnutím/</w:t>
      </w:r>
      <w:r w:rsidR="001D0D57" w:rsidRPr="009E0C9B">
        <w:t>u</w:t>
      </w:r>
      <w:r w:rsidRPr="009E0C9B">
        <w:t>veřejněním informací o tomto dodatku (</w:t>
      </w:r>
      <w:r w:rsidR="00216C3C" w:rsidRPr="009E0C9B">
        <w:t xml:space="preserve">a o </w:t>
      </w:r>
      <w:r w:rsidRPr="009E0C9B">
        <w:t xml:space="preserve">všech předchozích dodatcích a pojistné smlouvě) na základě plné moci udělené mu pojištěným. Takové </w:t>
      </w:r>
      <w:r w:rsidR="001D0D57" w:rsidRPr="009E0C9B">
        <w:t>u</w:t>
      </w:r>
      <w:r w:rsidRPr="009E0C9B">
        <w:t>veřejnění nebude porušením povinnosti mlčenlivosti pojistitele ve smyslu platných právních předpisů.</w:t>
      </w:r>
    </w:p>
    <w:p w:rsidR="00207D6B" w:rsidRPr="009E0C9B" w:rsidRDefault="004E646D" w:rsidP="004E646D">
      <w:pPr>
        <w:pStyle w:val="slovn-Velkpsmena0"/>
      </w:pPr>
      <w:r w:rsidRPr="009E0C9B">
        <w:t>Článek VII. (Závěrečná ustanovení) nově zní:</w:t>
      </w:r>
    </w:p>
    <w:p w:rsidR="004E646D" w:rsidRPr="009E0C9B" w:rsidRDefault="009B22B4" w:rsidP="004E646D">
      <w:pPr>
        <w:pStyle w:val="Nadpislnk"/>
        <w:spacing w:after="0"/>
      </w:pPr>
      <w:r w:rsidRPr="009E0C9B">
        <w:t>Článek VII.</w:t>
      </w:r>
    </w:p>
    <w:p w:rsidR="009B22B4" w:rsidRPr="009E0C9B" w:rsidRDefault="009B22B4" w:rsidP="004E646D">
      <w:pPr>
        <w:pStyle w:val="Nadpislnk"/>
        <w:spacing w:before="0"/>
      </w:pPr>
      <w:r w:rsidRPr="009E0C9B">
        <w:t>Závěrečná ustanovení</w:t>
      </w:r>
    </w:p>
    <w:p w:rsidR="004E646D" w:rsidRPr="009E0C9B" w:rsidRDefault="004E646D" w:rsidP="004E646D">
      <w:pPr>
        <w:pStyle w:val="slovn-rove1-netunb"/>
        <w:numPr>
          <w:ilvl w:val="0"/>
          <w:numId w:val="13"/>
        </w:numPr>
        <w:spacing w:after="0"/>
      </w:pPr>
      <w:r w:rsidRPr="009E0C9B">
        <w:t xml:space="preserve">Není-li ujednáno jinak, je pojistnou dobou doba od </w:t>
      </w:r>
      <w:r w:rsidR="009B2D1B" w:rsidRPr="009B2D1B">
        <w:rPr>
          <w:b/>
        </w:rPr>
        <w:t>1. 5. 2017</w:t>
      </w:r>
      <w:r w:rsidRPr="009E0C9B">
        <w:rPr>
          <w:i/>
          <w:iCs/>
          <w:color w:val="00B050"/>
        </w:rPr>
        <w:t xml:space="preserve"> </w:t>
      </w:r>
      <w:r w:rsidRPr="009E0C9B">
        <w:t xml:space="preserve">(počátek pojištění) do </w:t>
      </w:r>
      <w:r w:rsidR="009B2D1B" w:rsidRPr="009B2D1B">
        <w:rPr>
          <w:b/>
        </w:rPr>
        <w:t>30. 4. 2018</w:t>
      </w:r>
      <w:r w:rsidRPr="009E0C9B">
        <w:t xml:space="preserve"> (konec pojištění).</w:t>
      </w:r>
    </w:p>
    <w:p w:rsidR="009B2D1B" w:rsidRDefault="004E646D" w:rsidP="004E646D">
      <w:pPr>
        <w:ind w:left="425"/>
      </w:pPr>
      <w:r w:rsidRPr="009E0C9B">
        <w:t xml:space="preserve">Tímto dodatkem provedená(é) změna(y) </w:t>
      </w:r>
      <w:proofErr w:type="gramStart"/>
      <w:r w:rsidRPr="009E0C9B">
        <w:t>nabývá(</w:t>
      </w:r>
      <w:proofErr w:type="spellStart"/>
      <w:r w:rsidRPr="009E0C9B">
        <w:t>ají</w:t>
      </w:r>
      <w:proofErr w:type="spellEnd"/>
      <w:proofErr w:type="gramEnd"/>
      <w:r w:rsidRPr="009E0C9B">
        <w:t xml:space="preserve">) účinnosti dnem </w:t>
      </w:r>
      <w:r w:rsidR="00680DCB" w:rsidRPr="00680DCB">
        <w:rPr>
          <w:b/>
        </w:rPr>
        <w:t>1. 6. 2017</w:t>
      </w:r>
      <w:r w:rsidR="00680DCB">
        <w:t>.</w:t>
      </w:r>
      <w:r w:rsidRPr="009E0C9B">
        <w:t xml:space="preserve"> </w:t>
      </w:r>
    </w:p>
    <w:p w:rsidR="004E646D" w:rsidRPr="009E0C9B" w:rsidRDefault="004E646D" w:rsidP="004E646D">
      <w:pPr>
        <w:ind w:left="425"/>
      </w:pPr>
      <w:r w:rsidRPr="009E0C9B">
        <w:t xml:space="preserve">Tímto dodatkem provedená(é) </w:t>
      </w:r>
      <w:proofErr w:type="gramStart"/>
      <w:r w:rsidRPr="009E0C9B">
        <w:t>změna(y) a případné</w:t>
      </w:r>
      <w:proofErr w:type="gramEnd"/>
      <w:r w:rsidRPr="009E0C9B">
        <w:t>(á) tímto dodatkem sjednané(á) nové(á) pojištění se nevztahují na dobu (nevznikají) před účinností tohoto dodatku.</w:t>
      </w:r>
    </w:p>
    <w:p w:rsidR="004E646D" w:rsidRPr="009E0C9B" w:rsidRDefault="009B2D1B" w:rsidP="004E646D">
      <w:pPr>
        <w:pStyle w:val="slovn-rove1-netunb"/>
        <w:numPr>
          <w:ilvl w:val="0"/>
          <w:numId w:val="13"/>
        </w:numPr>
        <w:spacing w:after="0"/>
      </w:pPr>
      <w:r w:rsidRPr="009E0C9B">
        <w:rPr>
          <w:b/>
          <w:color w:val="FF00FF"/>
          <w:szCs w:val="20"/>
        </w:rPr>
        <w:t xml:space="preserve"> </w:t>
      </w:r>
      <w:r w:rsidR="004E646D" w:rsidRPr="009E0C9B">
        <w:t>Pojistník je povinen vrátit pojistiteli veškeré slevy poskytnuté za dobu trvání pojištění (sleva za dlouhodobost), jestliže pojistník pojištění vypoví před uplynutím pojistné doby.</w:t>
      </w:r>
    </w:p>
    <w:p w:rsidR="004E646D" w:rsidRPr="009E0C9B" w:rsidRDefault="004E646D" w:rsidP="004E646D">
      <w:pPr>
        <w:pStyle w:val="slovn-rove1-netunb"/>
        <w:numPr>
          <w:ilvl w:val="0"/>
          <w:numId w:val="13"/>
        </w:numPr>
        <w:spacing w:after="0"/>
      </w:pPr>
      <w:r w:rsidRPr="009E0C9B">
        <w:t xml:space="preserve">Odpověď pojistníka na návrh pojistitele na uzavření </w:t>
      </w:r>
      <w:r w:rsidR="00216C3C" w:rsidRPr="009E0C9B">
        <w:t>tohoto dodatku</w:t>
      </w:r>
      <w:r w:rsidRPr="009E0C9B">
        <w:t xml:space="preserve"> (dále jen „</w:t>
      </w:r>
      <w:r w:rsidRPr="009E0C9B">
        <w:rPr>
          <w:b/>
        </w:rPr>
        <w:t>nabídka</w:t>
      </w:r>
      <w:r w:rsidRPr="009E0C9B">
        <w:t>“) s dodatkem nebo odchylkou od nabídky se nepovažuje za její přijetí, a to ani v případě, že se takovou odchylkou podstatně nemění podmínky nabídky.</w:t>
      </w:r>
    </w:p>
    <w:p w:rsidR="004E646D" w:rsidRPr="009E0C9B" w:rsidRDefault="004E646D" w:rsidP="004E646D">
      <w:pPr>
        <w:pStyle w:val="slovn-rove1-netunb"/>
        <w:numPr>
          <w:ilvl w:val="0"/>
          <w:numId w:val="13"/>
        </w:numPr>
        <w:spacing w:after="0"/>
      </w:pPr>
      <w:r w:rsidRPr="009E0C9B"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:rsidR="004E646D" w:rsidRPr="009E0C9B" w:rsidRDefault="004E646D" w:rsidP="004E646D">
      <w:pPr>
        <w:pStyle w:val="slovn-rove1-netunb"/>
        <w:numPr>
          <w:ilvl w:val="0"/>
          <w:numId w:val="13"/>
        </w:numPr>
        <w:spacing w:after="0"/>
      </w:pPr>
      <w:r w:rsidRPr="009E0C9B">
        <w:t>Subjektem věcně příslušným k mimosoudnímu řešení spotřebitelských sporů z tohoto pojištění je Česká obchodní inspekce, Štěpánská 567/15, 120 00 Praha 2, www.coi.cz.</w:t>
      </w:r>
    </w:p>
    <w:p w:rsidR="00680DCB" w:rsidRDefault="00680DCB">
      <w:pPr>
        <w:spacing w:after="200" w:line="276" w:lineRule="auto"/>
        <w:jc w:val="left"/>
      </w:pPr>
      <w:bookmarkStart w:id="2" w:name="_Ref489759092"/>
      <w:r>
        <w:br w:type="page"/>
      </w:r>
    </w:p>
    <w:p w:rsidR="004E646D" w:rsidRPr="009B2D1B" w:rsidRDefault="004E646D" w:rsidP="009B2D1B">
      <w:pPr>
        <w:pStyle w:val="slovn-rove1-netunb"/>
        <w:numPr>
          <w:ilvl w:val="0"/>
          <w:numId w:val="13"/>
        </w:numPr>
        <w:tabs>
          <w:tab w:val="left" w:pos="-1418"/>
        </w:tabs>
        <w:rPr>
          <w:rFonts w:cs="Arial"/>
        </w:rPr>
      </w:pPr>
      <w:r w:rsidRPr="009E0C9B">
        <w:lastRenderedPageBreak/>
        <w:t xml:space="preserve">Tento dodatek </w:t>
      </w:r>
      <w:r w:rsidR="00216C3C" w:rsidRPr="009E0C9B">
        <w:t>k</w:t>
      </w:r>
      <w:r w:rsidRPr="009E0C9B">
        <w:t xml:space="preserve"> pojistné smlouvě byl vypracován </w:t>
      </w:r>
      <w:r w:rsidR="009B2D1B" w:rsidRPr="009B2D1B">
        <w:rPr>
          <w:rFonts w:cs="Arial"/>
        </w:rPr>
        <w:t>ve čtyřech stejnopisech, pojistník obdrží jeden stejnopis, pojistitel si ponechá tři stejnopisy.</w:t>
      </w:r>
    </w:p>
    <w:p w:rsidR="004E646D" w:rsidRPr="009E0C9B" w:rsidRDefault="00680DCB" w:rsidP="004E646D">
      <w:pPr>
        <w:pStyle w:val="slovn-rove1-netunb"/>
        <w:numPr>
          <w:ilvl w:val="0"/>
          <w:numId w:val="13"/>
        </w:numPr>
        <w:spacing w:after="0"/>
      </w:pPr>
      <w:r>
        <w:t>Tento dodatek obsahuje 5</w:t>
      </w:r>
      <w:r w:rsidR="004E646D" w:rsidRPr="009E0C9B">
        <w:t xml:space="preserve"> stran, k pojistné smlouvě ve znění tohoto dodatku náleží </w:t>
      </w:r>
      <w:r w:rsidR="009B2D1B">
        <w:t xml:space="preserve">1 </w:t>
      </w:r>
      <w:r w:rsidR="004E646D" w:rsidRPr="009E0C9B">
        <w:t>příloh</w:t>
      </w:r>
      <w:bookmarkEnd w:id="2"/>
      <w:r w:rsidR="009B2D1B">
        <w:t>a</w:t>
      </w:r>
      <w:r w:rsidR="004E646D" w:rsidRPr="009E0C9B">
        <w:t>, z nichž ani jedna není fyzicky přiložena k tomuto dodatku. Součástí pojistné smlouvy ve znění tohoto dodatku jsou pojistné podmínky pojistitele uvedené v čl. I. této pojistné smlouvy ve znění tohoto dodatku a dokument Informace pro zájemce o pojištění. V případě, že je jakékoli ustanovení uvedené v Informacích pro zájemce o pojištění v rozporu s ustanovením pojistné smlouvy, má přednost příslušné ustanovení pojistné smlouvy.</w:t>
      </w:r>
    </w:p>
    <w:p w:rsidR="004E646D" w:rsidRPr="009E0C9B" w:rsidRDefault="004E646D" w:rsidP="004E646D"/>
    <w:p w:rsidR="004E646D" w:rsidRPr="009E0C9B" w:rsidRDefault="004E646D" w:rsidP="004E646D">
      <w:pPr>
        <w:spacing w:before="240"/>
      </w:pPr>
      <w:r w:rsidRPr="009E0C9B">
        <w:t>Výčet příloh:</w:t>
      </w:r>
      <w:r w:rsidRPr="009E0C9B">
        <w:tab/>
      </w:r>
    </w:p>
    <w:p w:rsidR="004E646D" w:rsidRPr="009E0C9B" w:rsidRDefault="009B2D1B" w:rsidP="004E646D">
      <w:pPr>
        <w:rPr>
          <w:i/>
          <w:color w:val="1BC404"/>
        </w:rPr>
      </w:pPr>
      <w:r w:rsidRPr="00FD3572">
        <w:rPr>
          <w:szCs w:val="20"/>
        </w:rPr>
        <w:t>příloha č. 1 – kopie zřizovací listiny včetně dodatku</w:t>
      </w:r>
    </w:p>
    <w:p w:rsidR="004E646D" w:rsidRPr="009E0C9B" w:rsidRDefault="004E646D" w:rsidP="004E646D">
      <w:pPr>
        <w:spacing w:after="480"/>
        <w:rPr>
          <w:b/>
          <w:color w:val="FF00FF"/>
          <w:szCs w:val="20"/>
        </w:rPr>
      </w:pPr>
    </w:p>
    <w:p w:rsidR="00680DCB" w:rsidRDefault="00680DCB" w:rsidP="008F602E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  <w:spacing w:before="480"/>
      </w:pPr>
    </w:p>
    <w:p w:rsidR="008F602E" w:rsidRPr="009E0C9B" w:rsidRDefault="009B22B4" w:rsidP="008F602E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  <w:spacing w:before="480"/>
      </w:pPr>
      <w:r w:rsidRPr="009E0C9B">
        <w:t xml:space="preserve">V </w:t>
      </w:r>
      <w:r w:rsidR="00680DCB">
        <w:t>Praze</w:t>
      </w:r>
      <w:r w:rsidR="00AE6E36" w:rsidRPr="009E0C9B">
        <w:t xml:space="preserve"> </w:t>
      </w:r>
      <w:r w:rsidRPr="009E0C9B">
        <w:t xml:space="preserve">dne </w:t>
      </w:r>
      <w:r w:rsidR="00680DCB">
        <w:t>31. 5. 2017</w:t>
      </w:r>
      <w:r w:rsidR="008F602E" w:rsidRPr="009E0C9B">
        <w:tab/>
      </w:r>
      <w:r w:rsidR="008F602E" w:rsidRPr="009E0C9B">
        <w:tab/>
      </w:r>
      <w:r w:rsidR="008F602E" w:rsidRPr="009E0C9B">
        <w:tab/>
      </w:r>
      <w:r w:rsidR="008F602E" w:rsidRPr="009E0C9B">
        <w:tab/>
      </w:r>
    </w:p>
    <w:p w:rsidR="009B22B4" w:rsidRPr="009E0C9B" w:rsidRDefault="009B22B4" w:rsidP="008F602E">
      <w:pPr>
        <w:keepNext/>
        <w:keepLines/>
        <w:tabs>
          <w:tab w:val="center" w:pos="4820"/>
          <w:tab w:val="center" w:pos="7938"/>
        </w:tabs>
        <w:spacing w:after="720"/>
      </w:pPr>
      <w:r w:rsidRPr="009E0C9B">
        <w:tab/>
        <w:t>za pojistitele</w:t>
      </w:r>
      <w:r w:rsidRPr="009E0C9B">
        <w:tab/>
        <w:t>za pojistitele</w:t>
      </w:r>
    </w:p>
    <w:p w:rsidR="00680DCB" w:rsidRDefault="00680DCB" w:rsidP="008F602E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  <w:spacing w:before="720"/>
      </w:pPr>
    </w:p>
    <w:p w:rsidR="008F602E" w:rsidRPr="009E0C9B" w:rsidRDefault="008F602E" w:rsidP="008F602E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  <w:spacing w:before="720"/>
      </w:pPr>
      <w:r w:rsidRPr="009E0C9B">
        <w:t xml:space="preserve">V </w:t>
      </w:r>
      <w:r w:rsidR="00680DCB">
        <w:t>Praze</w:t>
      </w:r>
      <w:r w:rsidRPr="009E0C9B">
        <w:t xml:space="preserve"> dne </w:t>
      </w:r>
      <w:r w:rsidR="00680DCB">
        <w:t>31. 5. 2017</w:t>
      </w:r>
      <w:r w:rsidRPr="009E0C9B">
        <w:tab/>
      </w:r>
      <w:r w:rsidRPr="009E0C9B">
        <w:tab/>
      </w:r>
    </w:p>
    <w:p w:rsidR="009B22B4" w:rsidRPr="009E0C9B" w:rsidRDefault="008F602E" w:rsidP="00DF62A5">
      <w:pPr>
        <w:keepLines/>
        <w:tabs>
          <w:tab w:val="center" w:pos="4820"/>
          <w:tab w:val="center" w:pos="7938"/>
        </w:tabs>
        <w:spacing w:after="240"/>
      </w:pPr>
      <w:r w:rsidRPr="009E0C9B">
        <w:tab/>
      </w:r>
      <w:r w:rsidR="009B22B4" w:rsidRPr="009E0C9B">
        <w:t>za pojistníka</w:t>
      </w:r>
    </w:p>
    <w:p w:rsidR="004E646D" w:rsidRPr="009E0C9B" w:rsidRDefault="004E646D" w:rsidP="00CB2C6D">
      <w:pPr>
        <w:spacing w:before="480"/>
      </w:pPr>
      <w:r w:rsidRPr="009E0C9B">
        <w:t xml:space="preserve">Dodatek vypracovala: </w:t>
      </w:r>
      <w:r w:rsidR="009B2D1B">
        <w:t xml:space="preserve">Hana Bisová, </w:t>
      </w:r>
      <w:proofErr w:type="spellStart"/>
      <w:r w:rsidR="009B2D1B">
        <w:t>underwriter</w:t>
      </w:r>
      <w:proofErr w:type="spellEnd"/>
      <w:r w:rsidR="009B2D1B">
        <w:t xml:space="preserve"> specialista</w:t>
      </w:r>
    </w:p>
    <w:sectPr w:rsidR="004E646D" w:rsidRPr="009E0C9B" w:rsidSect="009B22B4">
      <w:headerReference w:type="default" r:id="rId10"/>
      <w:footerReference w:type="default" r:id="rId11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B3" w:rsidRDefault="003C0AB3" w:rsidP="00FF471C">
      <w:r>
        <w:separator/>
      </w:r>
    </w:p>
  </w:endnote>
  <w:endnote w:type="continuationSeparator" w:id="0">
    <w:p w:rsidR="003C0AB3" w:rsidRDefault="003C0AB3" w:rsidP="00FF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oop Office">
    <w:altName w:val="Koop Office"/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606" w:rsidRPr="00877EFF" w:rsidRDefault="00C43606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B3" w:rsidRDefault="003C0AB3" w:rsidP="00FF471C">
      <w:r>
        <w:separator/>
      </w:r>
    </w:p>
  </w:footnote>
  <w:footnote w:type="continuationSeparator" w:id="0">
    <w:p w:rsidR="003C0AB3" w:rsidRDefault="003C0AB3" w:rsidP="00FF4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477648756"/>
      <w:docPartObj>
        <w:docPartGallery w:val="Page Numbers (Top of Page)"/>
        <w:docPartUnique/>
      </w:docPartObj>
    </w:sdtPr>
    <w:sdtEndPr>
      <w:rPr>
        <w:sz w:val="20"/>
        <w:szCs w:val="24"/>
      </w:rPr>
    </w:sdtEndPr>
    <w:sdtContent>
      <w:p w:rsidR="007107F5" w:rsidRPr="007107F5" w:rsidRDefault="007107F5" w:rsidP="007107F5">
        <w:pPr>
          <w:tabs>
            <w:tab w:val="center" w:pos="4536"/>
            <w:tab w:val="right" w:pos="9072"/>
          </w:tabs>
          <w:jc w:val="right"/>
        </w:pPr>
        <w:r w:rsidRPr="007107F5">
          <w:rPr>
            <w:sz w:val="18"/>
            <w:szCs w:val="18"/>
          </w:rPr>
          <w:t xml:space="preserve">Stránka </w:t>
        </w:r>
        <w:r w:rsidRPr="007107F5">
          <w:rPr>
            <w:b/>
            <w:bCs/>
            <w:sz w:val="18"/>
            <w:szCs w:val="18"/>
          </w:rPr>
          <w:fldChar w:fldCharType="begin"/>
        </w:r>
        <w:r w:rsidRPr="007107F5">
          <w:rPr>
            <w:b/>
            <w:bCs/>
            <w:sz w:val="18"/>
            <w:szCs w:val="18"/>
          </w:rPr>
          <w:instrText>PAGE</w:instrText>
        </w:r>
        <w:r w:rsidRPr="007107F5">
          <w:rPr>
            <w:b/>
            <w:bCs/>
            <w:sz w:val="18"/>
            <w:szCs w:val="18"/>
          </w:rPr>
          <w:fldChar w:fldCharType="separate"/>
        </w:r>
        <w:r w:rsidR="00680DCB">
          <w:rPr>
            <w:b/>
            <w:bCs/>
            <w:noProof/>
            <w:sz w:val="18"/>
            <w:szCs w:val="18"/>
          </w:rPr>
          <w:t>2</w:t>
        </w:r>
        <w:r w:rsidRPr="007107F5">
          <w:rPr>
            <w:b/>
            <w:bCs/>
            <w:sz w:val="18"/>
            <w:szCs w:val="18"/>
          </w:rPr>
          <w:fldChar w:fldCharType="end"/>
        </w:r>
        <w:r w:rsidRPr="007107F5">
          <w:rPr>
            <w:sz w:val="18"/>
            <w:szCs w:val="18"/>
          </w:rPr>
          <w:t xml:space="preserve"> z </w:t>
        </w:r>
        <w:r w:rsidRPr="007107F5">
          <w:rPr>
            <w:b/>
            <w:bCs/>
            <w:sz w:val="18"/>
            <w:szCs w:val="18"/>
          </w:rPr>
          <w:fldChar w:fldCharType="begin"/>
        </w:r>
        <w:r w:rsidRPr="007107F5">
          <w:rPr>
            <w:b/>
            <w:bCs/>
            <w:sz w:val="18"/>
            <w:szCs w:val="18"/>
          </w:rPr>
          <w:instrText>NUMPAGES</w:instrText>
        </w:r>
        <w:r w:rsidRPr="007107F5">
          <w:rPr>
            <w:b/>
            <w:bCs/>
            <w:sz w:val="18"/>
            <w:szCs w:val="18"/>
          </w:rPr>
          <w:fldChar w:fldCharType="separate"/>
        </w:r>
        <w:r w:rsidR="00680DCB">
          <w:rPr>
            <w:b/>
            <w:bCs/>
            <w:noProof/>
            <w:sz w:val="18"/>
            <w:szCs w:val="18"/>
          </w:rPr>
          <w:t>5</w:t>
        </w:r>
        <w:r w:rsidRPr="007107F5">
          <w:rPr>
            <w:b/>
            <w:bCs/>
            <w:sz w:val="18"/>
            <w:szCs w:val="18"/>
          </w:rPr>
          <w:fldChar w:fldCharType="end"/>
        </w:r>
      </w:p>
    </w:sdtContent>
  </w:sdt>
  <w:p w:rsidR="007107F5" w:rsidRDefault="007107F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D2A"/>
    <w:multiLevelType w:val="multilevel"/>
    <w:tmpl w:val="33C2FFD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>
    <w:nsid w:val="0B877709"/>
    <w:multiLevelType w:val="multilevel"/>
    <w:tmpl w:val="1266391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2">
    <w:nsid w:val="0D244930"/>
    <w:multiLevelType w:val="multilevel"/>
    <w:tmpl w:val="4474AAFE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3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10B2D"/>
    <w:multiLevelType w:val="multilevel"/>
    <w:tmpl w:val="DE2CFCA0"/>
    <w:styleLink w:val="slovn-velkpsmena"/>
    <w:lvl w:ilvl="0">
      <w:start w:val="1"/>
      <w:numFmt w:val="upperLetter"/>
      <w:pStyle w:val="slovn-Velkpsmena0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5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31517E"/>
    <w:multiLevelType w:val="multilevel"/>
    <w:tmpl w:val="7E7858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631905E1"/>
    <w:multiLevelType w:val="multilevel"/>
    <w:tmpl w:val="A3408012"/>
    <w:lvl w:ilvl="0">
      <w:start w:val="1"/>
      <w:numFmt w:val="lowerLetter"/>
      <w:lvlText w:val="%1)"/>
      <w:lvlJc w:val="left"/>
      <w:pPr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66FA5B12"/>
    <w:multiLevelType w:val="multilevel"/>
    <w:tmpl w:val="99885EDC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12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5D38F4"/>
    <w:multiLevelType w:val="multilevel"/>
    <w:tmpl w:val="DE2CFCA0"/>
    <w:numStyleLink w:val="slovn-velkpsmena"/>
  </w:abstractNum>
  <w:abstractNum w:abstractNumId="14">
    <w:nsid w:val="78675CFE"/>
    <w:multiLevelType w:val="hybridMultilevel"/>
    <w:tmpl w:val="876E01FE"/>
    <w:lvl w:ilvl="0" w:tplc="DB864E3C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9"/>
  </w:num>
  <w:num w:numId="5">
    <w:abstractNumId w:val="10"/>
  </w:num>
  <w:num w:numId="6">
    <w:abstractNumId w:val="10"/>
  </w:num>
  <w:num w:numId="7">
    <w:abstractNumId w:val="6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3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425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425" w:hanging="425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26">
    <w:abstractNumId w:val="4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29">
    <w:abstractNumId w:val="13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0">
    <w:abstractNumId w:val="13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31">
    <w:abstractNumId w:val="1"/>
  </w:num>
  <w:num w:numId="3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B4"/>
    <w:rsid w:val="00000829"/>
    <w:rsid w:val="00000DF1"/>
    <w:rsid w:val="00007AA8"/>
    <w:rsid w:val="00007CE7"/>
    <w:rsid w:val="00012E40"/>
    <w:rsid w:val="0001462A"/>
    <w:rsid w:val="00015ADC"/>
    <w:rsid w:val="00024476"/>
    <w:rsid w:val="000400E7"/>
    <w:rsid w:val="00044839"/>
    <w:rsid w:val="000476E6"/>
    <w:rsid w:val="000505F9"/>
    <w:rsid w:val="00050F2F"/>
    <w:rsid w:val="000512D2"/>
    <w:rsid w:val="00053062"/>
    <w:rsid w:val="00066D92"/>
    <w:rsid w:val="00070339"/>
    <w:rsid w:val="00070CE3"/>
    <w:rsid w:val="000723D1"/>
    <w:rsid w:val="0007248A"/>
    <w:rsid w:val="000731BB"/>
    <w:rsid w:val="00073CF2"/>
    <w:rsid w:val="00080CF5"/>
    <w:rsid w:val="000824F1"/>
    <w:rsid w:val="00087A45"/>
    <w:rsid w:val="00090CCF"/>
    <w:rsid w:val="00093452"/>
    <w:rsid w:val="00095D70"/>
    <w:rsid w:val="00096C8B"/>
    <w:rsid w:val="00097838"/>
    <w:rsid w:val="000A0408"/>
    <w:rsid w:val="000A4067"/>
    <w:rsid w:val="000A4701"/>
    <w:rsid w:val="000A73AE"/>
    <w:rsid w:val="000C3440"/>
    <w:rsid w:val="000C7550"/>
    <w:rsid w:val="000D0067"/>
    <w:rsid w:val="000D0856"/>
    <w:rsid w:val="000D2A28"/>
    <w:rsid w:val="000E7850"/>
    <w:rsid w:val="000F3A50"/>
    <w:rsid w:val="000F650D"/>
    <w:rsid w:val="00107106"/>
    <w:rsid w:val="0011033A"/>
    <w:rsid w:val="001160C6"/>
    <w:rsid w:val="00117B8C"/>
    <w:rsid w:val="00122398"/>
    <w:rsid w:val="0013165D"/>
    <w:rsid w:val="00133663"/>
    <w:rsid w:val="00135CAC"/>
    <w:rsid w:val="00142897"/>
    <w:rsid w:val="00142CDD"/>
    <w:rsid w:val="00150363"/>
    <w:rsid w:val="00156F32"/>
    <w:rsid w:val="001600C3"/>
    <w:rsid w:val="00162CA8"/>
    <w:rsid w:val="0018046F"/>
    <w:rsid w:val="001829F0"/>
    <w:rsid w:val="00183C97"/>
    <w:rsid w:val="00184E09"/>
    <w:rsid w:val="00186B3D"/>
    <w:rsid w:val="001922CC"/>
    <w:rsid w:val="00193697"/>
    <w:rsid w:val="001A4D06"/>
    <w:rsid w:val="001B0445"/>
    <w:rsid w:val="001B170A"/>
    <w:rsid w:val="001B6506"/>
    <w:rsid w:val="001C2AD6"/>
    <w:rsid w:val="001C517F"/>
    <w:rsid w:val="001D0D57"/>
    <w:rsid w:val="001D5138"/>
    <w:rsid w:val="001D5B57"/>
    <w:rsid w:val="001F2AA2"/>
    <w:rsid w:val="001F64D0"/>
    <w:rsid w:val="001F7BD6"/>
    <w:rsid w:val="00204E38"/>
    <w:rsid w:val="00207D6B"/>
    <w:rsid w:val="002155DD"/>
    <w:rsid w:val="00216C3C"/>
    <w:rsid w:val="002247BA"/>
    <w:rsid w:val="002267E8"/>
    <w:rsid w:val="0023465B"/>
    <w:rsid w:val="002361D4"/>
    <w:rsid w:val="0024467F"/>
    <w:rsid w:val="002465EE"/>
    <w:rsid w:val="00254175"/>
    <w:rsid w:val="00255904"/>
    <w:rsid w:val="002670F5"/>
    <w:rsid w:val="0027036F"/>
    <w:rsid w:val="0027392F"/>
    <w:rsid w:val="00277386"/>
    <w:rsid w:val="00280823"/>
    <w:rsid w:val="00287F7C"/>
    <w:rsid w:val="002928E0"/>
    <w:rsid w:val="00292C60"/>
    <w:rsid w:val="00294BD2"/>
    <w:rsid w:val="002A12A2"/>
    <w:rsid w:val="002A47C0"/>
    <w:rsid w:val="002B4055"/>
    <w:rsid w:val="002B4072"/>
    <w:rsid w:val="002C7D2F"/>
    <w:rsid w:val="002D2C34"/>
    <w:rsid w:val="002D39B8"/>
    <w:rsid w:val="002D6EF7"/>
    <w:rsid w:val="002E6859"/>
    <w:rsid w:val="002E752C"/>
    <w:rsid w:val="002F2C04"/>
    <w:rsid w:val="002F668C"/>
    <w:rsid w:val="0030285D"/>
    <w:rsid w:val="00304A0D"/>
    <w:rsid w:val="003054D6"/>
    <w:rsid w:val="0030644A"/>
    <w:rsid w:val="00313AA3"/>
    <w:rsid w:val="00314AC7"/>
    <w:rsid w:val="003206F6"/>
    <w:rsid w:val="003213ED"/>
    <w:rsid w:val="0032643A"/>
    <w:rsid w:val="003269E6"/>
    <w:rsid w:val="003302A4"/>
    <w:rsid w:val="00330BA5"/>
    <w:rsid w:val="0033271D"/>
    <w:rsid w:val="00336F1D"/>
    <w:rsid w:val="00340CD6"/>
    <w:rsid w:val="00346AB2"/>
    <w:rsid w:val="00354B2A"/>
    <w:rsid w:val="00371F82"/>
    <w:rsid w:val="00373B1B"/>
    <w:rsid w:val="003751CC"/>
    <w:rsid w:val="00375986"/>
    <w:rsid w:val="0038135C"/>
    <w:rsid w:val="003925B1"/>
    <w:rsid w:val="003933D3"/>
    <w:rsid w:val="00394D0C"/>
    <w:rsid w:val="00395194"/>
    <w:rsid w:val="00397F8A"/>
    <w:rsid w:val="003A680A"/>
    <w:rsid w:val="003B0339"/>
    <w:rsid w:val="003C0442"/>
    <w:rsid w:val="003C0AB3"/>
    <w:rsid w:val="003C4C9E"/>
    <w:rsid w:val="003D1AF4"/>
    <w:rsid w:val="003E0CF5"/>
    <w:rsid w:val="003E5536"/>
    <w:rsid w:val="003E7EB8"/>
    <w:rsid w:val="003F4AF7"/>
    <w:rsid w:val="00412BD5"/>
    <w:rsid w:val="004137C8"/>
    <w:rsid w:val="00413E27"/>
    <w:rsid w:val="0041475F"/>
    <w:rsid w:val="00414B37"/>
    <w:rsid w:val="00423DEC"/>
    <w:rsid w:val="00425AA6"/>
    <w:rsid w:val="00426193"/>
    <w:rsid w:val="004277BA"/>
    <w:rsid w:val="0043372E"/>
    <w:rsid w:val="00445D99"/>
    <w:rsid w:val="00456A83"/>
    <w:rsid w:val="004618B2"/>
    <w:rsid w:val="00464D1B"/>
    <w:rsid w:val="004658D7"/>
    <w:rsid w:val="00473347"/>
    <w:rsid w:val="00473878"/>
    <w:rsid w:val="004768DA"/>
    <w:rsid w:val="00476C08"/>
    <w:rsid w:val="004822F6"/>
    <w:rsid w:val="0048272F"/>
    <w:rsid w:val="00486022"/>
    <w:rsid w:val="004903F5"/>
    <w:rsid w:val="004944B7"/>
    <w:rsid w:val="00496C95"/>
    <w:rsid w:val="004A10B2"/>
    <w:rsid w:val="004A223A"/>
    <w:rsid w:val="004A2932"/>
    <w:rsid w:val="004B2794"/>
    <w:rsid w:val="004B34C1"/>
    <w:rsid w:val="004B4DC7"/>
    <w:rsid w:val="004B647F"/>
    <w:rsid w:val="004B6F18"/>
    <w:rsid w:val="004D2453"/>
    <w:rsid w:val="004D7CDC"/>
    <w:rsid w:val="004E646D"/>
    <w:rsid w:val="004F17EE"/>
    <w:rsid w:val="004F1E5C"/>
    <w:rsid w:val="00511C6E"/>
    <w:rsid w:val="005141DD"/>
    <w:rsid w:val="00516565"/>
    <w:rsid w:val="00521E2A"/>
    <w:rsid w:val="00521E53"/>
    <w:rsid w:val="005329E1"/>
    <w:rsid w:val="00541E4F"/>
    <w:rsid w:val="00542FE9"/>
    <w:rsid w:val="005547AD"/>
    <w:rsid w:val="0055766F"/>
    <w:rsid w:val="00561D4F"/>
    <w:rsid w:val="00562759"/>
    <w:rsid w:val="00564B1C"/>
    <w:rsid w:val="00566FAD"/>
    <w:rsid w:val="005721C6"/>
    <w:rsid w:val="0057758A"/>
    <w:rsid w:val="00577730"/>
    <w:rsid w:val="0058331E"/>
    <w:rsid w:val="0058517B"/>
    <w:rsid w:val="0058612C"/>
    <w:rsid w:val="0059142D"/>
    <w:rsid w:val="005B15BF"/>
    <w:rsid w:val="005B4B6A"/>
    <w:rsid w:val="005B61DF"/>
    <w:rsid w:val="005C000C"/>
    <w:rsid w:val="005C42B5"/>
    <w:rsid w:val="005C6173"/>
    <w:rsid w:val="005D05B5"/>
    <w:rsid w:val="005E0C81"/>
    <w:rsid w:val="005E3F28"/>
    <w:rsid w:val="005E6D93"/>
    <w:rsid w:val="005F3154"/>
    <w:rsid w:val="00602109"/>
    <w:rsid w:val="00616482"/>
    <w:rsid w:val="00623E58"/>
    <w:rsid w:val="00631371"/>
    <w:rsid w:val="0063247E"/>
    <w:rsid w:val="006352F6"/>
    <w:rsid w:val="006367EA"/>
    <w:rsid w:val="00640B01"/>
    <w:rsid w:val="006443B3"/>
    <w:rsid w:val="00647D3A"/>
    <w:rsid w:val="006543D2"/>
    <w:rsid w:val="006600BE"/>
    <w:rsid w:val="006718E4"/>
    <w:rsid w:val="00674013"/>
    <w:rsid w:val="00680DCB"/>
    <w:rsid w:val="00681118"/>
    <w:rsid w:val="0069207B"/>
    <w:rsid w:val="00694E7B"/>
    <w:rsid w:val="006957C3"/>
    <w:rsid w:val="00695BCE"/>
    <w:rsid w:val="00697228"/>
    <w:rsid w:val="006A0307"/>
    <w:rsid w:val="006A3D39"/>
    <w:rsid w:val="006A531B"/>
    <w:rsid w:val="006B1F9B"/>
    <w:rsid w:val="006B453D"/>
    <w:rsid w:val="006B487D"/>
    <w:rsid w:val="006D3D06"/>
    <w:rsid w:val="006D70FC"/>
    <w:rsid w:val="006E12DD"/>
    <w:rsid w:val="006E5684"/>
    <w:rsid w:val="007107F5"/>
    <w:rsid w:val="00711945"/>
    <w:rsid w:val="007222D4"/>
    <w:rsid w:val="0072347C"/>
    <w:rsid w:val="00726BE5"/>
    <w:rsid w:val="007270A8"/>
    <w:rsid w:val="0073198C"/>
    <w:rsid w:val="007322C2"/>
    <w:rsid w:val="0073684F"/>
    <w:rsid w:val="00741785"/>
    <w:rsid w:val="00746BC8"/>
    <w:rsid w:val="00757668"/>
    <w:rsid w:val="00765000"/>
    <w:rsid w:val="00773E80"/>
    <w:rsid w:val="00775B6B"/>
    <w:rsid w:val="0077726A"/>
    <w:rsid w:val="00781027"/>
    <w:rsid w:val="00782181"/>
    <w:rsid w:val="007861A3"/>
    <w:rsid w:val="007A5F49"/>
    <w:rsid w:val="007B6250"/>
    <w:rsid w:val="007C3694"/>
    <w:rsid w:val="007C4E93"/>
    <w:rsid w:val="007C5878"/>
    <w:rsid w:val="007C5FF2"/>
    <w:rsid w:val="007D136B"/>
    <w:rsid w:val="007D1CB0"/>
    <w:rsid w:val="007D2D28"/>
    <w:rsid w:val="007D2F20"/>
    <w:rsid w:val="007E0E36"/>
    <w:rsid w:val="007E5C50"/>
    <w:rsid w:val="007F59DD"/>
    <w:rsid w:val="007F6574"/>
    <w:rsid w:val="00800634"/>
    <w:rsid w:val="00800BE6"/>
    <w:rsid w:val="00801660"/>
    <w:rsid w:val="008066EF"/>
    <w:rsid w:val="00807DB0"/>
    <w:rsid w:val="00810BC5"/>
    <w:rsid w:val="008119AB"/>
    <w:rsid w:val="00812950"/>
    <w:rsid w:val="00820AB4"/>
    <w:rsid w:val="00822B14"/>
    <w:rsid w:val="00832DDD"/>
    <w:rsid w:val="0083612F"/>
    <w:rsid w:val="0083635A"/>
    <w:rsid w:val="00842CC1"/>
    <w:rsid w:val="0084603E"/>
    <w:rsid w:val="00852EA0"/>
    <w:rsid w:val="00854A15"/>
    <w:rsid w:val="00861AAB"/>
    <w:rsid w:val="00862700"/>
    <w:rsid w:val="00873C2F"/>
    <w:rsid w:val="0087405A"/>
    <w:rsid w:val="008838CD"/>
    <w:rsid w:val="00886F29"/>
    <w:rsid w:val="00890ED9"/>
    <w:rsid w:val="008A33FB"/>
    <w:rsid w:val="008B3DBA"/>
    <w:rsid w:val="008B5DA2"/>
    <w:rsid w:val="008B7028"/>
    <w:rsid w:val="008C004D"/>
    <w:rsid w:val="008C1DD9"/>
    <w:rsid w:val="008C2074"/>
    <w:rsid w:val="008C2488"/>
    <w:rsid w:val="008C34A6"/>
    <w:rsid w:val="008D1245"/>
    <w:rsid w:val="008D4BCE"/>
    <w:rsid w:val="008E0983"/>
    <w:rsid w:val="008E402D"/>
    <w:rsid w:val="008E5597"/>
    <w:rsid w:val="008F010C"/>
    <w:rsid w:val="008F5003"/>
    <w:rsid w:val="008F5A8E"/>
    <w:rsid w:val="008F5AF9"/>
    <w:rsid w:val="008F602E"/>
    <w:rsid w:val="008F77D1"/>
    <w:rsid w:val="00902081"/>
    <w:rsid w:val="00910D56"/>
    <w:rsid w:val="00912A8F"/>
    <w:rsid w:val="00914BEE"/>
    <w:rsid w:val="00916676"/>
    <w:rsid w:val="00920622"/>
    <w:rsid w:val="00923C73"/>
    <w:rsid w:val="00925605"/>
    <w:rsid w:val="00927C7B"/>
    <w:rsid w:val="00935D1C"/>
    <w:rsid w:val="00936528"/>
    <w:rsid w:val="0094214D"/>
    <w:rsid w:val="009421A5"/>
    <w:rsid w:val="0094395E"/>
    <w:rsid w:val="009470A2"/>
    <w:rsid w:val="009501FE"/>
    <w:rsid w:val="009509F7"/>
    <w:rsid w:val="0095132D"/>
    <w:rsid w:val="00951F46"/>
    <w:rsid w:val="0095418B"/>
    <w:rsid w:val="009544C3"/>
    <w:rsid w:val="00981556"/>
    <w:rsid w:val="009837B9"/>
    <w:rsid w:val="00985AB7"/>
    <w:rsid w:val="00986E73"/>
    <w:rsid w:val="0099627C"/>
    <w:rsid w:val="009966F7"/>
    <w:rsid w:val="009A680F"/>
    <w:rsid w:val="009B22B4"/>
    <w:rsid w:val="009B2D1B"/>
    <w:rsid w:val="009B710D"/>
    <w:rsid w:val="009C0F40"/>
    <w:rsid w:val="009D07E4"/>
    <w:rsid w:val="009D3FA8"/>
    <w:rsid w:val="009E0C9B"/>
    <w:rsid w:val="009E3A15"/>
    <w:rsid w:val="009E4D9D"/>
    <w:rsid w:val="009F5BAA"/>
    <w:rsid w:val="009F7805"/>
    <w:rsid w:val="00A06F56"/>
    <w:rsid w:val="00A1079E"/>
    <w:rsid w:val="00A10FA1"/>
    <w:rsid w:val="00A13C43"/>
    <w:rsid w:val="00A1790F"/>
    <w:rsid w:val="00A32127"/>
    <w:rsid w:val="00A50107"/>
    <w:rsid w:val="00A55AB8"/>
    <w:rsid w:val="00A55D5A"/>
    <w:rsid w:val="00A654E4"/>
    <w:rsid w:val="00A705B4"/>
    <w:rsid w:val="00A7212E"/>
    <w:rsid w:val="00A73413"/>
    <w:rsid w:val="00A74E6A"/>
    <w:rsid w:val="00A779BE"/>
    <w:rsid w:val="00A90139"/>
    <w:rsid w:val="00A9134D"/>
    <w:rsid w:val="00A9650D"/>
    <w:rsid w:val="00AA3AA1"/>
    <w:rsid w:val="00AB10E8"/>
    <w:rsid w:val="00AB1243"/>
    <w:rsid w:val="00AB2C03"/>
    <w:rsid w:val="00AE24DB"/>
    <w:rsid w:val="00AE6E36"/>
    <w:rsid w:val="00AE7B11"/>
    <w:rsid w:val="00AF5EDE"/>
    <w:rsid w:val="00AF6720"/>
    <w:rsid w:val="00B01403"/>
    <w:rsid w:val="00B05CAC"/>
    <w:rsid w:val="00B0677C"/>
    <w:rsid w:val="00B12B36"/>
    <w:rsid w:val="00B12D70"/>
    <w:rsid w:val="00B17E38"/>
    <w:rsid w:val="00B204C3"/>
    <w:rsid w:val="00B22504"/>
    <w:rsid w:val="00B24018"/>
    <w:rsid w:val="00B2622D"/>
    <w:rsid w:val="00B31BFF"/>
    <w:rsid w:val="00B328CB"/>
    <w:rsid w:val="00B3345F"/>
    <w:rsid w:val="00B404A3"/>
    <w:rsid w:val="00B4735A"/>
    <w:rsid w:val="00B5761C"/>
    <w:rsid w:val="00B60D74"/>
    <w:rsid w:val="00B60E4C"/>
    <w:rsid w:val="00B61638"/>
    <w:rsid w:val="00B63FA4"/>
    <w:rsid w:val="00B7101A"/>
    <w:rsid w:val="00B760DA"/>
    <w:rsid w:val="00B77C7F"/>
    <w:rsid w:val="00B90DE5"/>
    <w:rsid w:val="00BA4D04"/>
    <w:rsid w:val="00BB2A89"/>
    <w:rsid w:val="00BB6D8E"/>
    <w:rsid w:val="00BC0C92"/>
    <w:rsid w:val="00BC0FDF"/>
    <w:rsid w:val="00BD06B5"/>
    <w:rsid w:val="00BD3451"/>
    <w:rsid w:val="00BD3B20"/>
    <w:rsid w:val="00BD7761"/>
    <w:rsid w:val="00BE4DE7"/>
    <w:rsid w:val="00BE7A66"/>
    <w:rsid w:val="00BF13C4"/>
    <w:rsid w:val="00C07036"/>
    <w:rsid w:val="00C0786E"/>
    <w:rsid w:val="00C11F55"/>
    <w:rsid w:val="00C20B38"/>
    <w:rsid w:val="00C2351F"/>
    <w:rsid w:val="00C23DFF"/>
    <w:rsid w:val="00C258F8"/>
    <w:rsid w:val="00C30780"/>
    <w:rsid w:val="00C30CEC"/>
    <w:rsid w:val="00C3180A"/>
    <w:rsid w:val="00C31A42"/>
    <w:rsid w:val="00C31B3F"/>
    <w:rsid w:val="00C32D4F"/>
    <w:rsid w:val="00C40903"/>
    <w:rsid w:val="00C43606"/>
    <w:rsid w:val="00C44CAA"/>
    <w:rsid w:val="00C4742F"/>
    <w:rsid w:val="00C51587"/>
    <w:rsid w:val="00C57992"/>
    <w:rsid w:val="00C603E3"/>
    <w:rsid w:val="00C71DE4"/>
    <w:rsid w:val="00C74C65"/>
    <w:rsid w:val="00C80978"/>
    <w:rsid w:val="00C862EF"/>
    <w:rsid w:val="00C87335"/>
    <w:rsid w:val="00C93BDD"/>
    <w:rsid w:val="00C94DE2"/>
    <w:rsid w:val="00CA4137"/>
    <w:rsid w:val="00CA4B62"/>
    <w:rsid w:val="00CB0D2D"/>
    <w:rsid w:val="00CB2C6D"/>
    <w:rsid w:val="00CB4A53"/>
    <w:rsid w:val="00CB5FEE"/>
    <w:rsid w:val="00CC08FD"/>
    <w:rsid w:val="00CD1796"/>
    <w:rsid w:val="00CD5D6B"/>
    <w:rsid w:val="00CE07DF"/>
    <w:rsid w:val="00CE37C6"/>
    <w:rsid w:val="00CE58AF"/>
    <w:rsid w:val="00CF24D3"/>
    <w:rsid w:val="00CF48C7"/>
    <w:rsid w:val="00D0308B"/>
    <w:rsid w:val="00D104A7"/>
    <w:rsid w:val="00D12909"/>
    <w:rsid w:val="00D12CCE"/>
    <w:rsid w:val="00D145AD"/>
    <w:rsid w:val="00D1768F"/>
    <w:rsid w:val="00D212AA"/>
    <w:rsid w:val="00D335D2"/>
    <w:rsid w:val="00D36F62"/>
    <w:rsid w:val="00D44DD5"/>
    <w:rsid w:val="00D54E9A"/>
    <w:rsid w:val="00D6073C"/>
    <w:rsid w:val="00D65982"/>
    <w:rsid w:val="00D67DFE"/>
    <w:rsid w:val="00D70E93"/>
    <w:rsid w:val="00D71CC8"/>
    <w:rsid w:val="00D734AB"/>
    <w:rsid w:val="00D73577"/>
    <w:rsid w:val="00D73C0F"/>
    <w:rsid w:val="00D75784"/>
    <w:rsid w:val="00D77A4D"/>
    <w:rsid w:val="00D86F9E"/>
    <w:rsid w:val="00D91B8A"/>
    <w:rsid w:val="00D94E2A"/>
    <w:rsid w:val="00D96417"/>
    <w:rsid w:val="00DA0210"/>
    <w:rsid w:val="00DA183D"/>
    <w:rsid w:val="00DB0CAA"/>
    <w:rsid w:val="00DB239C"/>
    <w:rsid w:val="00DB3B70"/>
    <w:rsid w:val="00DB5AC8"/>
    <w:rsid w:val="00DC698D"/>
    <w:rsid w:val="00DC75AA"/>
    <w:rsid w:val="00DD0659"/>
    <w:rsid w:val="00DD55C5"/>
    <w:rsid w:val="00DD6D73"/>
    <w:rsid w:val="00DE3558"/>
    <w:rsid w:val="00DF62A5"/>
    <w:rsid w:val="00E018B6"/>
    <w:rsid w:val="00E11C51"/>
    <w:rsid w:val="00E12ECF"/>
    <w:rsid w:val="00E17861"/>
    <w:rsid w:val="00E364FA"/>
    <w:rsid w:val="00E37124"/>
    <w:rsid w:val="00E41460"/>
    <w:rsid w:val="00E41B52"/>
    <w:rsid w:val="00E41C14"/>
    <w:rsid w:val="00E41D35"/>
    <w:rsid w:val="00E47688"/>
    <w:rsid w:val="00E53E3E"/>
    <w:rsid w:val="00E64EBC"/>
    <w:rsid w:val="00E6665B"/>
    <w:rsid w:val="00E67795"/>
    <w:rsid w:val="00E7190C"/>
    <w:rsid w:val="00E74844"/>
    <w:rsid w:val="00E74871"/>
    <w:rsid w:val="00E75FBB"/>
    <w:rsid w:val="00E76F41"/>
    <w:rsid w:val="00E8247A"/>
    <w:rsid w:val="00E86375"/>
    <w:rsid w:val="00E937DA"/>
    <w:rsid w:val="00EA0B4C"/>
    <w:rsid w:val="00EA6FE7"/>
    <w:rsid w:val="00EB199D"/>
    <w:rsid w:val="00EB5475"/>
    <w:rsid w:val="00EC38BC"/>
    <w:rsid w:val="00EC6A37"/>
    <w:rsid w:val="00ED3462"/>
    <w:rsid w:val="00ED73ED"/>
    <w:rsid w:val="00EE163F"/>
    <w:rsid w:val="00EE2B81"/>
    <w:rsid w:val="00EE7EB5"/>
    <w:rsid w:val="00EF52E7"/>
    <w:rsid w:val="00F01C32"/>
    <w:rsid w:val="00F03D81"/>
    <w:rsid w:val="00F071FF"/>
    <w:rsid w:val="00F14109"/>
    <w:rsid w:val="00F161E1"/>
    <w:rsid w:val="00F1724E"/>
    <w:rsid w:val="00F23022"/>
    <w:rsid w:val="00F248E0"/>
    <w:rsid w:val="00F26672"/>
    <w:rsid w:val="00F309B8"/>
    <w:rsid w:val="00F3180F"/>
    <w:rsid w:val="00F34F4F"/>
    <w:rsid w:val="00F40817"/>
    <w:rsid w:val="00F4220A"/>
    <w:rsid w:val="00F425A6"/>
    <w:rsid w:val="00F437FB"/>
    <w:rsid w:val="00F577F6"/>
    <w:rsid w:val="00F6170F"/>
    <w:rsid w:val="00F61AC5"/>
    <w:rsid w:val="00F72086"/>
    <w:rsid w:val="00F72466"/>
    <w:rsid w:val="00F72F67"/>
    <w:rsid w:val="00F736B6"/>
    <w:rsid w:val="00F753E2"/>
    <w:rsid w:val="00F7590E"/>
    <w:rsid w:val="00F75E9F"/>
    <w:rsid w:val="00F7776F"/>
    <w:rsid w:val="00F8384F"/>
    <w:rsid w:val="00F84B82"/>
    <w:rsid w:val="00F90247"/>
    <w:rsid w:val="00F94F7B"/>
    <w:rsid w:val="00FA2377"/>
    <w:rsid w:val="00FA2C72"/>
    <w:rsid w:val="00FA4C01"/>
    <w:rsid w:val="00FA4E84"/>
    <w:rsid w:val="00FA6CD9"/>
    <w:rsid w:val="00FB3710"/>
    <w:rsid w:val="00FB41A7"/>
    <w:rsid w:val="00FB7CF7"/>
    <w:rsid w:val="00FC1336"/>
    <w:rsid w:val="00FD4477"/>
    <w:rsid w:val="00FD78C2"/>
    <w:rsid w:val="00FE0ECD"/>
    <w:rsid w:val="00FF0552"/>
    <w:rsid w:val="00FF1BE9"/>
    <w:rsid w:val="00FF348C"/>
    <w:rsid w:val="00FF471C"/>
    <w:rsid w:val="00FF4A43"/>
    <w:rsid w:val="00FF5F2F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DB0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basedOn w:val="Normln"/>
    <w:link w:val="TextkomenteChar"/>
    <w:semiHidden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9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7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8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3C0442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  <w:tabs>
        <w:tab w:val="left" w:pos="425"/>
      </w:tabs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3C0442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12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hvzdika">
    <w:name w:val="hvězdička"/>
    <w:basedOn w:val="Normln"/>
    <w:next w:val="Normln"/>
    <w:qFormat/>
    <w:rsid w:val="00B63FA4"/>
    <w:pPr>
      <w:spacing w:before="120" w:after="120"/>
      <w:jc w:val="left"/>
    </w:pPr>
    <w:rPr>
      <w:sz w:val="16"/>
      <w:szCs w:val="16"/>
    </w:rPr>
  </w:style>
  <w:style w:type="numbering" w:customStyle="1" w:styleId="slovn-velkpsmena">
    <w:name w:val="číslování - velká písmena"/>
    <w:uiPriority w:val="99"/>
    <w:rsid w:val="004137C8"/>
    <w:pPr>
      <w:numPr>
        <w:numId w:val="26"/>
      </w:numPr>
    </w:pPr>
  </w:style>
  <w:style w:type="paragraph" w:customStyle="1" w:styleId="slovn-Velkpsmena0">
    <w:name w:val="číslování - Velká písmena"/>
    <w:basedOn w:val="Normln"/>
    <w:qFormat/>
    <w:rsid w:val="00207D6B"/>
    <w:pPr>
      <w:numPr>
        <w:numId w:val="25"/>
      </w:numPr>
      <w:spacing w:before="480" w:after="240"/>
    </w:pPr>
  </w:style>
  <w:style w:type="paragraph" w:customStyle="1" w:styleId="Styl10bZarovnatdobloku">
    <w:name w:val="Styl 10 b. Zarovnat do bloku"/>
    <w:basedOn w:val="Normln"/>
    <w:autoRedefine/>
    <w:uiPriority w:val="99"/>
    <w:rsid w:val="009B2D1B"/>
    <w:pPr>
      <w:tabs>
        <w:tab w:val="left" w:pos="426"/>
      </w:tabs>
      <w:ind w:left="459" w:hanging="33"/>
    </w:pPr>
    <w:rPr>
      <w:szCs w:val="20"/>
    </w:rPr>
  </w:style>
  <w:style w:type="paragraph" w:styleId="Zkladntext3">
    <w:name w:val="Body Text 3"/>
    <w:basedOn w:val="Normln"/>
    <w:link w:val="Zkladntext3Char"/>
    <w:semiHidden/>
    <w:unhideWhenUsed/>
    <w:rsid w:val="009B2D1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9B2D1B"/>
    <w:rPr>
      <w:rFonts w:ascii="Koop Office" w:eastAsia="Times New Roman" w:hAnsi="Koop Office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DB0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basedOn w:val="Normln"/>
    <w:link w:val="TextkomenteChar"/>
    <w:semiHidden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9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7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8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3C0442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  <w:tabs>
        <w:tab w:val="left" w:pos="425"/>
      </w:tabs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3C0442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12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hvzdika">
    <w:name w:val="hvězdička"/>
    <w:basedOn w:val="Normln"/>
    <w:next w:val="Normln"/>
    <w:qFormat/>
    <w:rsid w:val="00B63FA4"/>
    <w:pPr>
      <w:spacing w:before="120" w:after="120"/>
      <w:jc w:val="left"/>
    </w:pPr>
    <w:rPr>
      <w:sz w:val="16"/>
      <w:szCs w:val="16"/>
    </w:rPr>
  </w:style>
  <w:style w:type="numbering" w:customStyle="1" w:styleId="slovn-velkpsmena">
    <w:name w:val="číslování - velká písmena"/>
    <w:uiPriority w:val="99"/>
    <w:rsid w:val="004137C8"/>
    <w:pPr>
      <w:numPr>
        <w:numId w:val="26"/>
      </w:numPr>
    </w:pPr>
  </w:style>
  <w:style w:type="paragraph" w:customStyle="1" w:styleId="slovn-Velkpsmena0">
    <w:name w:val="číslování - Velká písmena"/>
    <w:basedOn w:val="Normln"/>
    <w:qFormat/>
    <w:rsid w:val="00207D6B"/>
    <w:pPr>
      <w:numPr>
        <w:numId w:val="25"/>
      </w:numPr>
      <w:spacing w:before="480" w:after="240"/>
    </w:pPr>
  </w:style>
  <w:style w:type="paragraph" w:customStyle="1" w:styleId="Styl10bZarovnatdobloku">
    <w:name w:val="Styl 10 b. Zarovnat do bloku"/>
    <w:basedOn w:val="Normln"/>
    <w:autoRedefine/>
    <w:uiPriority w:val="99"/>
    <w:rsid w:val="009B2D1B"/>
    <w:pPr>
      <w:tabs>
        <w:tab w:val="left" w:pos="426"/>
      </w:tabs>
      <w:ind w:left="459" w:hanging="33"/>
    </w:pPr>
    <w:rPr>
      <w:szCs w:val="20"/>
    </w:rPr>
  </w:style>
  <w:style w:type="paragraph" w:styleId="Zkladntext3">
    <w:name w:val="Body Text 3"/>
    <w:basedOn w:val="Normln"/>
    <w:link w:val="Zkladntext3Char"/>
    <w:semiHidden/>
    <w:unhideWhenUsed/>
    <w:rsid w:val="009B2D1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9B2D1B"/>
    <w:rPr>
      <w:rFonts w:ascii="Koop Office" w:eastAsia="Times New Roman" w:hAnsi="Koop Office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C63BB-9AFE-4B03-B17B-920162CB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1861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12818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Stromšík Jakub</dc:creator>
  <cp:lastModifiedBy>Bisová Hana</cp:lastModifiedBy>
  <cp:revision>3</cp:revision>
  <dcterms:created xsi:type="dcterms:W3CDTF">2017-05-24T08:41:00Z</dcterms:created>
  <dcterms:modified xsi:type="dcterms:W3CDTF">2017-05-24T08:51:00Z</dcterms:modified>
</cp:coreProperties>
</file>