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6F4FB2C" w14:textId="2FDD90F0" w:rsidR="0085371C" w:rsidRPr="008F228A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8F228A">
        <w:rPr>
          <w:b/>
          <w:color w:val="auto"/>
          <w:sz w:val="36"/>
          <w:szCs w:val="24"/>
        </w:rPr>
        <w:t xml:space="preserve">Dodatek č. </w:t>
      </w:r>
      <w:r w:rsidR="00EC26CC">
        <w:rPr>
          <w:b/>
          <w:color w:val="auto"/>
          <w:sz w:val="36"/>
          <w:szCs w:val="24"/>
        </w:rPr>
        <w:t>1</w:t>
      </w:r>
      <w:r w:rsidR="00002811">
        <w:rPr>
          <w:b/>
          <w:color w:val="auto"/>
          <w:sz w:val="36"/>
          <w:szCs w:val="24"/>
        </w:rPr>
        <w:t xml:space="preserve"> </w:t>
      </w:r>
      <w:r w:rsidRPr="008F228A">
        <w:rPr>
          <w:b/>
          <w:color w:val="auto"/>
          <w:sz w:val="36"/>
          <w:szCs w:val="24"/>
        </w:rPr>
        <w:t>ke smlouvě o dílo</w:t>
      </w:r>
    </w:p>
    <w:p w14:paraId="4BC27C54" w14:textId="77777777" w:rsidR="002004FA" w:rsidRPr="00077FD4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32"/>
          <w:szCs w:val="32"/>
        </w:rPr>
        <w:t xml:space="preserve">  </w:t>
      </w:r>
      <w:r w:rsidR="002004FA" w:rsidRPr="00077FD4">
        <w:rPr>
          <w:b/>
          <w:color w:val="auto"/>
          <w:sz w:val="40"/>
          <w:szCs w:val="40"/>
        </w:rPr>
        <w:t>č. VZ 51/2021</w:t>
      </w:r>
      <w:r w:rsidR="002004FA">
        <w:rPr>
          <w:b/>
          <w:color w:val="auto"/>
          <w:sz w:val="40"/>
          <w:szCs w:val="40"/>
        </w:rPr>
        <w:t xml:space="preserve"> část A</w:t>
      </w:r>
    </w:p>
    <w:p w14:paraId="7F2889C3" w14:textId="77777777" w:rsidR="002004FA" w:rsidRPr="00077FD4" w:rsidRDefault="002004FA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 w:rsidRPr="00077FD4">
        <w:rPr>
          <w:b/>
          <w:color w:val="auto"/>
          <w:sz w:val="40"/>
          <w:szCs w:val="40"/>
        </w:rPr>
        <w:t>ID:335V312002201</w:t>
      </w:r>
    </w:p>
    <w:p w14:paraId="76D0F3B3" w14:textId="5126777B" w:rsidR="0022187D" w:rsidRPr="006D7007" w:rsidRDefault="0022187D" w:rsidP="002004FA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</w:t>
      </w:r>
      <w:r w:rsidR="00A904E1" w:rsidRPr="008F228A">
        <w:rPr>
          <w:szCs w:val="24"/>
        </w:rPr>
        <w:t xml:space="preserve">uzavřené dne </w:t>
      </w:r>
      <w:r w:rsidR="003C0D0A">
        <w:rPr>
          <w:szCs w:val="24"/>
        </w:rPr>
        <w:t>20. 4. 2020</w:t>
      </w:r>
      <w:r w:rsidR="00A904E1" w:rsidRPr="008F228A">
        <w:rPr>
          <w:szCs w:val="24"/>
        </w:rPr>
        <w:t xml:space="preserve">  mezi těmito smluvními stranami:</w:t>
      </w:r>
    </w:p>
    <w:p w14:paraId="741A9783" w14:textId="77777777" w:rsidR="001F1FCE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73FF35F7" w14:textId="77777777" w:rsidR="001F1FCE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C233A">
        <w:rPr>
          <w:rFonts w:ascii="Times New Roman" w:hAnsi="Times New Roman"/>
        </w:rPr>
        <w:t>Státní příspěvková organizace, Zřizovací listina MZ ČR ze dne 29. 5. 2012, č. j. 17267-</w:t>
      </w:r>
    </w:p>
    <w:p w14:paraId="3B337F31" w14:textId="20C641F0" w:rsidR="001F1FCE" w:rsidRPr="00660CA5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  <w:b/>
        </w:rPr>
      </w:pPr>
      <w:r w:rsidRPr="002C233A">
        <w:rPr>
          <w:rFonts w:ascii="Times New Roman" w:hAnsi="Times New Roman"/>
        </w:rPr>
        <w:t xml:space="preserve">X/2012  </w:t>
      </w:r>
      <w:r w:rsidRPr="00660C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60CA5">
        <w:rPr>
          <w:rFonts w:ascii="Times New Roman" w:hAnsi="Times New Roman"/>
          <w:b/>
        </w:rPr>
        <w:t xml:space="preserve">                                 </w:t>
      </w:r>
    </w:p>
    <w:p w14:paraId="41A3455B" w14:textId="7777777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Sídlo:</w:t>
      </w:r>
      <w:r w:rsidRPr="0092153B">
        <w:rPr>
          <w:rFonts w:ascii="Times New Roman" w:hAnsi="Times New Roman"/>
          <w:b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 xml:space="preserve">Šternberk, Olomoucká 1848/173, PSČ 785 01 </w:t>
      </w:r>
    </w:p>
    <w:p w14:paraId="2FA883A2" w14:textId="77777777" w:rsidR="001F1FCE" w:rsidRPr="0092153B" w:rsidRDefault="001F1FCE" w:rsidP="001F1FC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IČ:  00843954</w:t>
      </w:r>
    </w:p>
    <w:p w14:paraId="6ECEB3F1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            DIČ:  CZ00843954</w:t>
      </w:r>
    </w:p>
    <w:p w14:paraId="0ADA1971" w14:textId="274EBCA3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Bankovní spojení: </w:t>
      </w:r>
      <w:r w:rsidR="00870F5C">
        <w:rPr>
          <w:rFonts w:ascii="Times New Roman" w:hAnsi="Times New Roman"/>
          <w:szCs w:val="24"/>
        </w:rPr>
        <w:t>xxxxxxxxxxx</w:t>
      </w:r>
    </w:p>
    <w:p w14:paraId="6C0EC550" w14:textId="403DB450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Číslo účtu: </w:t>
      </w:r>
      <w:r w:rsidR="00870F5C">
        <w:rPr>
          <w:rFonts w:ascii="Times New Roman" w:hAnsi="Times New Roman"/>
          <w:szCs w:val="24"/>
        </w:rPr>
        <w:t>xxxxxxxxxxxxxxxxx</w:t>
      </w:r>
      <w:r w:rsidRPr="0092153B">
        <w:rPr>
          <w:rFonts w:ascii="Times New Roman" w:hAnsi="Times New Roman"/>
          <w:szCs w:val="24"/>
        </w:rPr>
        <w:t xml:space="preserve">      </w:t>
      </w:r>
    </w:p>
    <w:p w14:paraId="0DB46FEC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</w:t>
      </w:r>
      <w:r w:rsidRPr="0092153B">
        <w:rPr>
          <w:rFonts w:ascii="Times New Roman" w:hAnsi="Times New Roman"/>
          <w:szCs w:val="24"/>
        </w:rPr>
        <w:tab/>
        <w:t xml:space="preserve">      Zastoupena:  MUDr. Hanou Kučerovou, ředitelkou</w:t>
      </w:r>
    </w:p>
    <w:p w14:paraId="5E366CE6" w14:textId="77777777" w:rsidR="001F1FCE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ab/>
      </w:r>
      <w:r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objednatel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14:paraId="68FCAE49" w14:textId="77777777" w:rsidR="001F1FCE" w:rsidRPr="0092153B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0B71497" w14:textId="77777777" w:rsidR="001F1FCE" w:rsidRPr="0092153B" w:rsidRDefault="001F1FCE" w:rsidP="001F1FCE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92153B">
        <w:rPr>
          <w:rFonts w:ascii="Times New Roman" w:hAnsi="Times New Roman"/>
          <w:b/>
          <w:iCs/>
          <w:spacing w:val="-4"/>
          <w:szCs w:val="24"/>
        </w:rPr>
        <w:t>a</w:t>
      </w:r>
    </w:p>
    <w:p w14:paraId="4A9DB82D" w14:textId="77777777" w:rsidR="001F1FCE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</w:p>
    <w:p w14:paraId="0F73099A" w14:textId="77777777" w:rsidR="002004FA" w:rsidRPr="00077FD4" w:rsidRDefault="002004FA" w:rsidP="002004F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ESOX, spol. s r.o.</w:t>
      </w:r>
    </w:p>
    <w:p w14:paraId="4B441184" w14:textId="77777777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Sídlo:</w:t>
      </w:r>
      <w:r>
        <w:rPr>
          <w:rFonts w:ascii="Times New Roman" w:hAnsi="Times New Roman"/>
          <w:spacing w:val="-2"/>
        </w:rPr>
        <w:t xml:space="preserve"> Brno,</w:t>
      </w:r>
      <w:r w:rsidRPr="00077FD4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Libušina třída 826/23, </w:t>
      </w:r>
      <w:r w:rsidRPr="00077FD4">
        <w:rPr>
          <w:rFonts w:ascii="Times New Roman" w:hAnsi="Times New Roman"/>
          <w:spacing w:val="-2"/>
        </w:rPr>
        <w:t xml:space="preserve">PSČ </w:t>
      </w:r>
      <w:r>
        <w:rPr>
          <w:rFonts w:ascii="Times New Roman" w:hAnsi="Times New Roman"/>
          <w:spacing w:val="-2"/>
        </w:rPr>
        <w:t>623 00</w:t>
      </w:r>
    </w:p>
    <w:p w14:paraId="0D60D41E" w14:textId="77777777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IČ</w:t>
      </w:r>
      <w:r>
        <w:rPr>
          <w:rFonts w:ascii="Times New Roman" w:hAnsi="Times New Roman"/>
          <w:spacing w:val="-2"/>
        </w:rPr>
        <w:t>: 00558010</w:t>
      </w:r>
    </w:p>
    <w:p w14:paraId="56B62A3C" w14:textId="77777777" w:rsidR="002004FA" w:rsidRPr="00077FD4" w:rsidRDefault="002004FA" w:rsidP="002004FA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077FD4">
        <w:rPr>
          <w:rFonts w:ascii="Times New Roman" w:hAnsi="Times New Roman"/>
          <w:spacing w:val="-2"/>
        </w:rPr>
        <w:t>DIČ: CZ</w:t>
      </w:r>
      <w:r>
        <w:rPr>
          <w:rFonts w:ascii="Times New Roman" w:hAnsi="Times New Roman"/>
          <w:spacing w:val="-2"/>
        </w:rPr>
        <w:t>00558010</w:t>
      </w:r>
    </w:p>
    <w:p w14:paraId="257F2780" w14:textId="77777777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Zapsán u </w:t>
      </w:r>
      <w:r w:rsidRPr="00754912">
        <w:rPr>
          <w:rFonts w:ascii="Times New Roman" w:hAnsi="Times New Roman"/>
        </w:rPr>
        <w:t>KS v Brně, oddíl C, vložka 143</w:t>
      </w:r>
    </w:p>
    <w:p w14:paraId="1A1B1BF7" w14:textId="5BED7B1C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Bankovní spojení: </w:t>
      </w:r>
      <w:r w:rsidR="00870F5C">
        <w:rPr>
          <w:rFonts w:ascii="Times New Roman" w:hAnsi="Times New Roman"/>
        </w:rPr>
        <w:t>xxxxxxxxxxxx</w:t>
      </w:r>
    </w:p>
    <w:p w14:paraId="1D0C8AA1" w14:textId="02953CB7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</w:rPr>
        <w:t xml:space="preserve">Číslo účtu: </w:t>
      </w:r>
      <w:r w:rsidR="00870F5C">
        <w:rPr>
          <w:rFonts w:ascii="Times New Roman" w:hAnsi="Times New Roman"/>
        </w:rPr>
        <w:t>xxxxxxxxxxxxxxxxxx</w:t>
      </w:r>
    </w:p>
    <w:p w14:paraId="052F094D" w14:textId="77777777" w:rsidR="002004FA" w:rsidRPr="00754912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077FD4">
        <w:rPr>
          <w:rFonts w:ascii="Times New Roman" w:hAnsi="Times New Roman"/>
          <w:spacing w:val="-2"/>
        </w:rPr>
        <w:t xml:space="preserve">Zastoupena: </w:t>
      </w:r>
      <w:r w:rsidRPr="00754912">
        <w:rPr>
          <w:rFonts w:ascii="Times New Roman" w:hAnsi="Times New Roman"/>
        </w:rPr>
        <w:t>Ing. Jan Polický, jednatel společnosti</w:t>
      </w:r>
    </w:p>
    <w:p w14:paraId="78847508" w14:textId="77777777" w:rsidR="002004FA" w:rsidRPr="00077FD4" w:rsidRDefault="002004FA" w:rsidP="002004FA">
      <w:pPr>
        <w:spacing w:line="276" w:lineRule="auto"/>
        <w:ind w:left="-1416" w:firstLine="1776"/>
        <w:jc w:val="both"/>
        <w:rPr>
          <w:rFonts w:ascii="Times New Roman" w:hAnsi="Times New Roman"/>
        </w:rPr>
      </w:pPr>
      <w:r w:rsidRPr="00754912">
        <w:rPr>
          <w:rFonts w:ascii="Times New Roman" w:hAnsi="Times New Roman"/>
        </w:rPr>
        <w:t xml:space="preserve">                    Ing. Pavel Betlach, prokurista společnosti</w:t>
      </w:r>
    </w:p>
    <w:p w14:paraId="7FC998FE" w14:textId="77777777" w:rsidR="001F1FCE" w:rsidRPr="0092153B" w:rsidRDefault="001F1FCE" w:rsidP="001F1FCE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/>
          <w:szCs w:val="24"/>
        </w:rPr>
      </w:pP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zhotovitel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„zhotovitel“),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7871E3FA" w14:textId="606F34D2" w:rsidR="00807BB9" w:rsidRDefault="0085371C" w:rsidP="005630A2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FE5F52">
        <w:rPr>
          <w:rFonts w:ascii="Times New Roman" w:hAnsi="Times New Roman"/>
        </w:rPr>
        <w:t>1</w:t>
      </w:r>
      <w:r w:rsidR="00E96D02">
        <w:rPr>
          <w:rFonts w:ascii="Times New Roman" w:hAnsi="Times New Roman"/>
        </w:rPr>
        <w:t xml:space="preserve"> </w:t>
      </w:r>
      <w:r w:rsidRPr="00F84498">
        <w:rPr>
          <w:rFonts w:ascii="Times New Roman" w:hAnsi="Times New Roman"/>
        </w:rPr>
        <w:t>se vzájemně dohodli</w:t>
      </w:r>
      <w:r w:rsidR="0016310E">
        <w:rPr>
          <w:rFonts w:ascii="Times New Roman" w:hAnsi="Times New Roman"/>
        </w:rPr>
        <w:t xml:space="preserve"> na níže uvedených změnách</w:t>
      </w:r>
      <w:r w:rsidR="00D06B7B" w:rsidRPr="00F84498">
        <w:rPr>
          <w:rFonts w:ascii="Times New Roman" w:hAnsi="Times New Roman"/>
        </w:rPr>
        <w:t>,</w:t>
      </w:r>
      <w:r w:rsidR="0016310E">
        <w:rPr>
          <w:rFonts w:ascii="Times New Roman" w:hAnsi="Times New Roman"/>
        </w:rPr>
        <w:t xml:space="preserve"> a to </w:t>
      </w:r>
      <w:r w:rsidR="0022187D">
        <w:rPr>
          <w:rFonts w:ascii="Times New Roman" w:hAnsi="Times New Roman"/>
        </w:rPr>
        <w:t xml:space="preserve">změnách týkajících se </w:t>
      </w:r>
      <w:r w:rsidR="008139BC">
        <w:rPr>
          <w:rFonts w:ascii="Times New Roman" w:hAnsi="Times New Roman"/>
        </w:rPr>
        <w:t>čl.</w:t>
      </w:r>
      <w:r w:rsidR="00EA22EC">
        <w:rPr>
          <w:rFonts w:ascii="Times New Roman" w:hAnsi="Times New Roman"/>
        </w:rPr>
        <w:t xml:space="preserve"> </w:t>
      </w:r>
      <w:r w:rsidR="00083723">
        <w:rPr>
          <w:rFonts w:ascii="Times New Roman" w:hAnsi="Times New Roman"/>
        </w:rPr>
        <w:t>II</w:t>
      </w:r>
      <w:r w:rsidR="000F108F">
        <w:rPr>
          <w:rFonts w:ascii="Times New Roman" w:hAnsi="Times New Roman"/>
        </w:rPr>
        <w:t>.,</w:t>
      </w:r>
      <w:r w:rsidR="00EA22EC">
        <w:rPr>
          <w:rFonts w:ascii="Times New Roman" w:hAnsi="Times New Roman"/>
        </w:rPr>
        <w:t xml:space="preserve"> </w:t>
      </w:r>
      <w:r w:rsidR="002004FA">
        <w:rPr>
          <w:rFonts w:ascii="Times New Roman" w:hAnsi="Times New Roman"/>
        </w:rPr>
        <w:t>č</w:t>
      </w:r>
      <w:r w:rsidR="00EA22EC">
        <w:rPr>
          <w:rFonts w:ascii="Times New Roman" w:hAnsi="Times New Roman"/>
        </w:rPr>
        <w:t xml:space="preserve">. </w:t>
      </w:r>
      <w:r w:rsidR="00BD0DE3">
        <w:rPr>
          <w:rFonts w:ascii="Times New Roman" w:hAnsi="Times New Roman"/>
        </w:rPr>
        <w:t>III</w:t>
      </w:r>
      <w:r w:rsidR="00D95A15">
        <w:rPr>
          <w:rFonts w:ascii="Times New Roman" w:hAnsi="Times New Roman"/>
        </w:rPr>
        <w:t>.</w:t>
      </w:r>
      <w:r w:rsidR="002004FA">
        <w:rPr>
          <w:rFonts w:ascii="Times New Roman" w:hAnsi="Times New Roman"/>
        </w:rPr>
        <w:t xml:space="preserve"> a</w:t>
      </w:r>
      <w:r w:rsidR="00EA22EC">
        <w:rPr>
          <w:rFonts w:ascii="Times New Roman" w:hAnsi="Times New Roman"/>
        </w:rPr>
        <w:t xml:space="preserve"> </w:t>
      </w:r>
      <w:r w:rsidR="002004FA">
        <w:rPr>
          <w:rFonts w:ascii="Times New Roman" w:hAnsi="Times New Roman"/>
        </w:rPr>
        <w:t xml:space="preserve"> čl. IV. </w:t>
      </w:r>
      <w:r w:rsidR="00EA22EC">
        <w:rPr>
          <w:rFonts w:ascii="Times New Roman" w:hAnsi="Times New Roman"/>
        </w:rPr>
        <w:t>smlouvy o dílo.</w:t>
      </w:r>
    </w:p>
    <w:p w14:paraId="50584830" w14:textId="277F5A39" w:rsidR="00511C37" w:rsidRPr="00511C37" w:rsidRDefault="00442D90" w:rsidP="00BE7F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</w:t>
      </w:r>
      <w:r w:rsidR="00511C37" w:rsidRPr="00511C37">
        <w:rPr>
          <w:rFonts w:ascii="Times New Roman" w:hAnsi="Times New Roman"/>
        </w:rPr>
        <w:t xml:space="preserve">odatek je uzavírán v souladu s ustanovením § 222 odst. 4 a 6 zákona č. 134/2016 Sb., o zadávání veřejných zakázek. Označení jednotlivých </w:t>
      </w:r>
      <w:r>
        <w:rPr>
          <w:rFonts w:ascii="Times New Roman" w:hAnsi="Times New Roman"/>
        </w:rPr>
        <w:t>článků a odstavců níže v tomto d</w:t>
      </w:r>
      <w:r w:rsidR="00511C37"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mlouvě. Smluvní strany z důvodu právní jistoty sjednávají, že pokud některá ujednání tohoto Dodatku budou v rozporu s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mlouvě, mají přednost ujednání tohoto </w:t>
      </w:r>
      <w:r w:rsidR="00F0478C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před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>mlouvě.</w:t>
      </w:r>
    </w:p>
    <w:p w14:paraId="58EE7DAD" w14:textId="77777777" w:rsidR="00511C37" w:rsidRPr="00F84498" w:rsidRDefault="00511C37" w:rsidP="005630A2">
      <w:pPr>
        <w:ind w:firstLine="708"/>
        <w:jc w:val="both"/>
        <w:rPr>
          <w:rFonts w:ascii="Times New Roman" w:hAnsi="Times New Roman"/>
        </w:rPr>
      </w:pPr>
    </w:p>
    <w:p w14:paraId="4443DE70" w14:textId="77777777" w:rsidR="0016310E" w:rsidRPr="0092153B" w:rsidRDefault="0016310E" w:rsidP="0016310E">
      <w:pPr>
        <w:jc w:val="both"/>
        <w:rPr>
          <w:rFonts w:ascii="Times New Roman" w:hAnsi="Times New Roman"/>
          <w:szCs w:val="24"/>
        </w:rPr>
      </w:pPr>
    </w:p>
    <w:p w14:paraId="312BB433" w14:textId="77777777" w:rsidR="00C92A33" w:rsidRPr="00267F12" w:rsidRDefault="00C92A33" w:rsidP="00267F12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1B4D590E" w14:textId="77777777" w:rsidR="0044097C" w:rsidRDefault="0044097C" w:rsidP="002B07D0">
      <w:pPr>
        <w:pStyle w:val="Zkladntext"/>
        <w:spacing w:line="276" w:lineRule="auto"/>
        <w:jc w:val="both"/>
        <w:rPr>
          <w:b/>
          <w:szCs w:val="24"/>
        </w:rPr>
      </w:pPr>
    </w:p>
    <w:p w14:paraId="270120A6" w14:textId="0FE33AA4" w:rsidR="002004FA" w:rsidRDefault="00C92A33" w:rsidP="002B07D0">
      <w:pPr>
        <w:pStyle w:val="Zkladntext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A. </w:t>
      </w:r>
      <w:r w:rsidR="00DB5EEC">
        <w:rPr>
          <w:b/>
          <w:szCs w:val="24"/>
        </w:rPr>
        <w:t xml:space="preserve"> Změna předmětu díla</w:t>
      </w:r>
    </w:p>
    <w:p w14:paraId="159667BA" w14:textId="39374193" w:rsidR="00A8540B" w:rsidRDefault="00A8540B" w:rsidP="00A854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průběhu realizace stavebních prací </w:t>
      </w:r>
      <w:r w:rsidRPr="00774583">
        <w:rPr>
          <w:rFonts w:ascii="Times New Roman" w:hAnsi="Times New Roman"/>
        </w:rPr>
        <w:t xml:space="preserve">byly </w:t>
      </w:r>
      <w:r w:rsidRPr="00791486">
        <w:rPr>
          <w:rFonts w:ascii="Times New Roman" w:hAnsi="Times New Roman"/>
        </w:rPr>
        <w:t xml:space="preserve">zjištěny </w:t>
      </w:r>
      <w:r>
        <w:rPr>
          <w:rFonts w:ascii="Times New Roman" w:hAnsi="Times New Roman"/>
        </w:rPr>
        <w:t xml:space="preserve">nepředvídatelné </w:t>
      </w:r>
      <w:r w:rsidRPr="00791486">
        <w:rPr>
          <w:rFonts w:ascii="Times New Roman" w:hAnsi="Times New Roman"/>
        </w:rPr>
        <w:t>změny</w:t>
      </w:r>
      <w:r>
        <w:rPr>
          <w:rFonts w:ascii="Times New Roman" w:hAnsi="Times New Roman"/>
        </w:rPr>
        <w:t xml:space="preserve"> v </w:t>
      </w:r>
      <w:r w:rsidRPr="00791486">
        <w:rPr>
          <w:rFonts w:ascii="Times New Roman" w:hAnsi="Times New Roman"/>
        </w:rPr>
        <w:t>plnění</w:t>
      </w:r>
      <w:r>
        <w:rPr>
          <w:rFonts w:ascii="Times New Roman" w:hAnsi="Times New Roman"/>
        </w:rPr>
        <w:t xml:space="preserve"> smlouvy o dílo</w:t>
      </w:r>
      <w:r w:rsidRPr="00791486">
        <w:rPr>
          <w:rFonts w:ascii="Times New Roman" w:hAnsi="Times New Roman"/>
        </w:rPr>
        <w:t xml:space="preserve">, jež jsou </w:t>
      </w:r>
      <w:r>
        <w:rPr>
          <w:rFonts w:ascii="Times New Roman" w:hAnsi="Times New Roman"/>
        </w:rPr>
        <w:t xml:space="preserve">dále </w:t>
      </w:r>
      <w:r w:rsidRPr="00791486">
        <w:rPr>
          <w:rFonts w:ascii="Times New Roman" w:hAnsi="Times New Roman"/>
        </w:rPr>
        <w:t>popsány níže</w:t>
      </w:r>
      <w:r>
        <w:rPr>
          <w:rFonts w:ascii="Times New Roman" w:hAnsi="Times New Roman"/>
        </w:rPr>
        <w:t>,</w:t>
      </w:r>
      <w:r w:rsidRPr="00791486">
        <w:rPr>
          <w:rFonts w:ascii="Times New Roman" w:hAnsi="Times New Roman"/>
        </w:rPr>
        <w:t xml:space="preserve"> odst. </w:t>
      </w:r>
      <w:r>
        <w:rPr>
          <w:rFonts w:ascii="Times New Roman" w:hAnsi="Times New Roman"/>
        </w:rPr>
        <w:t>1</w:t>
      </w:r>
      <w:r w:rsidRPr="007914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 tohoto článku.</w:t>
      </w:r>
      <w:r w:rsidRPr="007914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Tyto změny si vyžádaly změnit či doplnit projektovou dokumentaci a zpracovat výkazy výměr</w:t>
      </w:r>
      <w:r w:rsidR="00FD066A">
        <w:rPr>
          <w:rFonts w:ascii="Times New Roman" w:hAnsi="Times New Roman"/>
        </w:rPr>
        <w:t>. Jedná se o změny</w:t>
      </w:r>
      <w:r>
        <w:rPr>
          <w:rFonts w:ascii="Times New Roman" w:hAnsi="Times New Roman"/>
        </w:rPr>
        <w:t>:</w:t>
      </w:r>
    </w:p>
    <w:p w14:paraId="17DB68F7" w14:textId="77777777" w:rsidR="00D86EA2" w:rsidRDefault="00D86EA2" w:rsidP="00A8540B">
      <w:pPr>
        <w:jc w:val="both"/>
        <w:rPr>
          <w:rFonts w:ascii="Times New Roman" w:hAnsi="Times New Roman"/>
        </w:rPr>
      </w:pPr>
    </w:p>
    <w:p w14:paraId="7AD36F7A" w14:textId="43111EB6" w:rsidR="00A8540B" w:rsidRPr="00EC7BD2" w:rsidRDefault="00A8540B" w:rsidP="00EC7BD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</w:rPr>
      </w:pPr>
      <w:r w:rsidRPr="00EC7BD2">
        <w:rPr>
          <w:rFonts w:ascii="Times New Roman" w:hAnsi="Times New Roman"/>
        </w:rPr>
        <w:t>Po provedení výkopových prací pro objekt SO 02 bylo zjištěno, že navržené mikropiloty není možné z</w:t>
      </w:r>
      <w:r w:rsidR="00FD066A" w:rsidRPr="00EC7BD2">
        <w:rPr>
          <w:rFonts w:ascii="Times New Roman" w:hAnsi="Times New Roman"/>
        </w:rPr>
        <w:t xml:space="preserve"> </w:t>
      </w:r>
      <w:r w:rsidR="00E25A19" w:rsidRPr="00EC7BD2">
        <w:rPr>
          <w:rFonts w:ascii="Times New Roman" w:hAnsi="Times New Roman"/>
        </w:rPr>
        <w:t xml:space="preserve">prostorových důvodu realizovat, </w:t>
      </w:r>
      <w:r w:rsidR="00EC7BD2">
        <w:rPr>
          <w:rFonts w:ascii="Times New Roman" w:hAnsi="Times New Roman"/>
        </w:rPr>
        <w:t>jelikož</w:t>
      </w:r>
      <w:r w:rsidR="00EC7BD2" w:rsidRPr="00EC7BD2">
        <w:rPr>
          <w:rFonts w:ascii="Times New Roman" w:hAnsi="Times New Roman"/>
        </w:rPr>
        <w:t xml:space="preserve"> ve stavební jámě nebylo možné umístit technologické zařízení na hloubení mikropilot, byl</w:t>
      </w:r>
      <w:r w:rsidR="00EC7BD2">
        <w:rPr>
          <w:rFonts w:ascii="Times New Roman" w:hAnsi="Times New Roman"/>
        </w:rPr>
        <w:t xml:space="preserve">o statikem navržené jiné řešení </w:t>
      </w:r>
      <w:r w:rsidR="00EC7BD2" w:rsidRPr="00EC7BD2">
        <w:rPr>
          <w:rFonts w:ascii="Times New Roman" w:hAnsi="Times New Roman"/>
        </w:rPr>
        <w:t>s postupným podbetonováním části stávajících základů</w:t>
      </w:r>
      <w:r w:rsidR="00EC7BD2">
        <w:rPr>
          <w:rFonts w:ascii="Times New Roman" w:hAnsi="Times New Roman"/>
        </w:rPr>
        <w:t>,</w:t>
      </w:r>
      <w:r w:rsidR="00EC7BD2" w:rsidRPr="00EC7BD2">
        <w:rPr>
          <w:rFonts w:ascii="Times New Roman" w:hAnsi="Times New Roman"/>
        </w:rPr>
        <w:t xml:space="preserve"> </w:t>
      </w:r>
      <w:r w:rsidR="00E25A19" w:rsidRPr="00EC7BD2">
        <w:rPr>
          <w:rFonts w:ascii="Arie" w:hAnsi="Arie" w:cs="Arial"/>
        </w:rPr>
        <w:t>z toho důvodu statik zpracoval záměnu. Záměna spočívá v částečném postupném podkopu základů stávající budovy a postupném podbetonování části stávajících základů</w:t>
      </w:r>
      <w:r w:rsidR="00E25A19" w:rsidRPr="00EC7BD2">
        <w:rPr>
          <w:rFonts w:ascii="Times New Roman" w:hAnsi="Times New Roman"/>
        </w:rPr>
        <w:t xml:space="preserve">  </w:t>
      </w:r>
      <w:r w:rsidRPr="00EC7BD2">
        <w:rPr>
          <w:rFonts w:ascii="Times New Roman" w:hAnsi="Times New Roman"/>
        </w:rPr>
        <w:t>– viz změnový list č. OZ:1/2023</w:t>
      </w:r>
    </w:p>
    <w:p w14:paraId="551485E1" w14:textId="1169E283" w:rsidR="00A8540B" w:rsidRDefault="00A8540B" w:rsidP="00A8540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Projektovou dokumentací navrhované drenážní šachty byly v kolizi se stávajícím kolektorem</w:t>
      </w:r>
      <w:r w:rsidR="00EC7BD2">
        <w:rPr>
          <w:rFonts w:ascii="Times New Roman" w:hAnsi="Times New Roman"/>
        </w:rPr>
        <w:t xml:space="preserve"> z</w:t>
      </w:r>
      <w:r w:rsidR="00EC7BD2" w:rsidRPr="00EC7BD2">
        <w:rPr>
          <w:rFonts w:ascii="Times New Roman" w:hAnsi="Times New Roman"/>
        </w:rPr>
        <w:t> důvodu, že projektant nemohl předvídat přesné uložení v kolektoru pod povrchem</w:t>
      </w:r>
      <w:r>
        <w:rPr>
          <w:rFonts w:ascii="Times New Roman" w:hAnsi="Times New Roman"/>
        </w:rPr>
        <w:t>. Po posouzení projektantem byly drenážní šachty zrušeny – viz změnový list č. OZ: 2/2023</w:t>
      </w:r>
    </w:p>
    <w:p w14:paraId="67B4983E" w14:textId="2DAF9DB3" w:rsidR="005F518B" w:rsidRPr="00EC7BD2" w:rsidRDefault="00A8540B" w:rsidP="00EC7BD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</w:rPr>
      </w:pPr>
      <w:r w:rsidRPr="00EC7BD2">
        <w:rPr>
          <w:rFonts w:ascii="Times New Roman" w:hAnsi="Times New Roman"/>
        </w:rPr>
        <w:t>Byl proveden nový železobetonový věnec pod pozednicí, který nebyl součástí projektové dokumentace</w:t>
      </w:r>
      <w:r w:rsidR="00EC7BD2" w:rsidRPr="00EC7BD2">
        <w:rPr>
          <w:rFonts w:ascii="Times New Roman" w:hAnsi="Times New Roman"/>
        </w:rPr>
        <w:t xml:space="preserve">, </w:t>
      </w:r>
      <w:r w:rsidR="00EC7BD2">
        <w:rPr>
          <w:rFonts w:ascii="Times New Roman" w:hAnsi="Times New Roman"/>
        </w:rPr>
        <w:t>p</w:t>
      </w:r>
      <w:r w:rsidR="00EC7BD2" w:rsidRPr="00EC7BD2">
        <w:rPr>
          <w:rFonts w:ascii="Times New Roman" w:hAnsi="Times New Roman"/>
        </w:rPr>
        <w:t>rotože  bylo nutné vyrovnat výškové úrovně stávající budovy s novou přístavbou</w:t>
      </w:r>
      <w:r w:rsidR="00EC7BD2">
        <w:rPr>
          <w:rFonts w:ascii="Times New Roman" w:hAnsi="Times New Roman"/>
        </w:rPr>
        <w:t xml:space="preserve"> - </w:t>
      </w:r>
      <w:r w:rsidR="00DB5EEC" w:rsidRPr="00EC7BD2">
        <w:rPr>
          <w:rFonts w:ascii="Times New Roman" w:hAnsi="Times New Roman"/>
        </w:rPr>
        <w:t>viz změnový list č. OZ: 3/2023</w:t>
      </w:r>
    </w:p>
    <w:p w14:paraId="535B7411" w14:textId="10FBF03B" w:rsidR="00A8540B" w:rsidRDefault="00DB5EEC" w:rsidP="00A8540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Uvedené více a méně práce jsou popsány v dokumentech Oznámení změny č. OZ 01/2023, OZ 02/2023, OZ 03/2023 jsou nedílnou součástí tohoto dodatku č. 1 – viz </w:t>
      </w:r>
      <w:r w:rsidR="00B4692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říloha č. </w:t>
      </w:r>
      <w:r w:rsidR="00B469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3DDA57C3" w14:textId="2DF38EB8" w:rsidR="00D86EA2" w:rsidRPr="00D86EA2" w:rsidRDefault="00D86EA2" w:rsidP="00D86EA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</w:rPr>
      </w:pPr>
      <w:r w:rsidRPr="00D86EA2">
        <w:rPr>
          <w:rFonts w:ascii="Times New Roman" w:hAnsi="Times New Roman"/>
        </w:rPr>
        <w:t xml:space="preserve">V průběhu realizace stavebního díla </w:t>
      </w:r>
      <w:r>
        <w:rPr>
          <w:rFonts w:ascii="Times New Roman" w:hAnsi="Times New Roman"/>
        </w:rPr>
        <w:t>objednatel</w:t>
      </w:r>
      <w:r w:rsidRPr="00D86EA2">
        <w:rPr>
          <w:rFonts w:ascii="Times New Roman" w:hAnsi="Times New Roman"/>
        </w:rPr>
        <w:t xml:space="preserve"> upozornil </w:t>
      </w:r>
      <w:r>
        <w:rPr>
          <w:rFonts w:ascii="Times New Roman" w:hAnsi="Times New Roman"/>
        </w:rPr>
        <w:t xml:space="preserve">zhotovitele </w:t>
      </w:r>
      <w:r w:rsidRPr="00D86EA2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chybně, v podané nabídce,</w:t>
      </w:r>
      <w:r w:rsidRPr="00D86EA2">
        <w:rPr>
          <w:rFonts w:ascii="Times New Roman" w:hAnsi="Times New Roman"/>
        </w:rPr>
        <w:t xml:space="preserve"> přiložený položkový rozpočet na gastro vybavení</w:t>
      </w:r>
      <w:r>
        <w:rPr>
          <w:rFonts w:ascii="Times New Roman" w:hAnsi="Times New Roman"/>
        </w:rPr>
        <w:t xml:space="preserve"> "</w:t>
      </w:r>
      <w:r w:rsidRPr="00D86EA2">
        <w:rPr>
          <w:rFonts w:ascii="Times New Roman" w:hAnsi="Times New Roman"/>
        </w:rPr>
        <w:t>Technologické vybavení gastro léčebny Šternberk", kde celková částka neodpovídá částce uvedené v "Položkovém soupisu prací a dodávek" - v  položce č. 3303  a to v rozdílné hodnotě 60 956,52 Kč bez DPH. </w:t>
      </w:r>
    </w:p>
    <w:p w14:paraId="1DBFE7BA" w14:textId="662998CB" w:rsidR="00EC7BD2" w:rsidRPr="00EC7BD2" w:rsidRDefault="00D86EA2" w:rsidP="00EC7BD2">
      <w:pPr>
        <w:pStyle w:val="Textkomente"/>
        <w:ind w:left="708"/>
        <w:jc w:val="both"/>
        <w:rPr>
          <w:rFonts w:ascii="Times New Roman" w:hAnsi="Times New Roman"/>
          <w:sz w:val="24"/>
        </w:rPr>
      </w:pPr>
      <w:r w:rsidRPr="00EC7BD2">
        <w:rPr>
          <w:rFonts w:ascii="Times New Roman" w:hAnsi="Times New Roman"/>
          <w:sz w:val="24"/>
        </w:rPr>
        <w:t xml:space="preserve">Zhotovitel toto objasnil tak, že v "Soupisu provedených prací a dodávek" uvedl </w:t>
      </w:r>
      <w:r w:rsidR="00EC7BD2" w:rsidRPr="00EC7BD2">
        <w:rPr>
          <w:rFonts w:ascii="Times New Roman" w:hAnsi="Times New Roman"/>
          <w:sz w:val="24"/>
        </w:rPr>
        <w:t>částku u dané položky 464.642,07 bez DPH</w:t>
      </w:r>
      <w:r w:rsidRPr="00EC7BD2">
        <w:rPr>
          <w:rFonts w:ascii="Times New Roman" w:hAnsi="Times New Roman"/>
          <w:sz w:val="24"/>
        </w:rPr>
        <w:t>, ale neupravil položkový rozpočet na "Technologické vybavení gastro léčebny Šternberk„. Přílohou tohoto dodatku je správný položkový rozpočet na gastro vybavení viz Příloha č. 5. </w:t>
      </w:r>
      <w:r w:rsidR="00EC7BD2" w:rsidRPr="00EC7BD2">
        <w:rPr>
          <w:rFonts w:ascii="Times New Roman" w:hAnsi="Times New Roman"/>
          <w:sz w:val="24"/>
        </w:rPr>
        <w:t xml:space="preserve"> Chyba vznikla nepozorností zhotovitele stavby. Přiložený aktualizovaný položkový rozpočet  na gastro nemá vliv na celkovou částku za stavební dílo a nedochází tak k navýšení či ke snížení celkové částky v rozpočtu. </w:t>
      </w:r>
    </w:p>
    <w:p w14:paraId="18709465" w14:textId="24A3A5CE" w:rsidR="00DB5EEC" w:rsidRDefault="00DB5EEC" w:rsidP="00EC7BD2">
      <w:pPr>
        <w:pStyle w:val="Odstavecseseznamem"/>
        <w:ind w:left="720"/>
        <w:jc w:val="both"/>
        <w:rPr>
          <w:rFonts w:ascii="Times New Roman" w:hAnsi="Times New Roman"/>
        </w:rPr>
      </w:pPr>
    </w:p>
    <w:p w14:paraId="7AF57C23" w14:textId="77777777" w:rsidR="00D86EA2" w:rsidRPr="00D86EA2" w:rsidRDefault="00D86EA2" w:rsidP="00D86EA2">
      <w:pPr>
        <w:pStyle w:val="Odstavecseseznamem"/>
        <w:ind w:left="720"/>
        <w:jc w:val="both"/>
        <w:rPr>
          <w:rFonts w:ascii="Times New Roman" w:hAnsi="Times New Roman"/>
        </w:rPr>
      </w:pPr>
    </w:p>
    <w:p w14:paraId="5F23AED6" w14:textId="5BBDB90A" w:rsidR="00DB5EEC" w:rsidRPr="00DB5EEC" w:rsidRDefault="00DB5EEC" w:rsidP="00DB5EEC">
      <w:pPr>
        <w:pStyle w:val="Zkladntext"/>
        <w:spacing w:line="276" w:lineRule="auto"/>
        <w:jc w:val="both"/>
        <w:rPr>
          <w:b/>
          <w:szCs w:val="24"/>
        </w:rPr>
      </w:pPr>
      <w:r w:rsidRPr="00DB5EEC">
        <w:rPr>
          <w:b/>
          <w:szCs w:val="24"/>
        </w:rPr>
        <w:t>B. Změna Ceny díla</w:t>
      </w:r>
    </w:p>
    <w:p w14:paraId="57278887" w14:textId="25195FDF" w:rsidR="00DB5EEC" w:rsidRDefault="00DB5EEC" w:rsidP="00DB5EE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DB5EEC">
        <w:rPr>
          <w:rFonts w:ascii="Times New Roman" w:hAnsi="Times New Roman"/>
        </w:rPr>
        <w:t>Pro ocenění víceprací a méněprací byl projektantem vypracován výkaz výměr, který byl odsouhlasen objednatelem v průběhu stavebních prací a tvoří nedílnou součást tohoto dodatku č. 1 – viz Příloha č. 1</w:t>
      </w:r>
      <w:r w:rsidR="005F518B">
        <w:rPr>
          <w:rFonts w:ascii="Times New Roman" w:hAnsi="Times New Roman"/>
        </w:rPr>
        <w:t xml:space="preserve"> a 2</w:t>
      </w:r>
      <w:r w:rsidRPr="00DB5EEC">
        <w:rPr>
          <w:rFonts w:ascii="Times New Roman" w:hAnsi="Times New Roman"/>
        </w:rPr>
        <w:t xml:space="preserve">. </w:t>
      </w:r>
    </w:p>
    <w:p w14:paraId="05E9D24F" w14:textId="67144411" w:rsidR="00EC7BD2" w:rsidRPr="00EC7BD2" w:rsidRDefault="001D6CF1" w:rsidP="00EC7BD2">
      <w:pPr>
        <w:pStyle w:val="Textkomente"/>
        <w:ind w:left="708"/>
        <w:rPr>
          <w:rFonts w:ascii="Times New Roman" w:hAnsi="Times New Roman"/>
          <w:sz w:val="24"/>
        </w:rPr>
      </w:pPr>
      <w:r w:rsidRPr="00EC7BD2">
        <w:rPr>
          <w:rFonts w:ascii="Times New Roman" w:hAnsi="Times New Roman"/>
          <w:sz w:val="24"/>
        </w:rPr>
        <w:t>Tyto změny nebylo možno předpokládat před uzavřením smlouvy</w:t>
      </w:r>
      <w:r w:rsidR="00EC7BD2" w:rsidRPr="00EC7BD2">
        <w:rPr>
          <w:rFonts w:ascii="Times New Roman" w:hAnsi="Times New Roman"/>
          <w:sz w:val="24"/>
        </w:rPr>
        <w:t>, protože jedná se o skutečnosti, které nastaly až v průběhu realizace díla</w:t>
      </w:r>
      <w:r w:rsidR="00EC7BD2">
        <w:rPr>
          <w:rFonts w:ascii="Times New Roman" w:hAnsi="Times New Roman"/>
          <w:sz w:val="24"/>
        </w:rPr>
        <w:t xml:space="preserve"> a nebylo možné je předpokládat</w:t>
      </w:r>
    </w:p>
    <w:p w14:paraId="1A35C5BD" w14:textId="77777777" w:rsidR="003202C9" w:rsidRDefault="001D6CF1" w:rsidP="001D6CF1">
      <w:pPr>
        <w:pStyle w:val="Zkladntext"/>
        <w:spacing w:line="276" w:lineRule="auto"/>
        <w:jc w:val="both"/>
        <w:rPr>
          <w:snapToGrid/>
          <w:color w:val="auto"/>
        </w:rPr>
      </w:pPr>
      <w:r w:rsidRPr="00EC7BD2">
        <w:rPr>
          <w:snapToGrid/>
          <w:color w:val="auto"/>
        </w:rPr>
        <w:t xml:space="preserve"> </w:t>
      </w:r>
      <w:r w:rsidR="00EC7BD2">
        <w:rPr>
          <w:snapToGrid/>
          <w:color w:val="auto"/>
        </w:rPr>
        <w:tab/>
      </w:r>
      <w:r w:rsidRPr="00EC7BD2">
        <w:rPr>
          <w:snapToGrid/>
          <w:color w:val="auto"/>
        </w:rPr>
        <w:t>a změna nezpůsobuje nepřiměřenou změnu smlouvy o dílo a cenu díla.</w:t>
      </w:r>
      <w:r w:rsidR="003202C9">
        <w:rPr>
          <w:snapToGrid/>
          <w:color w:val="auto"/>
        </w:rPr>
        <w:t xml:space="preserve"> Jedná se o </w:t>
      </w:r>
    </w:p>
    <w:p w14:paraId="30E7D43A" w14:textId="75BB97E8" w:rsidR="001D6CF1" w:rsidRPr="00EC7BD2" w:rsidRDefault="003202C9" w:rsidP="003202C9">
      <w:pPr>
        <w:pStyle w:val="Zkladntext"/>
        <w:spacing w:line="276" w:lineRule="auto"/>
        <w:ind w:left="708"/>
        <w:jc w:val="both"/>
        <w:rPr>
          <w:snapToGrid/>
          <w:color w:val="auto"/>
        </w:rPr>
      </w:pPr>
      <w:r>
        <w:rPr>
          <w:snapToGrid/>
          <w:color w:val="auto"/>
        </w:rPr>
        <w:t>konstrukce, které byly skryty a nebylo je tedy možné zaměřit nebo dohledat z původní projektové dokumentace.</w:t>
      </w:r>
    </w:p>
    <w:p w14:paraId="0227CE25" w14:textId="083F32E0" w:rsidR="00DB5EEC" w:rsidRDefault="00DB5EEC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7B8F6D20" w14:textId="0D770D89" w:rsidR="00D86EA2" w:rsidRDefault="00D86EA2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2B4EF419" w14:textId="77777777" w:rsidR="00D86EA2" w:rsidRDefault="00D86EA2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</w:p>
    <w:p w14:paraId="77FB113B" w14:textId="027BFD9E" w:rsidR="00D86EA2" w:rsidRDefault="00D86EA2" w:rsidP="0044097C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</w:p>
    <w:p w14:paraId="33FD90B0" w14:textId="2B208FAF" w:rsidR="00DB5EEC" w:rsidRDefault="00DB5EEC" w:rsidP="00DB5EEC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84498">
        <w:rPr>
          <w:rFonts w:ascii="Times New Roman" w:hAnsi="Times New Roman"/>
        </w:rPr>
        <w:t xml:space="preserve">nění </w:t>
      </w:r>
      <w:r w:rsidRPr="00F84498">
        <w:rPr>
          <w:rFonts w:ascii="Times New Roman" w:hAnsi="Times New Roman"/>
          <w:b/>
        </w:rPr>
        <w:t>čl. III</w:t>
      </w:r>
      <w:r w:rsidR="00E722F5">
        <w:rPr>
          <w:rFonts w:ascii="Times New Roman" w:hAnsi="Times New Roman"/>
          <w:b/>
        </w:rPr>
        <w:t>.</w:t>
      </w:r>
      <w:r w:rsidRPr="00F84498">
        <w:rPr>
          <w:rFonts w:ascii="Times New Roman" w:hAnsi="Times New Roman"/>
          <w:b/>
        </w:rPr>
        <w:t xml:space="preserve"> Cena díla a platební podmínky</w:t>
      </w:r>
      <w:r>
        <w:rPr>
          <w:rFonts w:ascii="Times New Roman" w:hAnsi="Times New Roman"/>
          <w:b/>
        </w:rPr>
        <w:t>,</w:t>
      </w:r>
      <w:r w:rsidRPr="00F84498">
        <w:rPr>
          <w:rFonts w:ascii="Times New Roman" w:hAnsi="Times New Roman"/>
          <w:b/>
        </w:rPr>
        <w:t xml:space="preserve"> odst. </w:t>
      </w:r>
      <w:r>
        <w:rPr>
          <w:rFonts w:ascii="Times New Roman" w:hAnsi="Times New Roman"/>
          <w:b/>
        </w:rPr>
        <w:t>1</w:t>
      </w:r>
      <w:r w:rsidRPr="00F84498">
        <w:rPr>
          <w:rFonts w:ascii="Times New Roman" w:hAnsi="Times New Roman"/>
          <w:b/>
        </w:rPr>
        <w:t xml:space="preserve"> </w:t>
      </w:r>
      <w:r w:rsidRPr="00F84498">
        <w:rPr>
          <w:rFonts w:ascii="Times New Roman" w:hAnsi="Times New Roman"/>
        </w:rPr>
        <w:t>smlo</w:t>
      </w:r>
      <w:r>
        <w:rPr>
          <w:rFonts w:ascii="Times New Roman" w:hAnsi="Times New Roman"/>
        </w:rPr>
        <w:t>uvy o dílo se nahrazuje v celém</w:t>
      </w:r>
    </w:p>
    <w:p w14:paraId="6922E9D9" w14:textId="2F7DB61D" w:rsidR="00D86EA2" w:rsidRDefault="00DB5EEC" w:rsidP="00D86EA2">
      <w:pPr>
        <w:pStyle w:val="dka"/>
        <w:tabs>
          <w:tab w:val="left" w:pos="684"/>
          <w:tab w:val="left" w:pos="5732"/>
        </w:tabs>
        <w:spacing w:line="276" w:lineRule="auto"/>
        <w:ind w:left="720" w:firstLine="0"/>
        <w:rPr>
          <w:rFonts w:ascii="Times New Roman" w:hAnsi="Times New Roman"/>
        </w:rPr>
      </w:pPr>
      <w:r w:rsidRPr="00F84498">
        <w:rPr>
          <w:rFonts w:ascii="Times New Roman" w:hAnsi="Times New Roman"/>
        </w:rPr>
        <w:t>rozsahu takto:</w:t>
      </w:r>
    </w:p>
    <w:p w14:paraId="04C0430A" w14:textId="77777777" w:rsidR="00D86EA2" w:rsidRDefault="00D86EA2" w:rsidP="00D86EA2">
      <w:pPr>
        <w:pStyle w:val="dka"/>
        <w:tabs>
          <w:tab w:val="left" w:pos="684"/>
          <w:tab w:val="left" w:pos="5732"/>
        </w:tabs>
        <w:spacing w:line="276" w:lineRule="auto"/>
        <w:ind w:left="720" w:firstLine="0"/>
        <w:rPr>
          <w:rFonts w:ascii="Times New Roman" w:hAnsi="Times New Roman"/>
        </w:rPr>
      </w:pPr>
    </w:p>
    <w:p w14:paraId="45BBA6F6" w14:textId="77777777" w:rsidR="000A559F" w:rsidRPr="00077FD4" w:rsidRDefault="000A559F" w:rsidP="000A559F">
      <w:pPr>
        <w:pStyle w:val="Zkladntext"/>
        <w:numPr>
          <w:ilvl w:val="0"/>
          <w:numId w:val="2"/>
        </w:numPr>
        <w:spacing w:line="276" w:lineRule="auto"/>
        <w:jc w:val="both"/>
        <w:rPr>
          <w:b/>
          <w:color w:val="auto"/>
          <w:szCs w:val="24"/>
        </w:rPr>
      </w:pPr>
      <w:r w:rsidRPr="00077FD4">
        <w:rPr>
          <w:color w:val="auto"/>
          <w:szCs w:val="24"/>
        </w:rPr>
        <w:t>Smluvní strany se dohodly v souladu s ust. § 2 odst. 2 zák. č. 526/1990 Sb., o cenách, ve znění pozdějších změn a doplňků, že cena díla činí</w:t>
      </w:r>
      <w:r w:rsidRPr="00077FD4">
        <w:rPr>
          <w:b/>
          <w:color w:val="auto"/>
          <w:szCs w:val="24"/>
        </w:rPr>
        <w:t>:</w:t>
      </w:r>
    </w:p>
    <w:p w14:paraId="4B01147E" w14:textId="77777777" w:rsidR="000A559F" w:rsidRPr="00077FD4" w:rsidRDefault="000A559F" w:rsidP="000A559F">
      <w:pPr>
        <w:pStyle w:val="Zkladntext"/>
        <w:spacing w:line="276" w:lineRule="auto"/>
        <w:jc w:val="both"/>
        <w:rPr>
          <w:b/>
          <w:color w:val="auto"/>
          <w:szCs w:val="24"/>
        </w:rPr>
      </w:pPr>
    </w:p>
    <w:p w14:paraId="037BF98C" w14:textId="1149E14B" w:rsidR="000A559F" w:rsidRPr="00D86EA2" w:rsidRDefault="000A559F" w:rsidP="000A559F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 w:rsidRPr="00D86EA2">
        <w:rPr>
          <w:b/>
          <w:color w:val="auto"/>
          <w:szCs w:val="24"/>
        </w:rPr>
        <w:t xml:space="preserve">Cena celkem 1. etapa: </w:t>
      </w:r>
      <w:r w:rsidRPr="00D86EA2">
        <w:rPr>
          <w:b/>
          <w:color w:val="auto"/>
          <w:szCs w:val="24"/>
        </w:rPr>
        <w:tab/>
      </w:r>
      <w:r w:rsidRPr="00D86EA2">
        <w:rPr>
          <w:b/>
          <w:color w:val="auto"/>
          <w:szCs w:val="24"/>
        </w:rPr>
        <w:tab/>
      </w:r>
      <w:r w:rsidRPr="00D86EA2">
        <w:rPr>
          <w:color w:val="auto"/>
          <w:szCs w:val="24"/>
        </w:rPr>
        <w:t>9.349.971,92 Kč</w:t>
      </w:r>
    </w:p>
    <w:p w14:paraId="7C9E1AF6" w14:textId="56810909" w:rsidR="000A559F" w:rsidRPr="00D86EA2" w:rsidRDefault="000A559F" w:rsidP="000A559F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 w:rsidRPr="00D86EA2">
        <w:rPr>
          <w:b/>
          <w:color w:val="auto"/>
          <w:szCs w:val="24"/>
        </w:rPr>
        <w:t xml:space="preserve">Vícepráce celkem 1. etapa:    </w:t>
      </w:r>
      <w:r w:rsidR="00206975" w:rsidRPr="00D86EA2">
        <w:rPr>
          <w:b/>
          <w:color w:val="auto"/>
          <w:szCs w:val="24"/>
        </w:rPr>
        <w:t xml:space="preserve">       </w:t>
      </w:r>
      <w:r w:rsidRPr="00D86EA2">
        <w:rPr>
          <w:b/>
          <w:color w:val="auto"/>
          <w:szCs w:val="24"/>
        </w:rPr>
        <w:t xml:space="preserve"> </w:t>
      </w:r>
      <w:r w:rsidR="00206975" w:rsidRPr="00D86EA2">
        <w:rPr>
          <w:color w:val="auto"/>
          <w:szCs w:val="24"/>
        </w:rPr>
        <w:t>41.754,26 Kč</w:t>
      </w:r>
    </w:p>
    <w:p w14:paraId="4621262F" w14:textId="15B0AD11" w:rsidR="000A559F" w:rsidRPr="00D86EA2" w:rsidRDefault="000A559F" w:rsidP="000A559F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 w:rsidRPr="00D86EA2">
        <w:rPr>
          <w:b/>
          <w:color w:val="auto"/>
          <w:szCs w:val="24"/>
        </w:rPr>
        <w:t xml:space="preserve">Cena celkem 2. etapa: </w:t>
      </w:r>
      <w:r w:rsidRPr="00D86EA2">
        <w:rPr>
          <w:b/>
          <w:color w:val="auto"/>
          <w:szCs w:val="24"/>
        </w:rPr>
        <w:tab/>
        <w:t xml:space="preserve">          </w:t>
      </w:r>
      <w:r w:rsidRPr="00D86EA2">
        <w:rPr>
          <w:color w:val="auto"/>
          <w:szCs w:val="24"/>
        </w:rPr>
        <w:t>59.359.793,58 Kč</w:t>
      </w:r>
    </w:p>
    <w:p w14:paraId="344AD3F6" w14:textId="04E077B5" w:rsidR="000A559F" w:rsidRPr="00D86EA2" w:rsidRDefault="000A559F" w:rsidP="000A559F">
      <w:pPr>
        <w:pStyle w:val="Zkladntext"/>
        <w:spacing w:line="276" w:lineRule="auto"/>
        <w:ind w:left="360"/>
        <w:jc w:val="both"/>
        <w:rPr>
          <w:b/>
          <w:i/>
          <w:color w:val="auto"/>
          <w:szCs w:val="24"/>
        </w:rPr>
      </w:pPr>
      <w:r w:rsidRPr="00D86EA2">
        <w:rPr>
          <w:b/>
          <w:color w:val="auto"/>
          <w:szCs w:val="24"/>
        </w:rPr>
        <w:t>Vícepráce celkem 2. etapa:</w:t>
      </w:r>
      <w:r w:rsidRPr="00D86EA2">
        <w:rPr>
          <w:b/>
          <w:color w:val="auto"/>
          <w:szCs w:val="24"/>
        </w:rPr>
        <w:tab/>
      </w:r>
      <w:r w:rsidR="00206975" w:rsidRPr="00D86EA2">
        <w:rPr>
          <w:b/>
          <w:color w:val="auto"/>
          <w:szCs w:val="24"/>
        </w:rPr>
        <w:t xml:space="preserve">   </w:t>
      </w:r>
      <w:r w:rsidR="00206975" w:rsidRPr="00D86EA2">
        <w:rPr>
          <w:color w:val="auto"/>
          <w:szCs w:val="24"/>
        </w:rPr>
        <w:t>182.999,03 Kč</w:t>
      </w:r>
    </w:p>
    <w:p w14:paraId="30DCEE80" w14:textId="213804D7" w:rsidR="000A559F" w:rsidRPr="00D86EA2" w:rsidRDefault="000A559F" w:rsidP="000A559F">
      <w:pPr>
        <w:pStyle w:val="Zkladntext"/>
        <w:spacing w:line="276" w:lineRule="auto"/>
        <w:ind w:left="360"/>
        <w:jc w:val="both"/>
        <w:rPr>
          <w:b/>
          <w:color w:val="auto"/>
          <w:szCs w:val="24"/>
        </w:rPr>
      </w:pPr>
      <w:r w:rsidRPr="00D86EA2">
        <w:rPr>
          <w:b/>
          <w:color w:val="auto"/>
          <w:szCs w:val="24"/>
        </w:rPr>
        <w:t xml:space="preserve">Méněpráce celkem 2. etapa:     </w:t>
      </w:r>
      <w:r w:rsidR="00206975" w:rsidRPr="00D86EA2">
        <w:rPr>
          <w:b/>
          <w:color w:val="auto"/>
          <w:szCs w:val="24"/>
        </w:rPr>
        <w:t xml:space="preserve"> </w:t>
      </w:r>
      <w:r w:rsidR="00206975" w:rsidRPr="00D86EA2">
        <w:rPr>
          <w:color w:val="auto"/>
          <w:szCs w:val="24"/>
        </w:rPr>
        <w:t>- 222.767,32 Kč</w:t>
      </w:r>
    </w:p>
    <w:p w14:paraId="00C2A701" w14:textId="77777777" w:rsidR="000A559F" w:rsidRPr="00D86EA2" w:rsidRDefault="000A559F" w:rsidP="000A559F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 w:rsidRPr="00D86EA2">
        <w:rPr>
          <w:b/>
          <w:color w:val="auto"/>
          <w:szCs w:val="24"/>
        </w:rPr>
        <w:t xml:space="preserve">Cena celkem 3. etapa: </w:t>
      </w:r>
      <w:r w:rsidRPr="00D86EA2">
        <w:rPr>
          <w:b/>
          <w:color w:val="auto"/>
          <w:szCs w:val="24"/>
        </w:rPr>
        <w:tab/>
      </w:r>
      <w:r w:rsidRPr="00D86EA2">
        <w:rPr>
          <w:color w:val="auto"/>
          <w:szCs w:val="24"/>
        </w:rPr>
        <w:t xml:space="preserve">          48.858.752,10 Kč</w:t>
      </w:r>
    </w:p>
    <w:p w14:paraId="468D813E" w14:textId="77777777" w:rsidR="000A559F" w:rsidRPr="00D86EA2" w:rsidRDefault="000A559F" w:rsidP="000A559F">
      <w:pPr>
        <w:pStyle w:val="Zkladntext"/>
        <w:spacing w:line="276" w:lineRule="auto"/>
        <w:ind w:left="360"/>
        <w:jc w:val="both"/>
        <w:rPr>
          <w:b/>
          <w:color w:val="auto"/>
          <w:szCs w:val="24"/>
          <w:u w:val="single"/>
        </w:rPr>
      </w:pPr>
      <w:r w:rsidRPr="00D86EA2">
        <w:rPr>
          <w:b/>
          <w:color w:val="auto"/>
          <w:szCs w:val="24"/>
          <w:u w:val="single"/>
        </w:rPr>
        <w:t xml:space="preserve">Cena celkem 4. etapa:  </w:t>
      </w:r>
      <w:r w:rsidRPr="00D86EA2">
        <w:rPr>
          <w:b/>
          <w:color w:val="auto"/>
          <w:szCs w:val="24"/>
          <w:u w:val="single"/>
        </w:rPr>
        <w:tab/>
      </w:r>
      <w:r w:rsidRPr="00D86EA2">
        <w:rPr>
          <w:color w:val="auto"/>
          <w:szCs w:val="24"/>
          <w:u w:val="single"/>
        </w:rPr>
        <w:t xml:space="preserve">          51.424.639,42 Kč</w:t>
      </w:r>
    </w:p>
    <w:p w14:paraId="3DA403FD" w14:textId="0831C800" w:rsidR="000A559F" w:rsidRPr="00D86EA2" w:rsidRDefault="000A559F" w:rsidP="000A559F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 w:rsidRPr="00D86EA2">
        <w:rPr>
          <w:rFonts w:ascii="Times New Roman" w:hAnsi="Times New Roman"/>
          <w:b/>
        </w:rPr>
        <w:t>Cena bez DPH:</w:t>
      </w:r>
      <w:r w:rsidRPr="00D86EA2">
        <w:rPr>
          <w:rFonts w:ascii="Times New Roman" w:hAnsi="Times New Roman"/>
        </w:rPr>
        <w:t xml:space="preserve"> </w:t>
      </w:r>
      <w:r w:rsidRPr="00D86EA2">
        <w:rPr>
          <w:rFonts w:ascii="Times New Roman" w:hAnsi="Times New Roman"/>
        </w:rPr>
        <w:tab/>
      </w:r>
      <w:r w:rsidRPr="00D86EA2">
        <w:rPr>
          <w:rFonts w:ascii="Times New Roman" w:hAnsi="Times New Roman"/>
        </w:rPr>
        <w:tab/>
        <w:t xml:space="preserve">        168.995.142,99 Kč </w:t>
      </w:r>
    </w:p>
    <w:p w14:paraId="5839C565" w14:textId="61909485" w:rsidR="000A559F" w:rsidRPr="00D86EA2" w:rsidRDefault="000A559F" w:rsidP="000A559F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u w:val="single"/>
        </w:rPr>
      </w:pPr>
      <w:r w:rsidRPr="00D86EA2">
        <w:rPr>
          <w:rFonts w:ascii="Times New Roman" w:hAnsi="Times New Roman"/>
          <w:u w:val="single"/>
        </w:rPr>
        <w:t>DPH 21%</w:t>
      </w:r>
      <w:r w:rsidRPr="00D86EA2">
        <w:rPr>
          <w:rFonts w:ascii="Times New Roman" w:hAnsi="Times New Roman"/>
          <w:u w:val="single"/>
        </w:rPr>
        <w:tab/>
        <w:t xml:space="preserve">:                                 35.488.980,03 Kč   </w:t>
      </w:r>
    </w:p>
    <w:p w14:paraId="3B568E48" w14:textId="430A590A" w:rsidR="000A559F" w:rsidRPr="00D86EA2" w:rsidRDefault="000A559F" w:rsidP="000A559F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 w:rsidRPr="00D86EA2">
        <w:rPr>
          <w:rFonts w:ascii="Times New Roman" w:hAnsi="Times New Roman"/>
          <w:b/>
        </w:rPr>
        <w:t>Cena celkem vč. DPH:           204.484.123,0</w:t>
      </w:r>
      <w:r w:rsidR="002C4E7D">
        <w:rPr>
          <w:rFonts w:ascii="Times New Roman" w:hAnsi="Times New Roman"/>
          <w:b/>
        </w:rPr>
        <w:t>2</w:t>
      </w:r>
      <w:r w:rsidRPr="00D86EA2">
        <w:rPr>
          <w:rFonts w:ascii="Times New Roman" w:hAnsi="Times New Roman"/>
          <w:b/>
        </w:rPr>
        <w:t xml:space="preserve"> Kč </w:t>
      </w:r>
      <w:r w:rsidR="00206975" w:rsidRPr="00D86EA2">
        <w:rPr>
          <w:rFonts w:ascii="Times New Roman" w:hAnsi="Times New Roman"/>
          <w:b/>
        </w:rPr>
        <w:t xml:space="preserve"> </w:t>
      </w:r>
    </w:p>
    <w:p w14:paraId="029D2ACA" w14:textId="77777777" w:rsidR="000A559F" w:rsidRPr="000A559F" w:rsidRDefault="000A559F" w:rsidP="000A559F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14:paraId="627F378F" w14:textId="4EAE0135" w:rsidR="000A559F" w:rsidRPr="00E722F5" w:rsidRDefault="000A559F" w:rsidP="000A559F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 w:rsidRPr="00E722F5">
        <w:rPr>
          <w:rFonts w:ascii="Times New Roman" w:hAnsi="Times New Roman"/>
        </w:rPr>
        <w:t>(</w:t>
      </w:r>
      <w:r w:rsidRPr="00E722F5">
        <w:rPr>
          <w:rFonts w:ascii="Times New Roman" w:hAnsi="Times New Roman" w:hint="eastAsia"/>
        </w:rPr>
        <w:t>Slovy:</w:t>
      </w:r>
      <w:r w:rsidRPr="00E722F5">
        <w:rPr>
          <w:rFonts w:ascii="Times New Roman" w:hAnsi="Times New Roman"/>
        </w:rPr>
        <w:t xml:space="preserve"> Dvě sta čtyři miliónů čtyři</w:t>
      </w:r>
      <w:r w:rsidR="005F518B" w:rsidRPr="00E722F5">
        <w:rPr>
          <w:rFonts w:ascii="Times New Roman" w:hAnsi="Times New Roman"/>
        </w:rPr>
        <w:t xml:space="preserve"> </w:t>
      </w:r>
      <w:r w:rsidRPr="00E722F5">
        <w:rPr>
          <w:rFonts w:ascii="Times New Roman" w:hAnsi="Times New Roman"/>
        </w:rPr>
        <w:t>sta osmdesát čtyři tisíce sto dvacet tři  korun českých)</w:t>
      </w:r>
    </w:p>
    <w:p w14:paraId="45836149" w14:textId="0D5CC744" w:rsidR="000A559F" w:rsidRDefault="000A559F" w:rsidP="000A559F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 w:rsidRPr="00E722F5">
        <w:rPr>
          <w:color w:val="auto"/>
          <w:szCs w:val="24"/>
        </w:rPr>
        <w:t>Cena díla je pevná.</w:t>
      </w:r>
    </w:p>
    <w:p w14:paraId="3B552510" w14:textId="77777777" w:rsidR="00D86EA2" w:rsidRPr="00E722F5" w:rsidRDefault="00D86EA2" w:rsidP="000A559F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</w:p>
    <w:p w14:paraId="0FE8AEE9" w14:textId="5554EDB2" w:rsidR="005F518B" w:rsidRDefault="000A559F" w:rsidP="005F518B">
      <w:pPr>
        <w:pStyle w:val="Zkladntext"/>
        <w:spacing w:line="276" w:lineRule="auto"/>
        <w:ind w:left="360"/>
        <w:jc w:val="both"/>
        <w:rPr>
          <w:color w:val="auto"/>
        </w:rPr>
      </w:pPr>
      <w:r w:rsidRPr="00E722F5">
        <w:rPr>
          <w:color w:val="auto"/>
          <w:szCs w:val="24"/>
        </w:rPr>
        <w:t>Cena díla vychází z položkového rozpočtu, zpracovaného zhotovitelem. V položkovém rozpočtu jsou ceny jednotlivých položek vytvořeny oceněním výkazu výměr jednotkovými cenami vč. vedlejších a ostatních rozpočtových nákladů</w:t>
      </w:r>
      <w:r w:rsidR="005F518B" w:rsidRPr="00E722F5">
        <w:rPr>
          <w:color w:val="auto"/>
          <w:szCs w:val="24"/>
        </w:rPr>
        <w:t xml:space="preserve">, </w:t>
      </w:r>
      <w:r w:rsidRPr="00E722F5">
        <w:rPr>
          <w:color w:val="auto"/>
          <w:szCs w:val="24"/>
        </w:rPr>
        <w:t xml:space="preserve"> </w:t>
      </w:r>
      <w:r w:rsidR="005F518B" w:rsidRPr="00E722F5">
        <w:rPr>
          <w:color w:val="auto"/>
        </w:rPr>
        <w:t xml:space="preserve">položkových rozpočtů víceprací a méněprací, jež tvoří Přílohu č. 1 pod názvem </w:t>
      </w:r>
      <w:r w:rsidR="005F518B" w:rsidRPr="00E722F5">
        <w:rPr>
          <w:color w:val="auto"/>
          <w:szCs w:val="24"/>
        </w:rPr>
        <w:t>Oceněný výkaz výměr víceprací</w:t>
      </w:r>
      <w:r w:rsidR="005F518B" w:rsidRPr="00E722F5">
        <w:rPr>
          <w:color w:val="auto"/>
        </w:rPr>
        <w:t xml:space="preserve"> a přílohu č. 2 pod názvem </w:t>
      </w:r>
      <w:r w:rsidR="005F518B" w:rsidRPr="00E722F5">
        <w:rPr>
          <w:color w:val="auto"/>
          <w:szCs w:val="24"/>
        </w:rPr>
        <w:t>Oceněný výkaz výměr méněprací</w:t>
      </w:r>
      <w:r w:rsidR="005F518B" w:rsidRPr="00E722F5">
        <w:rPr>
          <w:color w:val="auto"/>
        </w:rPr>
        <w:t xml:space="preserve"> tohoto dodatku č. 1 ke smlouvě o dílo č. VZ 51/2021 část A. </w:t>
      </w:r>
    </w:p>
    <w:p w14:paraId="362FAEFA" w14:textId="77777777" w:rsidR="00D86EA2" w:rsidRPr="00E722F5" w:rsidRDefault="00D86EA2" w:rsidP="005F518B">
      <w:pPr>
        <w:pStyle w:val="Zkladntext"/>
        <w:spacing w:line="276" w:lineRule="auto"/>
        <w:ind w:left="360"/>
        <w:jc w:val="both"/>
        <w:rPr>
          <w:color w:val="auto"/>
        </w:rPr>
      </w:pPr>
    </w:p>
    <w:p w14:paraId="24B65DE9" w14:textId="77777777" w:rsidR="005F518B" w:rsidRPr="00E722F5" w:rsidRDefault="005F518B" w:rsidP="005F518B">
      <w:pPr>
        <w:jc w:val="both"/>
        <w:rPr>
          <w:rFonts w:ascii="Times New Roman" w:hAnsi="Times New Roman"/>
        </w:rPr>
      </w:pPr>
      <w:r w:rsidRPr="00E722F5">
        <w:rPr>
          <w:rFonts w:ascii="Times New Roman" w:hAnsi="Times New Roman"/>
        </w:rPr>
        <w:t xml:space="preserve">V položkovém rozpočtu víceprací a méněprací jsou ceny jednotlivých položek vytvořeny oceněním výkazu výměr jednotkovými cenami vč. vedlejších a ostatních rozpočtových nákladů. </w:t>
      </w:r>
    </w:p>
    <w:p w14:paraId="6DA0AF2C" w14:textId="77777777" w:rsidR="005F518B" w:rsidRDefault="005F518B" w:rsidP="005F518B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4A6E66F3" w14:textId="6C045004" w:rsidR="00E722F5" w:rsidRDefault="00E722F5" w:rsidP="00E722F5">
      <w:pPr>
        <w:pStyle w:val="Zkladntext"/>
        <w:spacing w:line="276" w:lineRule="auto"/>
        <w:jc w:val="both"/>
        <w:rPr>
          <w:b/>
          <w:szCs w:val="24"/>
        </w:rPr>
      </w:pPr>
      <w:r w:rsidRPr="00DB5EEC">
        <w:rPr>
          <w:b/>
          <w:szCs w:val="24"/>
        </w:rPr>
        <w:t xml:space="preserve">B. Změna </w:t>
      </w:r>
      <w:r>
        <w:rPr>
          <w:b/>
          <w:szCs w:val="24"/>
        </w:rPr>
        <w:t xml:space="preserve">Doby plnění </w:t>
      </w:r>
    </w:p>
    <w:p w14:paraId="5C6CCA9D" w14:textId="56723AF7" w:rsidR="001D6CF1" w:rsidRPr="00D86EA2" w:rsidRDefault="004F7982" w:rsidP="00D86EA2">
      <w:pPr>
        <w:jc w:val="both"/>
        <w:rPr>
          <w:rFonts w:ascii="Times New Roman" w:hAnsi="Times New Roman"/>
        </w:rPr>
      </w:pPr>
      <w:r w:rsidRPr="00D86EA2">
        <w:rPr>
          <w:rFonts w:ascii="Times New Roman" w:hAnsi="Times New Roman"/>
        </w:rPr>
        <w:t xml:space="preserve">Změna doby plnění </w:t>
      </w:r>
      <w:r w:rsidR="00E026DB" w:rsidRPr="00D86EA2">
        <w:rPr>
          <w:rFonts w:ascii="Times New Roman" w:hAnsi="Times New Roman"/>
        </w:rPr>
        <w:t xml:space="preserve"> je způsobena nutností </w:t>
      </w:r>
      <w:r w:rsidRPr="00D86EA2">
        <w:rPr>
          <w:rFonts w:ascii="Times New Roman" w:hAnsi="Times New Roman"/>
        </w:rPr>
        <w:t>integrace</w:t>
      </w:r>
      <w:r w:rsidR="00E026DB" w:rsidRPr="00D86EA2">
        <w:rPr>
          <w:rFonts w:ascii="Times New Roman" w:hAnsi="Times New Roman"/>
        </w:rPr>
        <w:t xml:space="preserve"> jednotlivých částí v jeden funkční celek.</w:t>
      </w:r>
    </w:p>
    <w:p w14:paraId="270528FC" w14:textId="79879059" w:rsidR="00E026DB" w:rsidRPr="00D86EA2" w:rsidRDefault="00E026DB" w:rsidP="00D86EA2">
      <w:pPr>
        <w:jc w:val="both"/>
        <w:rPr>
          <w:rFonts w:ascii="Times New Roman" w:hAnsi="Times New Roman"/>
        </w:rPr>
      </w:pPr>
      <w:r w:rsidRPr="00D86EA2">
        <w:rPr>
          <w:rFonts w:ascii="Times New Roman" w:hAnsi="Times New Roman"/>
        </w:rPr>
        <w:t>V rámci toho je nutné provádět některé bourací a přípravné práce z 3. a 4. etapy, tak aby mohlo být zajištěno zprovoznění 1. a 2. etapy.</w:t>
      </w:r>
    </w:p>
    <w:p w14:paraId="409D2304" w14:textId="5AE933C4" w:rsidR="00E026DB" w:rsidRDefault="00E026DB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3F73D206" w14:textId="566F6CD4" w:rsidR="0044097C" w:rsidRDefault="0044097C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0BAEE6EC" w14:textId="67FEA6E8" w:rsidR="0044097C" w:rsidRDefault="0044097C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2F560CF1" w14:textId="49166FDB" w:rsidR="0044097C" w:rsidRDefault="0044097C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7CCDFCF8" w14:textId="62612B78" w:rsidR="0044097C" w:rsidRDefault="0044097C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44CD8A29" w14:textId="2443C7C8" w:rsidR="0044097C" w:rsidRDefault="0044097C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57540A03" w14:textId="77777777" w:rsidR="0044097C" w:rsidRDefault="0044097C" w:rsidP="00D86EA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i/>
          <w:color w:val="FF0000"/>
          <w:szCs w:val="24"/>
        </w:rPr>
      </w:pPr>
    </w:p>
    <w:p w14:paraId="73650BC0" w14:textId="71AA389F" w:rsidR="00E722F5" w:rsidRDefault="00E722F5" w:rsidP="00E722F5">
      <w:pPr>
        <w:pStyle w:val="dka"/>
        <w:tabs>
          <w:tab w:val="left" w:pos="684"/>
          <w:tab w:val="left" w:pos="573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Pr="00F84498">
        <w:rPr>
          <w:rFonts w:ascii="Times New Roman" w:hAnsi="Times New Roman"/>
        </w:rPr>
        <w:t xml:space="preserve">nění </w:t>
      </w:r>
      <w:r w:rsidRPr="00F84498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V.</w:t>
      </w:r>
      <w:r w:rsidRPr="00F844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Doba a místo plnění,</w:t>
      </w:r>
      <w:r w:rsidRPr="00F84498">
        <w:rPr>
          <w:rFonts w:ascii="Times New Roman" w:hAnsi="Times New Roman"/>
          <w:b/>
        </w:rPr>
        <w:t xml:space="preserve"> odst. </w:t>
      </w:r>
      <w:r>
        <w:rPr>
          <w:rFonts w:ascii="Times New Roman" w:hAnsi="Times New Roman"/>
          <w:b/>
        </w:rPr>
        <w:t>1, 2 a 3</w:t>
      </w:r>
      <w:r w:rsidRPr="00F84498">
        <w:rPr>
          <w:rFonts w:ascii="Times New Roman" w:hAnsi="Times New Roman"/>
          <w:b/>
        </w:rPr>
        <w:t xml:space="preserve"> </w:t>
      </w:r>
      <w:r w:rsidRPr="00F84498">
        <w:rPr>
          <w:rFonts w:ascii="Times New Roman" w:hAnsi="Times New Roman"/>
        </w:rPr>
        <w:t>smlo</w:t>
      </w:r>
      <w:r>
        <w:rPr>
          <w:rFonts w:ascii="Times New Roman" w:hAnsi="Times New Roman"/>
        </w:rPr>
        <w:t>uvy o dílo se nahrazuje v celém</w:t>
      </w:r>
    </w:p>
    <w:p w14:paraId="0680AA5B" w14:textId="47AF13E2" w:rsidR="00E722F5" w:rsidRDefault="00E722F5" w:rsidP="00E722F5">
      <w:pPr>
        <w:pStyle w:val="dka"/>
        <w:tabs>
          <w:tab w:val="left" w:pos="684"/>
          <w:tab w:val="left" w:pos="5732"/>
        </w:tabs>
        <w:spacing w:line="276" w:lineRule="auto"/>
        <w:ind w:left="720" w:firstLine="0"/>
        <w:rPr>
          <w:rFonts w:ascii="Times New Roman" w:hAnsi="Times New Roman"/>
        </w:rPr>
      </w:pPr>
      <w:r w:rsidRPr="00F84498">
        <w:rPr>
          <w:rFonts w:ascii="Times New Roman" w:hAnsi="Times New Roman"/>
        </w:rPr>
        <w:t>rozsahu takto:</w:t>
      </w:r>
    </w:p>
    <w:p w14:paraId="229A9ECB" w14:textId="77777777" w:rsidR="00D86EA2" w:rsidRDefault="00D86EA2" w:rsidP="00E722F5">
      <w:pPr>
        <w:pStyle w:val="dka"/>
        <w:tabs>
          <w:tab w:val="left" w:pos="684"/>
          <w:tab w:val="left" w:pos="5732"/>
        </w:tabs>
        <w:spacing w:line="276" w:lineRule="auto"/>
        <w:ind w:left="720" w:firstLine="0"/>
        <w:rPr>
          <w:rFonts w:ascii="Times New Roman" w:hAnsi="Times New Roman"/>
        </w:rPr>
      </w:pPr>
    </w:p>
    <w:p w14:paraId="6DFEA0ED" w14:textId="1E979A98" w:rsidR="00E722F5" w:rsidRPr="0044097C" w:rsidRDefault="00E722F5" w:rsidP="00E722F5">
      <w:pPr>
        <w:pStyle w:val="Zkladntext"/>
        <w:numPr>
          <w:ilvl w:val="0"/>
          <w:numId w:val="21"/>
        </w:numPr>
        <w:spacing w:line="276" w:lineRule="auto"/>
        <w:jc w:val="both"/>
        <w:rPr>
          <w:color w:val="auto"/>
          <w:szCs w:val="24"/>
        </w:rPr>
      </w:pPr>
      <w:r w:rsidRPr="00077FD4">
        <w:rPr>
          <w:color w:val="auto"/>
          <w:szCs w:val="24"/>
        </w:rPr>
        <w:t>Termín zahájení plnění díla je podmíněn zadáním veřejné zakázky. Objednatel si vyhrazuje právo změnit předpokládaný termín plnění díla s ohledem na případné prodloužení zadávacího řízení VZ.</w:t>
      </w:r>
    </w:p>
    <w:p w14:paraId="379DFDC8" w14:textId="77777777" w:rsidR="00D86EA2" w:rsidRPr="00077FD4" w:rsidRDefault="00D86EA2" w:rsidP="00E722F5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5C7084D4" w14:textId="77777777" w:rsidR="00E722F5" w:rsidRPr="00077FD4" w:rsidRDefault="00E722F5" w:rsidP="00E722F5">
      <w:pPr>
        <w:spacing w:after="120"/>
        <w:rPr>
          <w:rFonts w:ascii="Times New Roman" w:hAnsi="Times New Roman"/>
          <w:snapToGrid w:val="0"/>
          <w:szCs w:val="24"/>
        </w:rPr>
      </w:pPr>
      <w:r w:rsidRPr="00077FD4">
        <w:rPr>
          <w:rFonts w:ascii="Times New Roman" w:hAnsi="Times New Roman"/>
          <w:snapToGrid w:val="0"/>
          <w:szCs w:val="24"/>
        </w:rPr>
        <w:t>Termíny plnění:</w:t>
      </w:r>
    </w:p>
    <w:p w14:paraId="63A4A609" w14:textId="77777777" w:rsidR="00E722F5" w:rsidRPr="00077FD4" w:rsidRDefault="00E722F5" w:rsidP="00E722F5">
      <w:pPr>
        <w:tabs>
          <w:tab w:val="right" w:pos="9072"/>
        </w:tabs>
        <w:suppressAutoHyphens/>
        <w:rPr>
          <w:rFonts w:ascii="Times New Roman" w:hAnsi="Times New Roman"/>
          <w:b/>
          <w:snapToGrid w:val="0"/>
          <w:szCs w:val="24"/>
        </w:rPr>
      </w:pPr>
      <w:r w:rsidRPr="00077FD4">
        <w:rPr>
          <w:rFonts w:ascii="Times New Roman" w:hAnsi="Times New Roman"/>
          <w:b/>
          <w:snapToGrid w:val="0"/>
          <w:szCs w:val="24"/>
        </w:rPr>
        <w:t>1. a 2. etapa:</w:t>
      </w:r>
    </w:p>
    <w:p w14:paraId="3E828C20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zahájení prací:                                                            červen 2022</w:t>
      </w:r>
    </w:p>
    <w:p w14:paraId="31466DD6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předání a převzetí díla bez vad a nedodělků:             červenec 2023</w:t>
      </w:r>
      <w:r w:rsidRPr="00D86EA2">
        <w:rPr>
          <w:rFonts w:ascii="Times New Roman" w:hAnsi="Times New Roman"/>
          <w:snapToGrid w:val="0"/>
          <w:szCs w:val="24"/>
        </w:rPr>
        <w:tab/>
      </w:r>
    </w:p>
    <w:p w14:paraId="75F065C8" w14:textId="77777777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dílčí kolaudace 1. a 2. etapy:                                      srpen 2023</w:t>
      </w:r>
    </w:p>
    <w:p w14:paraId="227DAEF5" w14:textId="77777777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          </w:t>
      </w:r>
    </w:p>
    <w:p w14:paraId="4AADA5E0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b/>
          <w:snapToGrid w:val="0"/>
          <w:szCs w:val="24"/>
        </w:rPr>
      </w:pPr>
      <w:r w:rsidRPr="00D86EA2">
        <w:rPr>
          <w:rFonts w:ascii="Times New Roman" w:hAnsi="Times New Roman"/>
          <w:b/>
          <w:snapToGrid w:val="0"/>
          <w:szCs w:val="24"/>
        </w:rPr>
        <w:t>3.  etapa:</w:t>
      </w:r>
    </w:p>
    <w:p w14:paraId="02C1570C" w14:textId="2E365810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Termín zahájení prací:                                                             </w:t>
      </w:r>
      <w:r w:rsidR="00206975" w:rsidRPr="00D86EA2">
        <w:rPr>
          <w:rFonts w:ascii="Times New Roman" w:hAnsi="Times New Roman"/>
          <w:snapToGrid w:val="0"/>
          <w:szCs w:val="24"/>
        </w:rPr>
        <w:t xml:space="preserve">duben </w:t>
      </w:r>
      <w:r w:rsidRPr="00D86EA2">
        <w:rPr>
          <w:rFonts w:ascii="Times New Roman" w:hAnsi="Times New Roman"/>
          <w:snapToGrid w:val="0"/>
          <w:szCs w:val="24"/>
        </w:rPr>
        <w:t>2023</w:t>
      </w:r>
    </w:p>
    <w:p w14:paraId="4E352493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předání a převzetí díla bez vad a nedodělků:              únor 2024</w:t>
      </w:r>
      <w:r w:rsidRPr="00D86EA2">
        <w:rPr>
          <w:rFonts w:ascii="Times New Roman" w:hAnsi="Times New Roman"/>
          <w:snapToGrid w:val="0"/>
          <w:szCs w:val="24"/>
        </w:rPr>
        <w:tab/>
      </w:r>
    </w:p>
    <w:p w14:paraId="67C9049A" w14:textId="77777777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dílčí kolaudace 3. etapy:                                             březen 2024</w:t>
      </w:r>
    </w:p>
    <w:p w14:paraId="25C279B0" w14:textId="77777777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</w:p>
    <w:p w14:paraId="30C32470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b/>
          <w:snapToGrid w:val="0"/>
          <w:szCs w:val="24"/>
        </w:rPr>
      </w:pPr>
      <w:r w:rsidRPr="00D86EA2">
        <w:rPr>
          <w:rFonts w:ascii="Times New Roman" w:hAnsi="Times New Roman"/>
          <w:b/>
          <w:snapToGrid w:val="0"/>
          <w:szCs w:val="24"/>
        </w:rPr>
        <w:t>4.  etapa:</w:t>
      </w:r>
    </w:p>
    <w:p w14:paraId="4959ABD0" w14:textId="25D22C64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Termín zahájení prací:                                                              </w:t>
      </w:r>
      <w:r w:rsidR="00206975" w:rsidRPr="00D86EA2">
        <w:rPr>
          <w:rFonts w:ascii="Times New Roman" w:hAnsi="Times New Roman"/>
          <w:snapToGrid w:val="0"/>
          <w:szCs w:val="24"/>
        </w:rPr>
        <w:t>duben 2023</w:t>
      </w:r>
    </w:p>
    <w:p w14:paraId="10211D36" w14:textId="77777777" w:rsidR="00E722F5" w:rsidRPr="00D86EA2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předání a převzetí díla bez vad a nedodělků:               září 2024</w:t>
      </w:r>
      <w:r w:rsidRPr="00D86EA2">
        <w:rPr>
          <w:rFonts w:ascii="Times New Roman" w:hAnsi="Times New Roman"/>
          <w:snapToGrid w:val="0"/>
          <w:szCs w:val="24"/>
        </w:rPr>
        <w:tab/>
      </w:r>
    </w:p>
    <w:p w14:paraId="616A6181" w14:textId="1006E3CA" w:rsidR="00E722F5" w:rsidRPr="00D86EA2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Termín dílčí kolaudace 4. etapy:                                              říjen 2024</w:t>
      </w:r>
    </w:p>
    <w:p w14:paraId="492B773E" w14:textId="77777777" w:rsidR="00E722F5" w:rsidRPr="00077FD4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snapToGrid w:val="0"/>
          <w:szCs w:val="24"/>
        </w:rPr>
      </w:pPr>
    </w:p>
    <w:p w14:paraId="238A5626" w14:textId="77777777" w:rsidR="00E722F5" w:rsidRPr="00077FD4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b/>
          <w:snapToGrid w:val="0"/>
          <w:szCs w:val="24"/>
        </w:rPr>
      </w:pPr>
      <w:r w:rsidRPr="00077FD4">
        <w:rPr>
          <w:rFonts w:ascii="Times New Roman" w:hAnsi="Times New Roman"/>
          <w:b/>
          <w:snapToGrid w:val="0"/>
          <w:szCs w:val="24"/>
        </w:rPr>
        <w:t>Termín dokončení předání a převzetí celého díla vč. KS:  říjen 2024</w:t>
      </w:r>
    </w:p>
    <w:p w14:paraId="0D17B45E" w14:textId="77777777" w:rsidR="00E722F5" w:rsidRPr="00077FD4" w:rsidRDefault="00E722F5" w:rsidP="00E722F5">
      <w:pPr>
        <w:tabs>
          <w:tab w:val="right" w:pos="9072"/>
        </w:tabs>
        <w:suppressAutoHyphens/>
        <w:autoSpaceDE w:val="0"/>
        <w:autoSpaceDN w:val="0"/>
        <w:rPr>
          <w:rFonts w:ascii="Times New Roman" w:hAnsi="Times New Roman"/>
          <w:b/>
          <w:snapToGrid w:val="0"/>
          <w:szCs w:val="24"/>
        </w:rPr>
      </w:pPr>
    </w:p>
    <w:p w14:paraId="616F3557" w14:textId="77777777" w:rsidR="00E722F5" w:rsidRPr="00077FD4" w:rsidRDefault="00E722F5" w:rsidP="00E722F5">
      <w:pPr>
        <w:tabs>
          <w:tab w:val="right" w:pos="9072"/>
        </w:tabs>
        <w:suppressAutoHyphens/>
        <w:rPr>
          <w:rFonts w:ascii="Times New Roman" w:hAnsi="Times New Roman"/>
          <w:snapToGrid w:val="0"/>
          <w:szCs w:val="24"/>
        </w:rPr>
      </w:pPr>
      <w:r w:rsidRPr="00077FD4">
        <w:rPr>
          <w:rFonts w:ascii="Times New Roman" w:hAnsi="Times New Roman"/>
          <w:snapToGrid w:val="0"/>
          <w:szCs w:val="24"/>
        </w:rPr>
        <w:t>Uvedené předpokládané termíny za</w:t>
      </w:r>
      <w:r>
        <w:rPr>
          <w:rFonts w:ascii="Times New Roman" w:hAnsi="Times New Roman"/>
          <w:snapToGrid w:val="0"/>
          <w:szCs w:val="24"/>
        </w:rPr>
        <w:t>hájení plnění veřejné zakázky jsou</w:t>
      </w:r>
      <w:r w:rsidRPr="00077FD4">
        <w:rPr>
          <w:rFonts w:ascii="Times New Roman" w:hAnsi="Times New Roman"/>
          <w:snapToGrid w:val="0"/>
          <w:szCs w:val="24"/>
        </w:rPr>
        <w:t xml:space="preserve"> podmíněn</w:t>
      </w:r>
      <w:r>
        <w:rPr>
          <w:rFonts w:ascii="Times New Roman" w:hAnsi="Times New Roman"/>
          <w:snapToGrid w:val="0"/>
          <w:szCs w:val="24"/>
        </w:rPr>
        <w:t>y</w:t>
      </w:r>
      <w:r w:rsidRPr="00077FD4">
        <w:rPr>
          <w:rFonts w:ascii="Times New Roman" w:hAnsi="Times New Roman"/>
          <w:snapToGrid w:val="0"/>
          <w:szCs w:val="24"/>
        </w:rPr>
        <w:t xml:space="preserve"> vydáním Rozhodnutí o poskytnutí dotace ze strany zřizovatele zadavatele tj. Ministerstva zdravotnictví ČR v návaznosti na splnění podmínek řízení akce.</w:t>
      </w:r>
      <w:r w:rsidRPr="00077FD4">
        <w:rPr>
          <w:rFonts w:cs="Arial"/>
          <w:sz w:val="20"/>
        </w:rPr>
        <w:t xml:space="preserve">     </w:t>
      </w:r>
    </w:p>
    <w:p w14:paraId="025E377B" w14:textId="25884641" w:rsidR="00E722F5" w:rsidRDefault="00E722F5" w:rsidP="00E722F5">
      <w:pPr>
        <w:pStyle w:val="Zkladntext"/>
        <w:numPr>
          <w:ilvl w:val="0"/>
          <w:numId w:val="21"/>
        </w:numPr>
        <w:spacing w:line="276" w:lineRule="auto"/>
        <w:jc w:val="both"/>
        <w:rPr>
          <w:color w:val="auto"/>
          <w:szCs w:val="24"/>
        </w:rPr>
      </w:pPr>
      <w:r w:rsidRPr="00B46923">
        <w:rPr>
          <w:color w:val="auto"/>
          <w:szCs w:val="24"/>
        </w:rPr>
        <w:t xml:space="preserve">Podrobný časový průběh realizace díla v členění dle etap 1. – 4.  je stanoven v měsících v harmonogramu výstavby, který tvoří nedílnou součást smlouvy o dílo, kterou v plném rozsahu nahrazuje Příloha č. </w:t>
      </w:r>
      <w:r w:rsidR="00B46923" w:rsidRPr="00B46923">
        <w:rPr>
          <w:color w:val="auto"/>
          <w:szCs w:val="24"/>
        </w:rPr>
        <w:t>3</w:t>
      </w:r>
      <w:r w:rsidRPr="00B46923">
        <w:rPr>
          <w:color w:val="auto"/>
          <w:szCs w:val="24"/>
        </w:rPr>
        <w:t>, která je nedílnou součástí dodatku č. 1 smlouvy o dílo 51/2021 část A.</w:t>
      </w:r>
    </w:p>
    <w:p w14:paraId="77FBE30F" w14:textId="2D69E9A9" w:rsidR="00D86EA2" w:rsidRDefault="00D86EA2" w:rsidP="00D86EA2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5335D6CE" w14:textId="77777777" w:rsidR="00D86EA2" w:rsidRPr="00B46923" w:rsidRDefault="00D86EA2" w:rsidP="00D86EA2">
      <w:pPr>
        <w:pStyle w:val="Zkladntext"/>
        <w:spacing w:line="276" w:lineRule="auto"/>
        <w:jc w:val="both"/>
        <w:rPr>
          <w:color w:val="auto"/>
          <w:szCs w:val="24"/>
        </w:rPr>
      </w:pPr>
    </w:p>
    <w:p w14:paraId="73831A3C" w14:textId="77777777" w:rsidR="00E722F5" w:rsidRPr="00D86EA2" w:rsidRDefault="00E722F5" w:rsidP="00E722F5">
      <w:pPr>
        <w:pStyle w:val="Zkladntext"/>
        <w:numPr>
          <w:ilvl w:val="0"/>
          <w:numId w:val="21"/>
        </w:numPr>
        <w:spacing w:line="276" w:lineRule="auto"/>
        <w:jc w:val="both"/>
        <w:rPr>
          <w:color w:val="auto"/>
          <w:szCs w:val="24"/>
        </w:rPr>
      </w:pPr>
      <w:r w:rsidRPr="00D86EA2">
        <w:rPr>
          <w:color w:val="auto"/>
          <w:szCs w:val="24"/>
        </w:rPr>
        <w:t>Předpokládaný harmonogram prací s ohledem na provoz oddělení stanovený objednatelem:</w:t>
      </w:r>
    </w:p>
    <w:p w14:paraId="0792649E" w14:textId="6D22C963" w:rsidR="00E722F5" w:rsidRPr="00D86EA2" w:rsidRDefault="00E722F5" w:rsidP="00E722F5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>Celková rekonstrukce objektu bude zahájena realizací 1. a 2. etapy, ve kterých bude realizována demolice stávajících garáží. Po skončení demoličních prací bude zahájena vlastní výstavba, ve které budou realizovány současně přístavby objektů „malá a velká p</w:t>
      </w:r>
      <w:r w:rsidR="00E026DB" w:rsidRPr="00D86EA2">
        <w:rPr>
          <w:rFonts w:ascii="Times New Roman" w:hAnsi="Times New Roman"/>
          <w:snapToGrid w:val="0"/>
          <w:szCs w:val="24"/>
        </w:rPr>
        <w:t>řístavba“, v rámci realizace</w:t>
      </w:r>
      <w:r w:rsidRPr="00D86EA2">
        <w:rPr>
          <w:rFonts w:ascii="Times New Roman" w:hAnsi="Times New Roman"/>
          <w:snapToGrid w:val="0"/>
          <w:szCs w:val="24"/>
        </w:rPr>
        <w:t xml:space="preserve"> těchto budov</w:t>
      </w:r>
      <w:r w:rsidR="00E026DB" w:rsidRPr="00D86EA2">
        <w:rPr>
          <w:rFonts w:ascii="Times New Roman" w:hAnsi="Times New Roman"/>
          <w:snapToGrid w:val="0"/>
          <w:szCs w:val="24"/>
        </w:rPr>
        <w:t xml:space="preserve"> (1. a 2. etapa), je nutné zahájit bourací a přípravné práce</w:t>
      </w:r>
      <w:r w:rsidR="0086372D" w:rsidRPr="00D86EA2">
        <w:rPr>
          <w:rFonts w:ascii="Times New Roman" w:hAnsi="Times New Roman"/>
          <w:snapToGrid w:val="0"/>
          <w:szCs w:val="24"/>
        </w:rPr>
        <w:t xml:space="preserve"> již pro 3. a 4. etapu</w:t>
      </w:r>
      <w:r w:rsidR="0020516F" w:rsidRPr="00D86EA2">
        <w:rPr>
          <w:rFonts w:ascii="Times New Roman" w:hAnsi="Times New Roman"/>
          <w:snapToGrid w:val="0"/>
          <w:szCs w:val="24"/>
        </w:rPr>
        <w:t>, především pro vedení přívodů a instalací</w:t>
      </w:r>
      <w:r w:rsidR="00EF176C" w:rsidRPr="00D86EA2">
        <w:rPr>
          <w:rFonts w:ascii="Times New Roman" w:hAnsi="Times New Roman"/>
          <w:snapToGrid w:val="0"/>
          <w:szCs w:val="24"/>
        </w:rPr>
        <w:t xml:space="preserve"> pro 1. a 2. etapu</w:t>
      </w:r>
      <w:r w:rsidR="0020516F" w:rsidRPr="00D86EA2">
        <w:rPr>
          <w:rFonts w:ascii="Times New Roman" w:hAnsi="Times New Roman"/>
          <w:snapToGrid w:val="0"/>
          <w:szCs w:val="24"/>
        </w:rPr>
        <w:t>, rovněž je nutné zahájit práce na oseká</w:t>
      </w:r>
      <w:r w:rsidR="00EF176C" w:rsidRPr="00D86EA2">
        <w:rPr>
          <w:rFonts w:ascii="Times New Roman" w:hAnsi="Times New Roman"/>
          <w:snapToGrid w:val="0"/>
          <w:szCs w:val="24"/>
        </w:rPr>
        <w:t>vá</w:t>
      </w:r>
      <w:r w:rsidR="0020516F" w:rsidRPr="00D86EA2">
        <w:rPr>
          <w:rFonts w:ascii="Times New Roman" w:hAnsi="Times New Roman"/>
          <w:snapToGrid w:val="0"/>
          <w:szCs w:val="24"/>
        </w:rPr>
        <w:t>ní zvě</w:t>
      </w:r>
      <w:r w:rsidR="0086372D" w:rsidRPr="00D86EA2">
        <w:rPr>
          <w:rFonts w:ascii="Times New Roman" w:hAnsi="Times New Roman"/>
          <w:snapToGrid w:val="0"/>
          <w:szCs w:val="24"/>
        </w:rPr>
        <w:t>tralých omítek, případně podlah</w:t>
      </w:r>
      <w:r w:rsidR="0020516F" w:rsidRPr="00D86EA2">
        <w:rPr>
          <w:rFonts w:ascii="Times New Roman" w:hAnsi="Times New Roman"/>
          <w:snapToGrid w:val="0"/>
          <w:szCs w:val="24"/>
        </w:rPr>
        <w:t xml:space="preserve"> suterénu (1PP), tak aby mohlo docházet co nejdříve k vysychání stávají</w:t>
      </w:r>
      <w:r w:rsidR="0086372D" w:rsidRPr="00D86EA2">
        <w:rPr>
          <w:rFonts w:ascii="Times New Roman" w:hAnsi="Times New Roman"/>
          <w:snapToGrid w:val="0"/>
          <w:szCs w:val="24"/>
        </w:rPr>
        <w:t xml:space="preserve">cího vlhkého zdiva, a aby </w:t>
      </w:r>
      <w:r w:rsidR="0020516F" w:rsidRPr="00D86EA2">
        <w:rPr>
          <w:rFonts w:ascii="Times New Roman" w:hAnsi="Times New Roman"/>
          <w:snapToGrid w:val="0"/>
          <w:szCs w:val="24"/>
        </w:rPr>
        <w:t>se prodloužila doba před aplikací nových omítek</w:t>
      </w:r>
      <w:r w:rsidRPr="00D86EA2">
        <w:rPr>
          <w:rFonts w:ascii="Times New Roman" w:hAnsi="Times New Roman"/>
          <w:snapToGrid w:val="0"/>
          <w:szCs w:val="24"/>
        </w:rPr>
        <w:t>.</w:t>
      </w:r>
      <w:r w:rsidR="00EF176C" w:rsidRPr="00D86EA2">
        <w:rPr>
          <w:rFonts w:ascii="Times New Roman" w:hAnsi="Times New Roman"/>
          <w:snapToGrid w:val="0"/>
          <w:szCs w:val="24"/>
        </w:rPr>
        <w:t xml:space="preserve"> Po kolaudaci 1. a 2.</w:t>
      </w:r>
      <w:r w:rsidRPr="00D86EA2">
        <w:rPr>
          <w:rFonts w:ascii="Times New Roman" w:hAnsi="Times New Roman"/>
          <w:snapToGrid w:val="0"/>
          <w:szCs w:val="24"/>
        </w:rPr>
        <w:t xml:space="preserve"> </w:t>
      </w:r>
      <w:r w:rsidR="0086372D" w:rsidRPr="00D86EA2">
        <w:rPr>
          <w:rFonts w:ascii="Times New Roman" w:hAnsi="Times New Roman"/>
          <w:snapToGrid w:val="0"/>
          <w:szCs w:val="24"/>
        </w:rPr>
        <w:t xml:space="preserve">etapy budou probíhat práce </w:t>
      </w:r>
      <w:r w:rsidR="00EF176C" w:rsidRPr="00D86EA2">
        <w:rPr>
          <w:rFonts w:ascii="Times New Roman" w:hAnsi="Times New Roman"/>
          <w:snapToGrid w:val="0"/>
          <w:szCs w:val="24"/>
        </w:rPr>
        <w:t>3.</w:t>
      </w:r>
      <w:r w:rsidR="00082DF1" w:rsidRPr="00D86EA2">
        <w:rPr>
          <w:rFonts w:ascii="Times New Roman" w:hAnsi="Times New Roman"/>
          <w:snapToGrid w:val="0"/>
          <w:szCs w:val="24"/>
        </w:rPr>
        <w:t xml:space="preserve"> </w:t>
      </w:r>
      <w:r w:rsidR="00EF176C" w:rsidRPr="00D86EA2">
        <w:rPr>
          <w:rFonts w:ascii="Times New Roman" w:hAnsi="Times New Roman"/>
          <w:snapToGrid w:val="0"/>
          <w:szCs w:val="24"/>
        </w:rPr>
        <w:t xml:space="preserve">a 4. etapy. </w:t>
      </w:r>
      <w:r w:rsidR="0086372D" w:rsidRPr="00D86EA2">
        <w:rPr>
          <w:rFonts w:ascii="Times New Roman" w:hAnsi="Times New Roman"/>
          <w:snapToGrid w:val="0"/>
          <w:szCs w:val="24"/>
        </w:rPr>
        <w:t xml:space="preserve">Během </w:t>
      </w:r>
      <w:r w:rsidRPr="00D86EA2">
        <w:rPr>
          <w:rFonts w:ascii="Times New Roman" w:hAnsi="Times New Roman"/>
          <w:snapToGrid w:val="0"/>
          <w:szCs w:val="24"/>
        </w:rPr>
        <w:t xml:space="preserve">těchto etap budou postupně realizovány rekonstrukce vlastních prostor v rámci oddělení, které se nacházejí na jednotlivých patrech původní budovy a to v 1NP (oddělení 15A – muži), 2NP (oddělení 15B – ženy). </w:t>
      </w:r>
    </w:p>
    <w:p w14:paraId="162AAC56" w14:textId="77777777" w:rsidR="00E722F5" w:rsidRPr="00D86EA2" w:rsidRDefault="00E722F5" w:rsidP="00E722F5">
      <w:pPr>
        <w:spacing w:after="120"/>
        <w:ind w:left="1080"/>
        <w:jc w:val="both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lastRenderedPageBreak/>
        <w:t>Nejprve proběhne rekonstrukce mužského oddělení nacházejícího se v 1NP, po celou dobu bude probíhat standartní provoz oddělení v 2NP, kam budou přesunuti po dobu rekonstrukce mužského oddělení (1NP), muži. Ženy budou přesunuty na jinou budovu v rámci léčebny. Po kolaudaci a zprovoznění oddělení v 1NP se přesunou muži z 2NP zpátky na své oddělení a bude následovat realizace rekonstrukce ženského oddělení v 2NP. Po jeho kolaudaci a zprovoznění se vrátí ženy do 2NP (ženské oddělení). V rámci 3. a 4. etapy bude probíhat postupně dle potřeby a daných podmínek oprava a rekonstrukce střechy, realizace fasády, rekonstrukce a úprava 1PP.</w:t>
      </w:r>
    </w:p>
    <w:p w14:paraId="7E2215C9" w14:textId="77777777" w:rsidR="00E722F5" w:rsidRPr="00D86EA2" w:rsidRDefault="00E722F5" w:rsidP="00E722F5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napToGrid w:val="0"/>
          <w:szCs w:val="24"/>
        </w:rPr>
      </w:pPr>
      <w:r w:rsidRPr="00D86EA2">
        <w:rPr>
          <w:rFonts w:ascii="Times New Roman" w:hAnsi="Times New Roman"/>
          <w:snapToGrid w:val="0"/>
          <w:szCs w:val="24"/>
        </w:rPr>
        <w:t xml:space="preserve">Při realizaci všech etap a všech činností se musí počítat s provozem oddělení, s případným propojením dokončené 1. a 2. etapy. To znamená, že v jakémkoli okamžiku musí být zajištěna dodávka vodo-topo-elektro, musí být zajištěn přístup na oddělení, hygienické standarty a všechny další podmínky, jež jsou dány a požadovány orgány státní správy, které stavbu povolovaly. Odstávky médií budou povolovány a realizovány jen po odsouhlasení investorem a to jen na nezbytně nutnou dobu v řádu jednotek hodin. </w:t>
      </w:r>
    </w:p>
    <w:p w14:paraId="21CD345E" w14:textId="04F67A26" w:rsidR="00CC115D" w:rsidRPr="007901B7" w:rsidRDefault="00CC115D" w:rsidP="007901B7">
      <w:pPr>
        <w:jc w:val="both"/>
        <w:rPr>
          <w:rFonts w:ascii="Times New Roman" w:hAnsi="Times New Roman"/>
        </w:rPr>
      </w:pPr>
    </w:p>
    <w:p w14:paraId="26FB7CF9" w14:textId="77777777" w:rsidR="00520407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7000E388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BE7F8D">
        <w:rPr>
          <w:rFonts w:ascii="Times New Roman" w:hAnsi="Times New Roman"/>
          <w:snapToGrid w:val="0"/>
          <w:szCs w:val="24"/>
        </w:rPr>
        <w:t xml:space="preserve">předmětné </w:t>
      </w:r>
      <w:r w:rsidRPr="00BE7F8D">
        <w:rPr>
          <w:rFonts w:ascii="Times New Roman" w:hAnsi="Times New Roman"/>
          <w:snapToGrid w:val="0"/>
          <w:szCs w:val="24"/>
        </w:rPr>
        <w:t xml:space="preserve">smlouvy o dílo č. VZ </w:t>
      </w:r>
      <w:r w:rsidR="001D6CF1">
        <w:rPr>
          <w:rFonts w:ascii="Times New Roman" w:hAnsi="Times New Roman"/>
          <w:snapToGrid w:val="0"/>
          <w:szCs w:val="24"/>
        </w:rPr>
        <w:t>51/2021A</w:t>
      </w:r>
      <w:r w:rsidR="00F035D5" w:rsidRPr="00BE7F8D">
        <w:rPr>
          <w:rFonts w:ascii="Times New Roman" w:hAnsi="Times New Roman"/>
          <w:snapToGrid w:val="0"/>
          <w:szCs w:val="24"/>
        </w:rPr>
        <w:t xml:space="preserve">, které nebyly dotčeny změnou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="00F035D5" w:rsidRPr="00BE7F8D">
        <w:rPr>
          <w:rFonts w:ascii="Times New Roman" w:hAnsi="Times New Roman"/>
          <w:snapToGrid w:val="0"/>
          <w:szCs w:val="24"/>
        </w:rPr>
        <w:t>,</w:t>
      </w:r>
      <w:r w:rsidRPr="00BE7F8D">
        <w:rPr>
          <w:rFonts w:ascii="Times New Roman" w:hAnsi="Times New Roman"/>
          <w:snapToGrid w:val="0"/>
          <w:szCs w:val="24"/>
        </w:rPr>
        <w:t xml:space="preserve"> uzavřené mezi smluvními stranami zůstávají nedotčena, nezměněna a nadále zůstávají v platnosti a účinnosti.</w:t>
      </w:r>
    </w:p>
    <w:p w14:paraId="77AB2777" w14:textId="1DA9EA10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Tento dodatek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1D6CF1">
        <w:rPr>
          <w:rFonts w:ascii="Times New Roman" w:hAnsi="Times New Roman"/>
          <w:snapToGrid w:val="0"/>
          <w:szCs w:val="24"/>
        </w:rPr>
        <w:t>51/2021A</w:t>
      </w:r>
      <w:r w:rsidRPr="00BE7F8D">
        <w:rPr>
          <w:rFonts w:ascii="Times New Roman" w:hAnsi="Times New Roman"/>
          <w:snapToGrid w:val="0"/>
          <w:szCs w:val="24"/>
        </w:rPr>
        <w:t xml:space="preserve">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465D9BEE" w14:textId="6EDDF9B9" w:rsidR="005B6D3E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VZ </w:t>
      </w:r>
      <w:r w:rsidR="001D6CF1">
        <w:rPr>
          <w:rFonts w:ascii="Times New Roman" w:hAnsi="Times New Roman"/>
          <w:snapToGrid w:val="0"/>
          <w:szCs w:val="24"/>
        </w:rPr>
        <w:t>51/2021A</w:t>
      </w:r>
      <w:r w:rsidRPr="00BE7F8D">
        <w:rPr>
          <w:rFonts w:ascii="Times New Roman" w:hAnsi="Times New Roman"/>
          <w:snapToGrid w:val="0"/>
          <w:szCs w:val="24"/>
        </w:rPr>
        <w:t xml:space="preserve"> prohlašují, že se seznámily s jeho obsahem, se kterým bezvýhradně souhlasí. Tento dodatek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1D6CF1">
        <w:rPr>
          <w:rFonts w:ascii="Times New Roman" w:hAnsi="Times New Roman"/>
          <w:snapToGrid w:val="0"/>
          <w:szCs w:val="24"/>
        </w:rPr>
        <w:t>51/2021A</w:t>
      </w:r>
      <w:r w:rsidRPr="00BE7F8D">
        <w:rPr>
          <w:rFonts w:ascii="Times New Roman" w:hAnsi="Times New Roman"/>
          <w:snapToGrid w:val="0"/>
          <w:szCs w:val="24"/>
        </w:rPr>
        <w:t xml:space="preserve">  je </w:t>
      </w:r>
      <w:r w:rsidR="007901B7" w:rsidRPr="00BE7F8D">
        <w:rPr>
          <w:rFonts w:ascii="Times New Roman" w:hAnsi="Times New Roman"/>
          <w:snapToGrid w:val="0"/>
          <w:szCs w:val="24"/>
        </w:rPr>
        <w:t>uzavřen po vzájemném projednání.</w:t>
      </w:r>
    </w:p>
    <w:p w14:paraId="29C6EED3" w14:textId="5F4849AD" w:rsidR="00B46923" w:rsidRPr="003202C9" w:rsidRDefault="007223CB" w:rsidP="003202C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3202C9">
        <w:rPr>
          <w:rFonts w:ascii="Times New Roman" w:hAnsi="Times New Roman"/>
          <w:snapToGrid w:val="0"/>
          <w:szCs w:val="24"/>
        </w:rPr>
        <w:t>Tento d</w:t>
      </w:r>
      <w:r w:rsidR="007901B7" w:rsidRPr="003202C9">
        <w:rPr>
          <w:rFonts w:ascii="Times New Roman" w:hAnsi="Times New Roman"/>
          <w:snapToGrid w:val="0"/>
          <w:szCs w:val="24"/>
        </w:rPr>
        <w:t xml:space="preserve">odatek č. </w:t>
      </w:r>
      <w:r w:rsidRPr="003202C9">
        <w:rPr>
          <w:rFonts w:ascii="Times New Roman" w:hAnsi="Times New Roman"/>
          <w:snapToGrid w:val="0"/>
          <w:szCs w:val="24"/>
        </w:rPr>
        <w:t>1</w:t>
      </w:r>
      <w:r w:rsidR="007901B7" w:rsidRPr="003202C9">
        <w:rPr>
          <w:rFonts w:ascii="Times New Roman" w:hAnsi="Times New Roman"/>
          <w:snapToGrid w:val="0"/>
          <w:szCs w:val="24"/>
        </w:rPr>
        <w:t xml:space="preserve"> smlouvy o dílo č. </w:t>
      </w:r>
      <w:r w:rsidR="001D6CF1" w:rsidRPr="003202C9">
        <w:rPr>
          <w:rFonts w:ascii="Times New Roman" w:hAnsi="Times New Roman"/>
          <w:snapToGrid w:val="0"/>
          <w:szCs w:val="24"/>
        </w:rPr>
        <w:t>51/2021A</w:t>
      </w:r>
      <w:r w:rsidR="007901B7" w:rsidRPr="003202C9">
        <w:rPr>
          <w:rFonts w:ascii="Times New Roman" w:hAnsi="Times New Roman"/>
          <w:snapToGrid w:val="0"/>
          <w:szCs w:val="24"/>
        </w:rPr>
        <w:t xml:space="preserve"> je vyhotoven </w:t>
      </w:r>
      <w:r w:rsidR="00B46923" w:rsidRPr="003202C9">
        <w:rPr>
          <w:rFonts w:ascii="Times New Roman" w:hAnsi="Times New Roman"/>
          <w:szCs w:val="24"/>
        </w:rPr>
        <w:t xml:space="preserve">elektronicky v jednom stejnopise s platností originálu a podepsán zaručeným elektronickým podpisem zmocněnými zástupci obou smluvních stran. </w:t>
      </w:r>
    </w:p>
    <w:p w14:paraId="72E4D673" w14:textId="69942FD3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7223CB" w:rsidRPr="00BE7F8D">
        <w:rPr>
          <w:rFonts w:ascii="Times New Roman" w:hAnsi="Times New Roman"/>
          <w:snapToGrid w:val="0"/>
          <w:szCs w:val="24"/>
        </w:rPr>
        <w:t>1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</w:t>
      </w:r>
      <w:r w:rsidR="00B46923">
        <w:rPr>
          <w:rFonts w:ascii="Times New Roman" w:hAnsi="Times New Roman"/>
          <w:snapToGrid w:val="0"/>
          <w:szCs w:val="24"/>
        </w:rPr>
        <w:t>51/2021A</w:t>
      </w:r>
      <w:r w:rsidR="007901B7" w:rsidRPr="00BE7F8D">
        <w:rPr>
          <w:rFonts w:ascii="Times New Roman" w:hAnsi="Times New Roman"/>
          <w:snapToGrid w:val="0"/>
          <w:szCs w:val="24"/>
        </w:rPr>
        <w:t xml:space="preserve"> 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</w:t>
      </w:r>
      <w:r w:rsidRPr="00BE7F8D">
        <w:rPr>
          <w:rFonts w:ascii="Times New Roman" w:hAnsi="Times New Roman"/>
          <w:snapToGrid w:val="0"/>
          <w:szCs w:val="24"/>
        </w:rPr>
        <w:t>jsou přílohy:</w:t>
      </w:r>
    </w:p>
    <w:p w14:paraId="583EF7AB" w14:textId="233454FB" w:rsidR="00B46923" w:rsidRPr="00FD066A" w:rsidRDefault="00B46923" w:rsidP="00B46923">
      <w:pPr>
        <w:pStyle w:val="Bezmezer"/>
        <w:ind w:left="360"/>
        <w:rPr>
          <w:rFonts w:ascii="Times New Roman" w:hAnsi="Times New Roman"/>
          <w:color w:val="FF0000"/>
          <w:sz w:val="24"/>
          <w:szCs w:val="24"/>
        </w:rPr>
      </w:pPr>
      <w:r w:rsidRPr="00F93AF6">
        <w:rPr>
          <w:rFonts w:ascii="Times New Roman" w:hAnsi="Times New Roman"/>
          <w:sz w:val="24"/>
          <w:szCs w:val="24"/>
        </w:rPr>
        <w:t>Příloha č. 1 k dodatku č. 1</w:t>
      </w:r>
      <w:r w:rsidRPr="00F93AF6">
        <w:rPr>
          <w:rFonts w:ascii="Times New Roman" w:hAnsi="Times New Roman"/>
          <w:szCs w:val="24"/>
        </w:rPr>
        <w:t xml:space="preserve"> </w:t>
      </w:r>
      <w:r w:rsidRPr="00F93AF6">
        <w:rPr>
          <w:rFonts w:ascii="Times New Roman" w:hAnsi="Times New Roman"/>
          <w:sz w:val="24"/>
          <w:szCs w:val="24"/>
        </w:rPr>
        <w:t xml:space="preserve">– </w:t>
      </w:r>
      <w:r w:rsidR="00646C10">
        <w:rPr>
          <w:rFonts w:ascii="Times New Roman" w:hAnsi="Times New Roman"/>
          <w:sz w:val="24"/>
          <w:szCs w:val="24"/>
        </w:rPr>
        <w:t>Položkový rozpočet - vícepráce</w:t>
      </w:r>
    </w:p>
    <w:p w14:paraId="02B04633" w14:textId="5DE445C0" w:rsidR="00B46923" w:rsidRPr="00FD066A" w:rsidRDefault="00B46923" w:rsidP="00B46923">
      <w:pPr>
        <w:pStyle w:val="Bezmezer"/>
        <w:ind w:left="360"/>
        <w:rPr>
          <w:rFonts w:ascii="Times New Roman" w:hAnsi="Times New Roman"/>
          <w:color w:val="FF0000"/>
          <w:sz w:val="24"/>
          <w:szCs w:val="24"/>
        </w:rPr>
      </w:pPr>
      <w:r w:rsidRPr="00F93AF6">
        <w:rPr>
          <w:rFonts w:ascii="Times New Roman" w:hAnsi="Times New Roman"/>
          <w:sz w:val="24"/>
          <w:szCs w:val="24"/>
        </w:rPr>
        <w:t>Příloha č. 2 k dodatku č. 1</w:t>
      </w:r>
      <w:r w:rsidRPr="00F93AF6">
        <w:rPr>
          <w:rFonts w:ascii="Times New Roman" w:hAnsi="Times New Roman"/>
          <w:szCs w:val="24"/>
        </w:rPr>
        <w:t xml:space="preserve"> </w:t>
      </w:r>
      <w:r w:rsidRPr="00F93AF6">
        <w:rPr>
          <w:rFonts w:ascii="Times New Roman" w:hAnsi="Times New Roman"/>
          <w:sz w:val="24"/>
          <w:szCs w:val="24"/>
        </w:rPr>
        <w:t xml:space="preserve">– </w:t>
      </w:r>
      <w:r w:rsidR="00646C10">
        <w:rPr>
          <w:rFonts w:ascii="Times New Roman" w:hAnsi="Times New Roman"/>
          <w:sz w:val="24"/>
          <w:szCs w:val="24"/>
        </w:rPr>
        <w:t xml:space="preserve">Položkový rozpočet - </w:t>
      </w:r>
      <w:r w:rsidRPr="00F93AF6">
        <w:rPr>
          <w:rFonts w:ascii="Times New Roman" w:hAnsi="Times New Roman"/>
          <w:sz w:val="24"/>
          <w:szCs w:val="24"/>
        </w:rPr>
        <w:t>méněprací</w:t>
      </w:r>
      <w:r w:rsidR="00FD066A">
        <w:rPr>
          <w:rFonts w:ascii="Times New Roman" w:hAnsi="Times New Roman"/>
          <w:sz w:val="24"/>
          <w:szCs w:val="24"/>
        </w:rPr>
        <w:t xml:space="preserve"> </w:t>
      </w:r>
    </w:p>
    <w:p w14:paraId="3F81B54B" w14:textId="69E54278" w:rsidR="00B46923" w:rsidRPr="00B46923" w:rsidRDefault="00B46923" w:rsidP="00B46923">
      <w:pPr>
        <w:pStyle w:val="Bezmezer"/>
        <w:ind w:left="360"/>
        <w:rPr>
          <w:rFonts w:ascii="Times New Roman" w:hAnsi="Times New Roman"/>
          <w:color w:val="FF0000"/>
          <w:sz w:val="24"/>
          <w:szCs w:val="24"/>
        </w:rPr>
      </w:pPr>
      <w:r w:rsidRPr="00F93AF6">
        <w:rPr>
          <w:rFonts w:ascii="Times New Roman" w:hAnsi="Times New Roman"/>
          <w:sz w:val="24"/>
          <w:szCs w:val="24"/>
        </w:rPr>
        <w:t>Příloha č. 3 k dodatku č. 1</w:t>
      </w:r>
      <w:r w:rsidRPr="00F93AF6">
        <w:rPr>
          <w:rFonts w:ascii="Times New Roman" w:hAnsi="Times New Roman"/>
          <w:szCs w:val="24"/>
        </w:rPr>
        <w:t xml:space="preserve"> </w:t>
      </w:r>
      <w:r w:rsidRPr="00F93AF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Č</w:t>
      </w:r>
      <w:r w:rsidRPr="00F93AF6">
        <w:rPr>
          <w:rFonts w:ascii="Times New Roman" w:hAnsi="Times New Roman"/>
          <w:sz w:val="24"/>
          <w:szCs w:val="24"/>
        </w:rPr>
        <w:t>asový a finanční harmonogram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14E2E0" w14:textId="76E5E3C7" w:rsidR="00B46923" w:rsidRDefault="00B46923" w:rsidP="00B46923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F93AF6">
        <w:rPr>
          <w:rFonts w:ascii="Times New Roman" w:hAnsi="Times New Roman"/>
          <w:sz w:val="24"/>
          <w:szCs w:val="24"/>
        </w:rPr>
        <w:t>Příloha č. 4 k dodatku č. 1</w:t>
      </w:r>
      <w:r w:rsidRPr="00F93AF6">
        <w:rPr>
          <w:rFonts w:ascii="Times New Roman" w:hAnsi="Times New Roman"/>
          <w:szCs w:val="24"/>
        </w:rPr>
        <w:t xml:space="preserve"> </w:t>
      </w:r>
      <w:r w:rsidRPr="00F93AF6">
        <w:rPr>
          <w:rFonts w:ascii="Times New Roman" w:hAnsi="Times New Roman"/>
          <w:sz w:val="24"/>
          <w:szCs w:val="24"/>
        </w:rPr>
        <w:t xml:space="preserve"> – Oznámení změny číslo: 01/20</w:t>
      </w:r>
      <w:r>
        <w:rPr>
          <w:rFonts w:ascii="Times New Roman" w:hAnsi="Times New Roman"/>
          <w:sz w:val="24"/>
          <w:szCs w:val="24"/>
        </w:rPr>
        <w:t>23</w:t>
      </w:r>
      <w:r w:rsidRPr="00F93AF6">
        <w:rPr>
          <w:rFonts w:ascii="Times New Roman" w:hAnsi="Times New Roman"/>
          <w:sz w:val="24"/>
          <w:szCs w:val="24"/>
        </w:rPr>
        <w:t>, 02/20</w:t>
      </w:r>
      <w:r>
        <w:rPr>
          <w:rFonts w:ascii="Times New Roman" w:hAnsi="Times New Roman"/>
          <w:sz w:val="24"/>
          <w:szCs w:val="24"/>
        </w:rPr>
        <w:t>23</w:t>
      </w:r>
      <w:r w:rsidRPr="00F93AF6">
        <w:rPr>
          <w:rFonts w:ascii="Times New Roman" w:hAnsi="Times New Roman"/>
          <w:sz w:val="24"/>
          <w:szCs w:val="24"/>
        </w:rPr>
        <w:t>, 03/20</w:t>
      </w:r>
      <w:r>
        <w:rPr>
          <w:rFonts w:ascii="Times New Roman" w:hAnsi="Times New Roman"/>
          <w:sz w:val="24"/>
          <w:szCs w:val="24"/>
        </w:rPr>
        <w:t>23</w:t>
      </w:r>
    </w:p>
    <w:p w14:paraId="6C605183" w14:textId="2CA5BE7E" w:rsidR="00D86EA2" w:rsidRPr="00B46923" w:rsidRDefault="00D86EA2" w:rsidP="00B46923">
      <w:pPr>
        <w:pStyle w:val="Bezmezer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5 k dodatku č. 1 – Položkový rozpočet „GASTRO</w:t>
      </w:r>
    </w:p>
    <w:p w14:paraId="3BC3106D" w14:textId="68292ACD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8B57541" w14:textId="3498F6E4" w:rsidR="00BA6FDC" w:rsidRPr="00BA6FDC" w:rsidRDefault="00BA6FDC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 w:rsidRPr="0092153B">
        <w:rPr>
          <w:b/>
          <w:color w:val="auto"/>
          <w:szCs w:val="24"/>
        </w:rPr>
        <w:t>Za objednatele:</w:t>
      </w:r>
      <w:r w:rsidRPr="0092153B">
        <w:rPr>
          <w:color w:val="auto"/>
          <w:szCs w:val="24"/>
        </w:rPr>
        <w:tab/>
      </w:r>
      <w:r w:rsidRPr="0092153B">
        <w:rPr>
          <w:b/>
          <w:color w:val="auto"/>
          <w:szCs w:val="24"/>
        </w:rPr>
        <w:t>Za zhotovitele:</w:t>
      </w:r>
    </w:p>
    <w:p w14:paraId="24601C47" w14:textId="6B4918FA" w:rsidR="00BA6FDC" w:rsidRPr="0092153B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Ve Šternberku dne</w:t>
      </w:r>
      <w:r w:rsidR="00985822">
        <w:rPr>
          <w:color w:val="auto"/>
          <w:szCs w:val="24"/>
        </w:rPr>
        <w:t xml:space="preserve"> 8. 6. 2023</w:t>
      </w:r>
      <w:bookmarkStart w:id="0" w:name="_GoBack"/>
      <w:bookmarkEnd w:id="0"/>
      <w:r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  <w:t xml:space="preserve"> </w:t>
      </w:r>
      <w:r w:rsidRPr="0092153B"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  <w:r>
        <w:rPr>
          <w:color w:val="auto"/>
          <w:szCs w:val="24"/>
        </w:rPr>
        <w:t xml:space="preserve">   </w:t>
      </w:r>
      <w:r w:rsidRPr="0092153B">
        <w:rPr>
          <w:color w:val="auto"/>
          <w:szCs w:val="24"/>
        </w:rPr>
        <w:t>V</w:t>
      </w:r>
      <w:r>
        <w:rPr>
          <w:color w:val="auto"/>
          <w:szCs w:val="24"/>
        </w:rPr>
        <w:t xml:space="preserve">   </w:t>
      </w:r>
      <w:r w:rsidR="0044097C">
        <w:rPr>
          <w:color w:val="auto"/>
          <w:szCs w:val="24"/>
        </w:rPr>
        <w:t>Brně</w:t>
      </w:r>
      <w:r>
        <w:rPr>
          <w:color w:val="auto"/>
          <w:szCs w:val="24"/>
        </w:rPr>
        <w:t xml:space="preserve"> </w:t>
      </w:r>
      <w:r w:rsidRPr="0092153B">
        <w:rPr>
          <w:color w:val="auto"/>
          <w:szCs w:val="24"/>
        </w:rPr>
        <w:t>dne</w:t>
      </w:r>
      <w:r w:rsidR="005A45CA">
        <w:rPr>
          <w:color w:val="auto"/>
          <w:szCs w:val="24"/>
        </w:rPr>
        <w:t xml:space="preserve"> 9. 5. 2023</w:t>
      </w:r>
      <w:r>
        <w:rPr>
          <w:color w:val="auto"/>
          <w:szCs w:val="24"/>
        </w:rPr>
        <w:t xml:space="preserve"> </w:t>
      </w:r>
    </w:p>
    <w:p w14:paraId="1B7F1CA0" w14:textId="77777777" w:rsidR="00BA6FDC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5BD3B183" w14:textId="77777777" w:rsidR="00DB4890" w:rsidRDefault="00DB4890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02622440" w14:textId="1BB859E2" w:rsidR="00B46923" w:rsidRPr="00077FD4" w:rsidRDefault="00B46923" w:rsidP="00B46923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>………………………………                                          ……………………………...</w:t>
      </w:r>
      <w:r w:rsidRPr="00077FD4">
        <w:rPr>
          <w:color w:val="auto"/>
          <w:szCs w:val="24"/>
        </w:rPr>
        <w:tab/>
      </w:r>
    </w:p>
    <w:p w14:paraId="0A154A80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077FD4">
        <w:rPr>
          <w:b/>
          <w:color w:val="auto"/>
          <w:szCs w:val="24"/>
        </w:rPr>
        <w:t xml:space="preserve">    MUDr. Hana Kučerová                                                      </w:t>
      </w:r>
      <w:r>
        <w:rPr>
          <w:b/>
          <w:color w:val="auto"/>
          <w:szCs w:val="24"/>
        </w:rPr>
        <w:t xml:space="preserve">    </w:t>
      </w:r>
      <w:r w:rsidRPr="00077FD4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Ing. Jan Polický</w:t>
      </w:r>
    </w:p>
    <w:p w14:paraId="6DD7BA29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 xml:space="preserve">                ředitelka                                                                                  jednatel</w:t>
      </w:r>
    </w:p>
    <w:p w14:paraId="080DA76E" w14:textId="77777777" w:rsidR="00B46923" w:rsidRPr="00077FD4" w:rsidRDefault="00B46923" w:rsidP="00B46923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077FD4">
        <w:rPr>
          <w:color w:val="auto"/>
          <w:szCs w:val="24"/>
        </w:rPr>
        <w:t xml:space="preserve">Psychiatrické léčebny Šternberk                                             </w:t>
      </w:r>
      <w:r>
        <w:rPr>
          <w:color w:val="auto"/>
          <w:szCs w:val="24"/>
        </w:rPr>
        <w:t xml:space="preserve">     </w:t>
      </w:r>
      <w:r w:rsidRPr="00077FD4">
        <w:rPr>
          <w:color w:val="auto"/>
          <w:szCs w:val="24"/>
        </w:rPr>
        <w:t xml:space="preserve">  </w:t>
      </w:r>
      <w:r>
        <w:rPr>
          <w:color w:val="auto"/>
          <w:szCs w:val="24"/>
        </w:rPr>
        <w:t>ESOX, spol. s r.o.</w:t>
      </w:r>
      <w:r w:rsidRPr="00077FD4">
        <w:rPr>
          <w:b/>
          <w:color w:val="auto"/>
          <w:szCs w:val="24"/>
        </w:rPr>
        <w:tab/>
      </w:r>
    </w:p>
    <w:sectPr w:rsidR="00B46923" w:rsidRPr="00077FD4" w:rsidSect="00DB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84AB" w16cex:dateUtc="2023-04-18T19:05:00Z"/>
  <w16cex:commentExtensible w16cex:durableId="27E984D7" w16cex:dateUtc="2023-04-18T19:06:00Z"/>
  <w16cex:commentExtensible w16cex:durableId="27E984F3" w16cex:dateUtc="2023-04-18T19:06:00Z"/>
  <w16cex:commentExtensible w16cex:durableId="27E985B2" w16cex:dateUtc="2023-04-18T19:10:00Z"/>
  <w16cex:commentExtensible w16cex:durableId="27E985D7" w16cex:dateUtc="2023-04-18T19:10:00Z"/>
  <w16cex:commentExtensible w16cex:durableId="27E98605" w16cex:dateUtc="2023-04-18T19:11:00Z"/>
  <w16cex:commentExtensible w16cex:durableId="27E98667" w16cex:dateUtc="2023-04-18T19:13:00Z"/>
  <w16cex:commentExtensible w16cex:durableId="27E986B6" w16cex:dateUtc="2023-04-18T19:14:00Z"/>
  <w16cex:commentExtensible w16cex:durableId="27E986E4" w16cex:dateUtc="2023-04-18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FEF51" w16cid:durableId="27E984AB"/>
  <w16cid:commentId w16cid:paraId="37D08FF5" w16cid:durableId="27E984D7"/>
  <w16cid:commentId w16cid:paraId="6EC7F8CC" w16cid:durableId="27E984F3"/>
  <w16cid:commentId w16cid:paraId="52FAA4E8" w16cid:durableId="27E985B2"/>
  <w16cid:commentId w16cid:paraId="5EA4B275" w16cid:durableId="27E985D7"/>
  <w16cid:commentId w16cid:paraId="48755FC9" w16cid:durableId="27E98605"/>
  <w16cid:commentId w16cid:paraId="252FB903" w16cid:durableId="27E98667"/>
  <w16cid:commentId w16cid:paraId="5F183938" w16cid:durableId="27E986B6"/>
  <w16cid:commentId w16cid:paraId="43097412" w16cid:durableId="27E986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902B" w14:textId="77777777" w:rsidR="006E69D1" w:rsidRDefault="006E69D1" w:rsidP="0033357E">
      <w:r>
        <w:separator/>
      </w:r>
    </w:p>
  </w:endnote>
  <w:endnote w:type="continuationSeparator" w:id="0">
    <w:p w14:paraId="4608935D" w14:textId="77777777" w:rsidR="006E69D1" w:rsidRDefault="006E69D1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e">
    <w:altName w:val="Times New Roman"/>
    <w:panose1 w:val="00000000000000000000"/>
    <w:charset w:val="00"/>
    <w:family w:val="roman"/>
    <w:notTrueType/>
    <w:pitch w:val="default"/>
  </w:font>
  <w:font w:name="Albertus Medium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642518E9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85822">
              <w:rPr>
                <w:rFonts w:ascii="Times New Roman" w:hAnsi="Times New Roman"/>
                <w:b/>
                <w:bCs/>
                <w:i/>
                <w:noProof/>
              </w:rPr>
              <w:t>5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85822">
              <w:rPr>
                <w:rFonts w:ascii="Times New Roman" w:hAnsi="Times New Roman"/>
                <w:b/>
                <w:bCs/>
                <w:i/>
                <w:noProof/>
              </w:rPr>
              <w:t>5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1D32B246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985822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985822">
              <w:rPr>
                <w:rFonts w:ascii="Times New Roman" w:hAnsi="Times New Roman"/>
                <w:i/>
                <w:noProof/>
              </w:rPr>
              <w:t>5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1E761" w14:textId="77777777" w:rsidR="006E69D1" w:rsidRDefault="006E69D1" w:rsidP="0033357E">
      <w:r>
        <w:separator/>
      </w:r>
    </w:p>
  </w:footnote>
  <w:footnote w:type="continuationSeparator" w:id="0">
    <w:p w14:paraId="1C54481B" w14:textId="77777777" w:rsidR="006E69D1" w:rsidRDefault="006E69D1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17C"/>
    <w:multiLevelType w:val="singleLevel"/>
    <w:tmpl w:val="4BD69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80D"/>
    <w:multiLevelType w:val="hybridMultilevel"/>
    <w:tmpl w:val="14509D8E"/>
    <w:lvl w:ilvl="0" w:tplc="E92C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38623ADE"/>
    <w:multiLevelType w:val="hybridMultilevel"/>
    <w:tmpl w:val="4F4CAB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C61368"/>
    <w:multiLevelType w:val="hybridMultilevel"/>
    <w:tmpl w:val="1908CA54"/>
    <w:lvl w:ilvl="0" w:tplc="B55E7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584D"/>
    <w:multiLevelType w:val="hybridMultilevel"/>
    <w:tmpl w:val="46909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7"/>
  </w:num>
  <w:num w:numId="5">
    <w:abstractNumId w:val="21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5"/>
  </w:num>
  <w:num w:numId="16">
    <w:abstractNumId w:val="8"/>
  </w:num>
  <w:num w:numId="17">
    <w:abstractNumId w:val="18"/>
  </w:num>
  <w:num w:numId="18">
    <w:abstractNumId w:val="14"/>
  </w:num>
  <w:num w:numId="19">
    <w:abstractNumId w:val="12"/>
  </w:num>
  <w:num w:numId="20">
    <w:abstractNumId w:val="13"/>
  </w:num>
  <w:num w:numId="21">
    <w:abstractNumId w:val="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350D"/>
    <w:rsid w:val="000479EB"/>
    <w:rsid w:val="000539AC"/>
    <w:rsid w:val="00054B3B"/>
    <w:rsid w:val="00062EBA"/>
    <w:rsid w:val="00072AA8"/>
    <w:rsid w:val="0008242A"/>
    <w:rsid w:val="00082DF1"/>
    <w:rsid w:val="00083723"/>
    <w:rsid w:val="000A01D6"/>
    <w:rsid w:val="000A03B5"/>
    <w:rsid w:val="000A559F"/>
    <w:rsid w:val="000A618E"/>
    <w:rsid w:val="000A6BAC"/>
    <w:rsid w:val="000B01B7"/>
    <w:rsid w:val="000B2150"/>
    <w:rsid w:val="000B5B60"/>
    <w:rsid w:val="000C68FC"/>
    <w:rsid w:val="000C7C15"/>
    <w:rsid w:val="000D0716"/>
    <w:rsid w:val="000D24D0"/>
    <w:rsid w:val="000F108F"/>
    <w:rsid w:val="000F47DE"/>
    <w:rsid w:val="00110D43"/>
    <w:rsid w:val="00126D41"/>
    <w:rsid w:val="0013273F"/>
    <w:rsid w:val="00136B2F"/>
    <w:rsid w:val="0014089D"/>
    <w:rsid w:val="0016310E"/>
    <w:rsid w:val="00163D31"/>
    <w:rsid w:val="00176AD9"/>
    <w:rsid w:val="001864EB"/>
    <w:rsid w:val="00194924"/>
    <w:rsid w:val="00194D98"/>
    <w:rsid w:val="001B7650"/>
    <w:rsid w:val="001B784A"/>
    <w:rsid w:val="001C0EC7"/>
    <w:rsid w:val="001C6015"/>
    <w:rsid w:val="001D122D"/>
    <w:rsid w:val="001D6CF1"/>
    <w:rsid w:val="001E1BB6"/>
    <w:rsid w:val="001F0B43"/>
    <w:rsid w:val="001F0E82"/>
    <w:rsid w:val="001F1FCE"/>
    <w:rsid w:val="001F6724"/>
    <w:rsid w:val="002004FA"/>
    <w:rsid w:val="00203063"/>
    <w:rsid w:val="0020516F"/>
    <w:rsid w:val="00206975"/>
    <w:rsid w:val="0021405A"/>
    <w:rsid w:val="0022187D"/>
    <w:rsid w:val="00221FD0"/>
    <w:rsid w:val="0022346A"/>
    <w:rsid w:val="00242971"/>
    <w:rsid w:val="002462B9"/>
    <w:rsid w:val="00252FEB"/>
    <w:rsid w:val="0025337F"/>
    <w:rsid w:val="00253AFC"/>
    <w:rsid w:val="0025621C"/>
    <w:rsid w:val="002568CD"/>
    <w:rsid w:val="00267F12"/>
    <w:rsid w:val="00272C5C"/>
    <w:rsid w:val="00274C38"/>
    <w:rsid w:val="00274E1E"/>
    <w:rsid w:val="0028149F"/>
    <w:rsid w:val="00281893"/>
    <w:rsid w:val="002835E5"/>
    <w:rsid w:val="00285CFF"/>
    <w:rsid w:val="002A0256"/>
    <w:rsid w:val="002B07D0"/>
    <w:rsid w:val="002C4E7D"/>
    <w:rsid w:val="002D0E8C"/>
    <w:rsid w:val="002D3A8D"/>
    <w:rsid w:val="002D465F"/>
    <w:rsid w:val="002E7532"/>
    <w:rsid w:val="002F7A9D"/>
    <w:rsid w:val="00301AA9"/>
    <w:rsid w:val="00310FBA"/>
    <w:rsid w:val="003202C9"/>
    <w:rsid w:val="00323981"/>
    <w:rsid w:val="00325E4B"/>
    <w:rsid w:val="00330E8B"/>
    <w:rsid w:val="0033357E"/>
    <w:rsid w:val="00347501"/>
    <w:rsid w:val="00352536"/>
    <w:rsid w:val="00357E97"/>
    <w:rsid w:val="003858DD"/>
    <w:rsid w:val="00390721"/>
    <w:rsid w:val="003A48D1"/>
    <w:rsid w:val="003A5ABF"/>
    <w:rsid w:val="003A7BC0"/>
    <w:rsid w:val="003B2073"/>
    <w:rsid w:val="003B3F9E"/>
    <w:rsid w:val="003B6927"/>
    <w:rsid w:val="003C0D0A"/>
    <w:rsid w:val="003C3C6D"/>
    <w:rsid w:val="003D08D0"/>
    <w:rsid w:val="003E4313"/>
    <w:rsid w:val="003E5371"/>
    <w:rsid w:val="003E6D45"/>
    <w:rsid w:val="003F5DD8"/>
    <w:rsid w:val="004168BE"/>
    <w:rsid w:val="00420C00"/>
    <w:rsid w:val="004368B7"/>
    <w:rsid w:val="0044097C"/>
    <w:rsid w:val="00442D90"/>
    <w:rsid w:val="00444C58"/>
    <w:rsid w:val="00464240"/>
    <w:rsid w:val="00472998"/>
    <w:rsid w:val="00496F0A"/>
    <w:rsid w:val="004A5FCF"/>
    <w:rsid w:val="004C06CE"/>
    <w:rsid w:val="004C3FB9"/>
    <w:rsid w:val="004E0225"/>
    <w:rsid w:val="004E68D6"/>
    <w:rsid w:val="004F25FD"/>
    <w:rsid w:val="004F6685"/>
    <w:rsid w:val="004F7982"/>
    <w:rsid w:val="00511C37"/>
    <w:rsid w:val="00516735"/>
    <w:rsid w:val="00520407"/>
    <w:rsid w:val="00521BE0"/>
    <w:rsid w:val="0053375D"/>
    <w:rsid w:val="0053715E"/>
    <w:rsid w:val="00540838"/>
    <w:rsid w:val="00543A29"/>
    <w:rsid w:val="00543B15"/>
    <w:rsid w:val="0054567C"/>
    <w:rsid w:val="0055314A"/>
    <w:rsid w:val="00562BF9"/>
    <w:rsid w:val="005630A2"/>
    <w:rsid w:val="00577084"/>
    <w:rsid w:val="005826EE"/>
    <w:rsid w:val="00585CD3"/>
    <w:rsid w:val="00590A1C"/>
    <w:rsid w:val="00596900"/>
    <w:rsid w:val="005A1545"/>
    <w:rsid w:val="005A45CA"/>
    <w:rsid w:val="005A5212"/>
    <w:rsid w:val="005B264A"/>
    <w:rsid w:val="005B52CD"/>
    <w:rsid w:val="005B5A37"/>
    <w:rsid w:val="005B6D3E"/>
    <w:rsid w:val="005B7D09"/>
    <w:rsid w:val="005C1600"/>
    <w:rsid w:val="005C752F"/>
    <w:rsid w:val="005F518B"/>
    <w:rsid w:val="0060121C"/>
    <w:rsid w:val="006026CE"/>
    <w:rsid w:val="00622526"/>
    <w:rsid w:val="00624E7D"/>
    <w:rsid w:val="00631E65"/>
    <w:rsid w:val="0064088F"/>
    <w:rsid w:val="00642FA4"/>
    <w:rsid w:val="00646C10"/>
    <w:rsid w:val="0064788D"/>
    <w:rsid w:val="00656C32"/>
    <w:rsid w:val="0067608C"/>
    <w:rsid w:val="00682675"/>
    <w:rsid w:val="00684D9C"/>
    <w:rsid w:val="00686AF1"/>
    <w:rsid w:val="006870DF"/>
    <w:rsid w:val="00690D05"/>
    <w:rsid w:val="00692F77"/>
    <w:rsid w:val="006A3749"/>
    <w:rsid w:val="006A3DB8"/>
    <w:rsid w:val="006B0DFA"/>
    <w:rsid w:val="006B5CAD"/>
    <w:rsid w:val="006D7007"/>
    <w:rsid w:val="006E5D73"/>
    <w:rsid w:val="006E69D1"/>
    <w:rsid w:val="00713F89"/>
    <w:rsid w:val="007148FD"/>
    <w:rsid w:val="00717769"/>
    <w:rsid w:val="00720754"/>
    <w:rsid w:val="007223CB"/>
    <w:rsid w:val="007332A4"/>
    <w:rsid w:val="0075264C"/>
    <w:rsid w:val="0076247F"/>
    <w:rsid w:val="00762557"/>
    <w:rsid w:val="00764C7A"/>
    <w:rsid w:val="00782264"/>
    <w:rsid w:val="0078629D"/>
    <w:rsid w:val="007901B7"/>
    <w:rsid w:val="0079128B"/>
    <w:rsid w:val="00795AE9"/>
    <w:rsid w:val="0079685F"/>
    <w:rsid w:val="007B08BC"/>
    <w:rsid w:val="007B3EA2"/>
    <w:rsid w:val="007C3748"/>
    <w:rsid w:val="00807BB9"/>
    <w:rsid w:val="00811B90"/>
    <w:rsid w:val="008139BC"/>
    <w:rsid w:val="00815EFC"/>
    <w:rsid w:val="00816BC5"/>
    <w:rsid w:val="00821E16"/>
    <w:rsid w:val="00822C27"/>
    <w:rsid w:val="008255D7"/>
    <w:rsid w:val="0082750A"/>
    <w:rsid w:val="00841FA7"/>
    <w:rsid w:val="00850141"/>
    <w:rsid w:val="0085371C"/>
    <w:rsid w:val="0085582C"/>
    <w:rsid w:val="00856E3F"/>
    <w:rsid w:val="00860EDE"/>
    <w:rsid w:val="0086372D"/>
    <w:rsid w:val="00870F5C"/>
    <w:rsid w:val="008735B2"/>
    <w:rsid w:val="00875720"/>
    <w:rsid w:val="008851C3"/>
    <w:rsid w:val="008A4FCB"/>
    <w:rsid w:val="008B7043"/>
    <w:rsid w:val="008C079C"/>
    <w:rsid w:val="008D0A53"/>
    <w:rsid w:val="008E431D"/>
    <w:rsid w:val="008F228A"/>
    <w:rsid w:val="008F2477"/>
    <w:rsid w:val="00902190"/>
    <w:rsid w:val="0090477D"/>
    <w:rsid w:val="009077F3"/>
    <w:rsid w:val="00912F91"/>
    <w:rsid w:val="00921966"/>
    <w:rsid w:val="00937F92"/>
    <w:rsid w:val="00941EFF"/>
    <w:rsid w:val="0095109C"/>
    <w:rsid w:val="009625CE"/>
    <w:rsid w:val="00964827"/>
    <w:rsid w:val="0096691F"/>
    <w:rsid w:val="009813D2"/>
    <w:rsid w:val="00985822"/>
    <w:rsid w:val="009920DD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520EE"/>
    <w:rsid w:val="00A57BE9"/>
    <w:rsid w:val="00A61323"/>
    <w:rsid w:val="00A65AD0"/>
    <w:rsid w:val="00A66041"/>
    <w:rsid w:val="00A71C5A"/>
    <w:rsid w:val="00A7246C"/>
    <w:rsid w:val="00A7295A"/>
    <w:rsid w:val="00A81A69"/>
    <w:rsid w:val="00A842D7"/>
    <w:rsid w:val="00A8540B"/>
    <w:rsid w:val="00A904E1"/>
    <w:rsid w:val="00A936DB"/>
    <w:rsid w:val="00AA2CC5"/>
    <w:rsid w:val="00AB1153"/>
    <w:rsid w:val="00AB646D"/>
    <w:rsid w:val="00AB7349"/>
    <w:rsid w:val="00AC2D1A"/>
    <w:rsid w:val="00AC7402"/>
    <w:rsid w:val="00AD20C7"/>
    <w:rsid w:val="00AD2F79"/>
    <w:rsid w:val="00AD33C7"/>
    <w:rsid w:val="00AE37B6"/>
    <w:rsid w:val="00AE4524"/>
    <w:rsid w:val="00AE4A50"/>
    <w:rsid w:val="00AE4C41"/>
    <w:rsid w:val="00AF2D0B"/>
    <w:rsid w:val="00AF5FCD"/>
    <w:rsid w:val="00B009EB"/>
    <w:rsid w:val="00B119A3"/>
    <w:rsid w:val="00B13007"/>
    <w:rsid w:val="00B1611F"/>
    <w:rsid w:val="00B1770A"/>
    <w:rsid w:val="00B2092F"/>
    <w:rsid w:val="00B20AD0"/>
    <w:rsid w:val="00B22FC8"/>
    <w:rsid w:val="00B239D7"/>
    <w:rsid w:val="00B3167D"/>
    <w:rsid w:val="00B323B0"/>
    <w:rsid w:val="00B34426"/>
    <w:rsid w:val="00B34FEB"/>
    <w:rsid w:val="00B44691"/>
    <w:rsid w:val="00B46923"/>
    <w:rsid w:val="00B51D66"/>
    <w:rsid w:val="00B5412E"/>
    <w:rsid w:val="00B60162"/>
    <w:rsid w:val="00B6185A"/>
    <w:rsid w:val="00B623D2"/>
    <w:rsid w:val="00B63B7F"/>
    <w:rsid w:val="00B729F5"/>
    <w:rsid w:val="00B83957"/>
    <w:rsid w:val="00BA6F31"/>
    <w:rsid w:val="00BA6FDC"/>
    <w:rsid w:val="00BB43CE"/>
    <w:rsid w:val="00BC25A2"/>
    <w:rsid w:val="00BD0DE3"/>
    <w:rsid w:val="00BD371D"/>
    <w:rsid w:val="00BE58AC"/>
    <w:rsid w:val="00BE6D18"/>
    <w:rsid w:val="00BE7F8D"/>
    <w:rsid w:val="00BF3D26"/>
    <w:rsid w:val="00BF56E7"/>
    <w:rsid w:val="00C0329C"/>
    <w:rsid w:val="00C0396A"/>
    <w:rsid w:val="00C03D7C"/>
    <w:rsid w:val="00C14369"/>
    <w:rsid w:val="00C306D8"/>
    <w:rsid w:val="00C44AB8"/>
    <w:rsid w:val="00C5113C"/>
    <w:rsid w:val="00C92A33"/>
    <w:rsid w:val="00C92EB3"/>
    <w:rsid w:val="00CA7D46"/>
    <w:rsid w:val="00CB3933"/>
    <w:rsid w:val="00CB3FEF"/>
    <w:rsid w:val="00CB49B9"/>
    <w:rsid w:val="00CB6FF4"/>
    <w:rsid w:val="00CB70A7"/>
    <w:rsid w:val="00CC115D"/>
    <w:rsid w:val="00CC341F"/>
    <w:rsid w:val="00CC4640"/>
    <w:rsid w:val="00CC6AEA"/>
    <w:rsid w:val="00CD737C"/>
    <w:rsid w:val="00CE21C8"/>
    <w:rsid w:val="00CF55D9"/>
    <w:rsid w:val="00CF576B"/>
    <w:rsid w:val="00D00336"/>
    <w:rsid w:val="00D01D58"/>
    <w:rsid w:val="00D06B7B"/>
    <w:rsid w:val="00D153C9"/>
    <w:rsid w:val="00D23333"/>
    <w:rsid w:val="00D27A5C"/>
    <w:rsid w:val="00D33F03"/>
    <w:rsid w:val="00D359D7"/>
    <w:rsid w:val="00D52A98"/>
    <w:rsid w:val="00D72CAC"/>
    <w:rsid w:val="00D86EA2"/>
    <w:rsid w:val="00D95A15"/>
    <w:rsid w:val="00D97496"/>
    <w:rsid w:val="00DA16E1"/>
    <w:rsid w:val="00DB4890"/>
    <w:rsid w:val="00DB5EEC"/>
    <w:rsid w:val="00DC1619"/>
    <w:rsid w:val="00DD1781"/>
    <w:rsid w:val="00DE500F"/>
    <w:rsid w:val="00DE7CAC"/>
    <w:rsid w:val="00DF2886"/>
    <w:rsid w:val="00E026DB"/>
    <w:rsid w:val="00E04CB5"/>
    <w:rsid w:val="00E13BD7"/>
    <w:rsid w:val="00E14390"/>
    <w:rsid w:val="00E249BB"/>
    <w:rsid w:val="00E25A19"/>
    <w:rsid w:val="00E3092F"/>
    <w:rsid w:val="00E31CFF"/>
    <w:rsid w:val="00E3626A"/>
    <w:rsid w:val="00E37489"/>
    <w:rsid w:val="00E572C3"/>
    <w:rsid w:val="00E574AE"/>
    <w:rsid w:val="00E65BF0"/>
    <w:rsid w:val="00E67CDE"/>
    <w:rsid w:val="00E70287"/>
    <w:rsid w:val="00E722F5"/>
    <w:rsid w:val="00E72306"/>
    <w:rsid w:val="00E7448B"/>
    <w:rsid w:val="00E82A64"/>
    <w:rsid w:val="00E87A96"/>
    <w:rsid w:val="00E87E52"/>
    <w:rsid w:val="00E96D02"/>
    <w:rsid w:val="00E97715"/>
    <w:rsid w:val="00EA1AA5"/>
    <w:rsid w:val="00EA22EC"/>
    <w:rsid w:val="00EA5EE0"/>
    <w:rsid w:val="00EB5108"/>
    <w:rsid w:val="00EC26CC"/>
    <w:rsid w:val="00EC7BD2"/>
    <w:rsid w:val="00ED0F0E"/>
    <w:rsid w:val="00ED1E72"/>
    <w:rsid w:val="00EF176C"/>
    <w:rsid w:val="00F035D5"/>
    <w:rsid w:val="00F0478C"/>
    <w:rsid w:val="00F05A2C"/>
    <w:rsid w:val="00F11765"/>
    <w:rsid w:val="00F156A7"/>
    <w:rsid w:val="00F231A2"/>
    <w:rsid w:val="00F25D03"/>
    <w:rsid w:val="00F31016"/>
    <w:rsid w:val="00F33BB5"/>
    <w:rsid w:val="00F35BF1"/>
    <w:rsid w:val="00F5236C"/>
    <w:rsid w:val="00F53CC3"/>
    <w:rsid w:val="00F572C3"/>
    <w:rsid w:val="00F60EAA"/>
    <w:rsid w:val="00F72C65"/>
    <w:rsid w:val="00F84498"/>
    <w:rsid w:val="00FA0FDA"/>
    <w:rsid w:val="00FA22F4"/>
    <w:rsid w:val="00FC44DF"/>
    <w:rsid w:val="00FD066A"/>
    <w:rsid w:val="00FD0910"/>
    <w:rsid w:val="00FD2135"/>
    <w:rsid w:val="00FD4248"/>
    <w:rsid w:val="00FD47B2"/>
    <w:rsid w:val="00FD731B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B3ACB24F-7004-47DD-9C4C-5CDA62B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2004F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Poznmky">
    <w:name w:val="Nadpis Poznámky"/>
    <w:next w:val="Zkladntext"/>
    <w:rsid w:val="000A559F"/>
    <w:pPr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1764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6</cp:revision>
  <cp:lastPrinted>2023-04-20T07:17:00Z</cp:lastPrinted>
  <dcterms:created xsi:type="dcterms:W3CDTF">2023-04-25T05:47:00Z</dcterms:created>
  <dcterms:modified xsi:type="dcterms:W3CDTF">2023-06-08T08:21:00Z</dcterms:modified>
</cp:coreProperties>
</file>