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47" w:rsidRPr="00405CF6" w:rsidRDefault="00386D47" w:rsidP="00386D47">
      <w:pPr>
        <w:widowControl w:val="0"/>
        <w:autoSpaceDE w:val="0"/>
        <w:autoSpaceDN w:val="0"/>
        <w:adjustRightInd w:val="0"/>
        <w:spacing w:after="120" w:line="240" w:lineRule="auto"/>
        <w:jc w:val="center"/>
        <w:outlineLvl w:val="0"/>
        <w:rPr>
          <w:rFonts w:eastAsia="Times New Roman" w:cs="Arial"/>
          <w:b/>
          <w:bCs/>
          <w:caps/>
          <w:color w:val="000000"/>
          <w:sz w:val="28"/>
          <w:szCs w:val="28"/>
          <w:lang w:eastAsia="cs-CZ"/>
        </w:rPr>
      </w:pPr>
      <w:r w:rsidRPr="00405CF6">
        <w:rPr>
          <w:rFonts w:eastAsia="Times New Roman" w:cs="Arial"/>
          <w:b/>
          <w:bCs/>
          <w:caps/>
          <w:color w:val="000000"/>
          <w:sz w:val="28"/>
          <w:szCs w:val="28"/>
          <w:lang w:eastAsia="cs-CZ"/>
        </w:rPr>
        <w:t>KUPNÍ SMLOUVA</w:t>
      </w:r>
    </w:p>
    <w:p w:rsidR="00386D47" w:rsidRPr="000D2C9B" w:rsidRDefault="00386D47" w:rsidP="00386D47">
      <w:pPr>
        <w:pStyle w:val="Nzevsmlouvy"/>
        <w:spacing w:after="120" w:line="240" w:lineRule="auto"/>
        <w:jc w:val="both"/>
        <w:rPr>
          <w:rFonts w:asciiTheme="minorHAnsi" w:hAnsiTheme="minorHAnsi"/>
          <w:b w:val="0"/>
          <w:color w:val="000000" w:themeColor="text1"/>
          <w:sz w:val="22"/>
          <w:szCs w:val="22"/>
        </w:rPr>
      </w:pPr>
      <w:r w:rsidRPr="000D2C9B">
        <w:rPr>
          <w:rFonts w:asciiTheme="minorHAnsi" w:hAnsiTheme="minorHAnsi"/>
          <w:b w:val="0"/>
          <w:color w:val="000000" w:themeColor="text1"/>
          <w:sz w:val="22"/>
          <w:szCs w:val="22"/>
        </w:rPr>
        <w:t xml:space="preserve">uzavřená v souladu s </w:t>
      </w:r>
      <w:proofErr w:type="spellStart"/>
      <w:r w:rsidRPr="000D2C9B">
        <w:rPr>
          <w:rFonts w:asciiTheme="minorHAnsi" w:hAnsiTheme="minorHAnsi"/>
          <w:b w:val="0"/>
          <w:color w:val="000000" w:themeColor="text1"/>
          <w:sz w:val="22"/>
          <w:szCs w:val="22"/>
        </w:rPr>
        <w:t>ust</w:t>
      </w:r>
      <w:proofErr w:type="spellEnd"/>
      <w:r w:rsidRPr="000D2C9B">
        <w:rPr>
          <w:rFonts w:asciiTheme="minorHAnsi" w:hAnsiTheme="minorHAnsi"/>
          <w:b w:val="0"/>
          <w:color w:val="000000" w:themeColor="text1"/>
          <w:sz w:val="22"/>
          <w:szCs w:val="22"/>
        </w:rPr>
        <w:t xml:space="preserve">. § 2079 a </w:t>
      </w:r>
      <w:proofErr w:type="spellStart"/>
      <w:r w:rsidRPr="000D2C9B">
        <w:rPr>
          <w:rFonts w:asciiTheme="minorHAnsi" w:hAnsiTheme="minorHAnsi"/>
          <w:b w:val="0"/>
          <w:color w:val="000000" w:themeColor="text1"/>
          <w:sz w:val="22"/>
          <w:szCs w:val="22"/>
        </w:rPr>
        <w:t>souv</w:t>
      </w:r>
      <w:proofErr w:type="spellEnd"/>
      <w:r w:rsidRPr="000D2C9B">
        <w:rPr>
          <w:rFonts w:asciiTheme="minorHAnsi" w:hAnsiTheme="minorHAnsi"/>
          <w:b w:val="0"/>
          <w:color w:val="000000" w:themeColor="text1"/>
          <w:sz w:val="22"/>
          <w:szCs w:val="22"/>
        </w:rPr>
        <w:t>. zákona č. 89/2012 Sb., občanského zákoníku, ve znění pozdějších předpisů (dále jen „občanský zákoník“), a zákonem č. 134/2016 Sb., o zadávání veřejných zakázek, ve znění pozdějších předpisů (dále jen „zákon o zadávání veřejných zakázek“)</w:t>
      </w:r>
    </w:p>
    <w:p w:rsidR="00386D47" w:rsidRPr="000D2C9B" w:rsidRDefault="00386D47" w:rsidP="00386D47">
      <w:pPr>
        <w:spacing w:after="120"/>
        <w:jc w:val="center"/>
        <w:rPr>
          <w:bCs/>
          <w:color w:val="000000" w:themeColor="text1"/>
        </w:rPr>
      </w:pPr>
      <w:r w:rsidRPr="000D2C9B" w:rsidDel="00364BEA">
        <w:rPr>
          <w:color w:val="000000" w:themeColor="text1"/>
        </w:rPr>
        <w:t xml:space="preserve"> </w:t>
      </w:r>
      <w:r w:rsidRPr="000D2C9B">
        <w:rPr>
          <w:bCs/>
          <w:color w:val="000000" w:themeColor="text1"/>
        </w:rPr>
        <w:t>(dále jen „smlouva”)</w:t>
      </w:r>
    </w:p>
    <w:p w:rsidR="00386D47" w:rsidRPr="000D2C9B" w:rsidRDefault="00386D47" w:rsidP="00386D47">
      <w:pPr>
        <w:pStyle w:val="SBSSmlouva"/>
        <w:numPr>
          <w:ilvl w:val="0"/>
          <w:numId w:val="0"/>
        </w:numPr>
        <w:spacing w:before="0" w:after="120"/>
        <w:rPr>
          <w:rFonts w:asciiTheme="minorHAnsi" w:hAnsiTheme="minorHAnsi"/>
          <w:b/>
          <w:caps/>
          <w:color w:val="000000" w:themeColor="text1"/>
          <w:szCs w:val="22"/>
          <w:lang w:eastAsia="en-US"/>
        </w:rPr>
      </w:pPr>
      <w:r w:rsidRPr="000D2C9B">
        <w:rPr>
          <w:rFonts w:asciiTheme="minorHAnsi" w:hAnsiTheme="minorHAnsi"/>
          <w:b/>
          <w:caps/>
          <w:color w:val="000000" w:themeColor="text1"/>
          <w:szCs w:val="22"/>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NÁZEV:</w:t>
            </w:r>
          </w:p>
        </w:tc>
        <w:tc>
          <w:tcPr>
            <w:tcW w:w="3635" w:type="pct"/>
            <w:shd w:val="clear" w:color="auto" w:fill="auto"/>
            <w:vAlign w:val="center"/>
          </w:tcPr>
          <w:p w:rsidR="00386D47" w:rsidRPr="000D2C9B" w:rsidRDefault="00386D47" w:rsidP="009E32CF">
            <w:pPr>
              <w:spacing w:after="120"/>
              <w:jc w:val="center"/>
              <w:rPr>
                <w:rFonts w:cs="Calibri"/>
                <w:b/>
                <w:bCs/>
                <w:color w:val="000000"/>
              </w:rPr>
            </w:pPr>
            <w:r w:rsidRPr="000D2C9B">
              <w:rPr>
                <w:rFonts w:cs="Calibri"/>
                <w:b/>
                <w:bCs/>
                <w:color w:val="000000"/>
              </w:rPr>
              <w:t>ČESKÉ VYSOKÉ UČENÍ TECHNICKÉ V PRAZE</w:t>
            </w:r>
          </w:p>
          <w:p w:rsidR="00386D47" w:rsidRPr="000D2C9B" w:rsidRDefault="00386D47" w:rsidP="009E32CF">
            <w:pPr>
              <w:spacing w:after="120"/>
              <w:jc w:val="center"/>
              <w:rPr>
                <w:rFonts w:cs="Calibri"/>
                <w:b/>
                <w:bCs/>
                <w:color w:val="000000"/>
              </w:rPr>
            </w:pPr>
            <w:r w:rsidRPr="000D2C9B">
              <w:rPr>
                <w:rFonts w:cs="Calibri"/>
                <w:b/>
                <w:bCs/>
                <w:color w:val="000000"/>
              </w:rPr>
              <w:t>Český institut informatiky, robotiky a kybernetiky</w:t>
            </w: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SÍDLO:</w:t>
            </w:r>
          </w:p>
        </w:tc>
        <w:tc>
          <w:tcPr>
            <w:tcW w:w="3635" w:type="pct"/>
            <w:shd w:val="clear" w:color="auto" w:fill="auto"/>
            <w:vAlign w:val="center"/>
          </w:tcPr>
          <w:p w:rsidR="00386D47" w:rsidRPr="000D2C9B" w:rsidRDefault="00386D47" w:rsidP="009E32CF">
            <w:pPr>
              <w:spacing w:after="120"/>
              <w:jc w:val="center"/>
              <w:rPr>
                <w:rFonts w:cs="Calibri"/>
                <w:bCs/>
              </w:rPr>
            </w:pPr>
            <w:r w:rsidRPr="000D2C9B">
              <w:rPr>
                <w:rFonts w:eastAsia="Times New Roman" w:cs="Arial"/>
                <w:bCs/>
                <w:lang w:eastAsia="cs-CZ"/>
              </w:rPr>
              <w:t>Jugoslávských partyzánů 1580/3, 160 00, Praha 6</w:t>
            </w: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JEHOŽ JMÉNEM JEDNÁ:</w:t>
            </w:r>
          </w:p>
        </w:tc>
        <w:tc>
          <w:tcPr>
            <w:tcW w:w="3635" w:type="pct"/>
            <w:shd w:val="clear" w:color="auto" w:fill="auto"/>
            <w:vAlign w:val="center"/>
          </w:tcPr>
          <w:p w:rsidR="00386D47" w:rsidRPr="000D2C9B" w:rsidRDefault="00386D47" w:rsidP="009E32CF">
            <w:pPr>
              <w:spacing w:after="120"/>
              <w:jc w:val="center"/>
              <w:rPr>
                <w:rFonts w:cs="Calibri"/>
              </w:rPr>
            </w:pP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IČO:</w:t>
            </w:r>
          </w:p>
        </w:tc>
        <w:tc>
          <w:tcPr>
            <w:tcW w:w="3635" w:type="pct"/>
            <w:shd w:val="clear" w:color="auto" w:fill="auto"/>
            <w:vAlign w:val="center"/>
          </w:tcPr>
          <w:p w:rsidR="00386D47" w:rsidRPr="000D2C9B" w:rsidRDefault="00386D47" w:rsidP="009E32CF">
            <w:pPr>
              <w:spacing w:after="120"/>
              <w:jc w:val="center"/>
              <w:rPr>
                <w:rFonts w:cs="Calibri"/>
              </w:rPr>
            </w:pPr>
            <w:r w:rsidRPr="000D2C9B">
              <w:rPr>
                <w:rFonts w:cs="Calibri"/>
              </w:rPr>
              <w:t>68407700</w:t>
            </w:r>
          </w:p>
        </w:tc>
      </w:tr>
    </w:tbl>
    <w:p w:rsidR="00386D47" w:rsidRPr="000D2C9B"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sidRPr="000D2C9B">
        <w:rPr>
          <w:rFonts w:eastAsia="Times New Roman" w:cs="Arial"/>
          <w:bCs/>
          <w:color w:val="000000"/>
          <w:lang w:eastAsia="cs-CZ"/>
        </w:rPr>
        <w:t>dále jen „kupující“</w:t>
      </w:r>
    </w:p>
    <w:p w:rsidR="00386D47" w:rsidRPr="000D2C9B"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0D2C9B">
        <w:rPr>
          <w:rFonts w:eastAsia="Times New Roman" w:cs="Arial"/>
          <w:b/>
          <w:bCs/>
          <w:color w:val="000000"/>
          <w:lang w:eastAsia="cs-CZ"/>
        </w:rPr>
        <w:t>a</w:t>
      </w:r>
    </w:p>
    <w:p w:rsidR="00386D47" w:rsidRPr="000D2C9B"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0D2C9B">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NÁZEV:</w:t>
            </w:r>
          </w:p>
        </w:tc>
        <w:tc>
          <w:tcPr>
            <w:tcW w:w="3635" w:type="pct"/>
            <w:shd w:val="clear" w:color="auto" w:fill="auto"/>
            <w:vAlign w:val="center"/>
          </w:tcPr>
          <w:p w:rsidR="00386D47" w:rsidRPr="000D2C9B" w:rsidRDefault="00386D47" w:rsidP="009E32CF">
            <w:pPr>
              <w:spacing w:after="120"/>
              <w:jc w:val="center"/>
              <w:rPr>
                <w:rFonts w:cs="Calibri"/>
                <w:b/>
                <w:bCs/>
                <w:color w:val="000000"/>
              </w:rPr>
            </w:pPr>
            <w:r w:rsidRPr="000A0B8E">
              <w:rPr>
                <w:rFonts w:cs="Calibri"/>
                <w:b/>
                <w:bCs/>
                <w:color w:val="000000"/>
              </w:rPr>
              <w:t xml:space="preserve">Bosch </w:t>
            </w:r>
            <w:proofErr w:type="spellStart"/>
            <w:r w:rsidRPr="000A0B8E">
              <w:rPr>
                <w:rFonts w:cs="Calibri"/>
                <w:b/>
                <w:bCs/>
                <w:color w:val="000000"/>
              </w:rPr>
              <w:t>Rexroth</w:t>
            </w:r>
            <w:proofErr w:type="spellEnd"/>
            <w:r w:rsidRPr="000A0B8E">
              <w:rPr>
                <w:rFonts w:cs="Calibri"/>
                <w:b/>
                <w:bCs/>
                <w:color w:val="000000"/>
              </w:rPr>
              <w:t>, spol. s r.o.</w:t>
            </w: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SÍDLO:</w:t>
            </w:r>
          </w:p>
        </w:tc>
        <w:tc>
          <w:tcPr>
            <w:tcW w:w="3635" w:type="pct"/>
            <w:shd w:val="clear" w:color="auto" w:fill="auto"/>
            <w:vAlign w:val="center"/>
          </w:tcPr>
          <w:p w:rsidR="00386D47" w:rsidRPr="000D2C9B" w:rsidRDefault="00386D47" w:rsidP="009E32CF">
            <w:pPr>
              <w:spacing w:after="120"/>
              <w:jc w:val="center"/>
              <w:rPr>
                <w:rFonts w:cs="Calibri"/>
                <w:b/>
              </w:rPr>
            </w:pPr>
            <w:r>
              <w:t>Těžební 1238/2, Černovice, 627 00 Brno</w:t>
            </w: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ZASTOUPENÁ/JEDNAJÍCÍ:</w:t>
            </w:r>
          </w:p>
        </w:tc>
        <w:tc>
          <w:tcPr>
            <w:tcW w:w="3635" w:type="pct"/>
            <w:shd w:val="clear" w:color="auto" w:fill="auto"/>
            <w:vAlign w:val="center"/>
          </w:tcPr>
          <w:p w:rsidR="00386D47" w:rsidRPr="000D2C9B" w:rsidRDefault="00386D47" w:rsidP="009E32CF">
            <w:pPr>
              <w:spacing w:after="120"/>
              <w:jc w:val="center"/>
              <w:rPr>
                <w:rFonts w:cs="Calibri"/>
                <w:b/>
                <w:lang w:val="en-GB"/>
              </w:rPr>
            </w:pP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IČO:</w:t>
            </w:r>
          </w:p>
        </w:tc>
        <w:tc>
          <w:tcPr>
            <w:tcW w:w="3635" w:type="pct"/>
            <w:shd w:val="clear" w:color="auto" w:fill="auto"/>
            <w:vAlign w:val="center"/>
          </w:tcPr>
          <w:p w:rsidR="00386D47" w:rsidRPr="000D2C9B" w:rsidRDefault="00386D47" w:rsidP="009E32CF">
            <w:pPr>
              <w:spacing w:after="120"/>
              <w:jc w:val="center"/>
              <w:rPr>
                <w:rFonts w:cs="Calibri"/>
              </w:rPr>
            </w:pPr>
            <w:r w:rsidRPr="000A0B8E">
              <w:rPr>
                <w:rFonts w:cs="Calibri"/>
              </w:rPr>
              <w:t xml:space="preserve">00547425 </w:t>
            </w:r>
          </w:p>
        </w:tc>
      </w:tr>
      <w:tr w:rsidR="00386D47" w:rsidRPr="000D2C9B" w:rsidTr="009E32CF">
        <w:trPr>
          <w:trHeight w:val="536"/>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ČÍSLO BANKOVNÍHO ÚČTU:</w:t>
            </w:r>
          </w:p>
        </w:tc>
        <w:tc>
          <w:tcPr>
            <w:tcW w:w="3635" w:type="pct"/>
            <w:shd w:val="clear" w:color="auto" w:fill="auto"/>
            <w:vAlign w:val="center"/>
          </w:tcPr>
          <w:p w:rsidR="00386D47" w:rsidRPr="00B561B1" w:rsidRDefault="00386D47" w:rsidP="009E32CF">
            <w:pPr>
              <w:spacing w:after="120"/>
              <w:jc w:val="center"/>
              <w:rPr>
                <w:rFonts w:cs="Calibri"/>
              </w:rPr>
            </w:pPr>
          </w:p>
        </w:tc>
      </w:tr>
      <w:tr w:rsidR="00386D47" w:rsidRPr="000D2C9B" w:rsidTr="009E32CF">
        <w:trPr>
          <w:trHeight w:val="379"/>
          <w:jc w:val="center"/>
        </w:trPr>
        <w:tc>
          <w:tcPr>
            <w:tcW w:w="1365" w:type="pct"/>
            <w:shd w:val="clear" w:color="auto" w:fill="2E74B5"/>
            <w:vAlign w:val="center"/>
          </w:tcPr>
          <w:p w:rsidR="00386D47" w:rsidRPr="000D2C9B" w:rsidRDefault="00386D47" w:rsidP="009E32CF">
            <w:pPr>
              <w:spacing w:after="120"/>
              <w:rPr>
                <w:rFonts w:cs="Calibri"/>
                <w:b/>
                <w:color w:val="FFFFFF"/>
              </w:rPr>
            </w:pPr>
            <w:r w:rsidRPr="000D2C9B">
              <w:rPr>
                <w:rFonts w:cs="Calibri"/>
                <w:b/>
                <w:color w:val="FFFFFF"/>
              </w:rPr>
              <w:t>ZAPSANÁ V OR:</w:t>
            </w:r>
          </w:p>
        </w:tc>
        <w:tc>
          <w:tcPr>
            <w:tcW w:w="3635" w:type="pct"/>
            <w:shd w:val="clear" w:color="auto" w:fill="auto"/>
            <w:vAlign w:val="center"/>
          </w:tcPr>
          <w:p w:rsidR="00386D47" w:rsidRPr="000D2C9B" w:rsidRDefault="00386D47" w:rsidP="009E32CF">
            <w:pPr>
              <w:spacing w:after="120"/>
              <w:jc w:val="center"/>
              <w:rPr>
                <w:rFonts w:cs="Calibri"/>
                <w:b/>
              </w:rPr>
            </w:pPr>
            <w:r w:rsidRPr="000D2C9B">
              <w:tab/>
              <w:t>C 1</w:t>
            </w:r>
            <w:r>
              <w:t>23</w:t>
            </w:r>
            <w:r w:rsidRPr="000D2C9B">
              <w:t xml:space="preserve"> vedená u </w:t>
            </w:r>
            <w:r>
              <w:t>Krajského soudu v Brně</w:t>
            </w:r>
          </w:p>
        </w:tc>
      </w:tr>
    </w:tbl>
    <w:p w:rsidR="00386D47" w:rsidRPr="000D2C9B"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0D2C9B">
        <w:rPr>
          <w:rFonts w:eastAsia="Times New Roman" w:cs="Arial"/>
          <w:bCs/>
          <w:color w:val="000000"/>
          <w:lang w:eastAsia="cs-CZ"/>
        </w:rPr>
        <w:t>dále</w:t>
      </w:r>
      <w:r w:rsidRPr="000D2C9B">
        <w:rPr>
          <w:rFonts w:eastAsia="Times New Roman" w:cs="Arial"/>
          <w:color w:val="000000"/>
          <w:lang w:eastAsia="cs-CZ"/>
        </w:rPr>
        <w:t xml:space="preserve"> jen „prodávající“,</w:t>
      </w:r>
    </w:p>
    <w:p w:rsidR="00386D47" w:rsidRPr="000D2C9B"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sidRPr="000D2C9B">
        <w:rPr>
          <w:rFonts w:eastAsia="Times New Roman" w:cs="Arial"/>
          <w:color w:val="000000"/>
          <w:lang w:eastAsia="cs-CZ"/>
        </w:rPr>
        <w:t>společně též jako „smluvní strany“ nebo jednotlivě jako „smluvní strana“</w:t>
      </w:r>
    </w:p>
    <w:p w:rsidR="00386D47" w:rsidRPr="000D2C9B" w:rsidRDefault="00386D47" w:rsidP="00386D47">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lang w:eastAsia="cs-CZ"/>
        </w:rPr>
      </w:pPr>
      <w:r w:rsidRPr="000D2C9B">
        <w:rPr>
          <w:rFonts w:eastAsia="Times New Roman" w:cs="Arial"/>
          <w:b/>
          <w:bCs/>
          <w:color w:val="000000"/>
          <w:lang w:eastAsia="cs-CZ"/>
        </w:rPr>
        <w:t>Preambule</w:t>
      </w:r>
    </w:p>
    <w:p w:rsidR="00386D47" w:rsidRPr="000D2C9B" w:rsidRDefault="00386D47" w:rsidP="00386D47">
      <w:pPr>
        <w:pStyle w:val="Odstavecseseznamem"/>
        <w:widowControl w:val="0"/>
        <w:numPr>
          <w:ilvl w:val="0"/>
          <w:numId w:val="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Smluvní strany uzavírají tuto smlouvu na veřejnou zakázku malého rozsahu na dodávky s názvem „</w:t>
      </w:r>
      <w:r w:rsidRPr="000A0B8E">
        <w:rPr>
          <w:rFonts w:cs="Arial"/>
          <w:color w:val="000000" w:themeColor="text1"/>
        </w:rPr>
        <w:t>ČVUT-CIIRC: Kompenzační jednotka pro roboty</w:t>
      </w:r>
      <w:r w:rsidRPr="000D2C9B">
        <w:rPr>
          <w:rFonts w:cs="Arial"/>
          <w:color w:val="000000" w:themeColor="text1"/>
        </w:rPr>
        <w:t>“.</w:t>
      </w:r>
    </w:p>
    <w:p w:rsidR="00386D47" w:rsidRPr="000D2C9B" w:rsidRDefault="00386D47" w:rsidP="00386D47">
      <w:pPr>
        <w:pStyle w:val="Odstavecseseznamem"/>
        <w:widowControl w:val="0"/>
        <w:numPr>
          <w:ilvl w:val="0"/>
          <w:numId w:val="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Smluvní strany berou na vědomí, že plnění dle této smlouvy je realizováno v rámci projektu RICAIP (Výzkumné a inovační centrum pro pokročilou průmyslovou výrobu) patřícímu k operačnímu programu Výzkum, vývoj a vzdělávání (OP VVV), zajišťovaného Ministerstvem školství, mládeže a tělovýchovy.</w:t>
      </w:r>
    </w:p>
    <w:p w:rsidR="00386D47" w:rsidRPr="000D2C9B" w:rsidRDefault="00386D47" w:rsidP="00386D47">
      <w:pPr>
        <w:pStyle w:val="Odstavecseseznamem"/>
        <w:keepNext/>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lang w:eastAsia="cs-CZ"/>
        </w:rPr>
      </w:pPr>
      <w:r w:rsidRPr="000D2C9B">
        <w:rPr>
          <w:rFonts w:eastAsia="Times New Roman" w:cs="Arial"/>
          <w:b/>
          <w:bCs/>
          <w:color w:val="000000"/>
          <w:lang w:eastAsia="cs-CZ"/>
        </w:rPr>
        <w:t xml:space="preserve"> Účel, předmět a obsah smlouvy</w:t>
      </w:r>
    </w:p>
    <w:p w:rsidR="00386D47" w:rsidRPr="000D2C9B" w:rsidRDefault="00386D47" w:rsidP="00386D47">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Účelem této smlouvy je nákup zboží specifikovaného v této smlouvě a jejích přílohách a umožnění jeho bezproblémového užívání.</w:t>
      </w:r>
    </w:p>
    <w:p w:rsidR="00386D47" w:rsidRPr="00C31D00" w:rsidRDefault="00386D47" w:rsidP="00386D47">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C31D00">
        <w:rPr>
          <w:rFonts w:cs="Arial"/>
          <w:color w:val="000000" w:themeColor="text1"/>
        </w:rPr>
        <w:t xml:space="preserve">Předmětem této smlouvy je dodávka příslušenství k robotům, které umožňuje rozšíření </w:t>
      </w:r>
      <w:r w:rsidRPr="00C31D00">
        <w:rPr>
          <w:rFonts w:cs="Arial"/>
          <w:color w:val="000000" w:themeColor="text1"/>
        </w:rPr>
        <w:lastRenderedPageBreak/>
        <w:t>funkčnosti samotného robotu a souvisejícího vybavení (dále jen „zboží“), přičemž zboží je blíže specifikované v příloze A této smlouvy – technické specifikaci (dále v textu také „technická specifikace“) a v příloze B – nabídka prodávajícího č.</w:t>
      </w:r>
      <w:r>
        <w:rPr>
          <w:rFonts w:cs="Arial"/>
          <w:color w:val="000000" w:themeColor="text1"/>
        </w:rPr>
        <w:t xml:space="preserve"> 1104012128</w:t>
      </w:r>
      <w:r w:rsidRPr="00C31D00">
        <w:rPr>
          <w:rFonts w:cs="Arial"/>
          <w:color w:val="000000" w:themeColor="text1"/>
        </w:rPr>
        <w:t>. Prodávající se zavazuje dodat zboží za dodržení podmínek stanovených touto smlouvou a převést na kupujícího vlastnické právo ke zboží. Kupující se zavazuje za ně zaplatit cenu v dohodnuté výši a způsobem určeným touto smlouvou.</w:t>
      </w:r>
    </w:p>
    <w:p w:rsidR="00386D47" w:rsidRPr="000D2C9B" w:rsidRDefault="00386D47" w:rsidP="00386D47">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Hlk45698086"/>
      <w:r w:rsidRPr="000D2C9B">
        <w:rPr>
          <w:rFonts w:cs="Arial"/>
          <w:color w:val="000000" w:themeColor="text1"/>
        </w:rPr>
        <w:t>Nedílnou součástí dodání zboží, a tedy i předmětem smlouvy, je:</w:t>
      </w:r>
      <w:bookmarkEnd w:id="0"/>
    </w:p>
    <w:p w:rsidR="00386D47" w:rsidRDefault="00386D47" w:rsidP="00386D47">
      <w:pPr>
        <w:pStyle w:val="Odstavecseseznamem"/>
        <w:widowControl w:val="0"/>
        <w:numPr>
          <w:ilvl w:val="1"/>
          <w:numId w:val="4"/>
        </w:numPr>
        <w:tabs>
          <w:tab w:val="left" w:pos="567"/>
        </w:tabs>
        <w:autoSpaceDE w:val="0"/>
        <w:autoSpaceDN w:val="0"/>
        <w:adjustRightInd w:val="0"/>
        <w:spacing w:after="120" w:line="240" w:lineRule="auto"/>
        <w:ind w:left="1134" w:hanging="283"/>
        <w:jc w:val="both"/>
        <w:outlineLvl w:val="0"/>
        <w:rPr>
          <w:lang w:eastAsia="cs-CZ"/>
        </w:rPr>
      </w:pPr>
      <w:r w:rsidRPr="00DF6278">
        <w:rPr>
          <w:rFonts w:eastAsia="Times New Roman" w:cs="Arial"/>
          <w:color w:val="000000"/>
          <w:lang w:eastAsia="cs-CZ"/>
        </w:rPr>
        <w:t>dodání výbavy dle technické specifikace</w:t>
      </w:r>
      <w:r>
        <w:rPr>
          <w:rFonts w:eastAsia="Times New Roman" w:cs="Arial"/>
          <w:color w:val="000000"/>
          <w:lang w:eastAsia="cs-CZ"/>
        </w:rPr>
        <w:t>;</w:t>
      </w:r>
    </w:p>
    <w:p w:rsidR="00386D47" w:rsidRPr="000D2C9B" w:rsidRDefault="00386D47" w:rsidP="00386D47">
      <w:pPr>
        <w:pStyle w:val="Odstavecseseznamem"/>
        <w:widowControl w:val="0"/>
        <w:numPr>
          <w:ilvl w:val="1"/>
          <w:numId w:val="4"/>
        </w:numPr>
        <w:tabs>
          <w:tab w:val="left" w:pos="567"/>
        </w:tabs>
        <w:autoSpaceDE w:val="0"/>
        <w:autoSpaceDN w:val="0"/>
        <w:adjustRightInd w:val="0"/>
        <w:spacing w:after="120" w:line="240" w:lineRule="auto"/>
        <w:ind w:left="1134" w:hanging="283"/>
        <w:jc w:val="both"/>
        <w:outlineLvl w:val="0"/>
        <w:rPr>
          <w:lang w:eastAsia="cs-CZ"/>
        </w:rPr>
      </w:pPr>
      <w:r w:rsidRPr="000D2C9B">
        <w:rPr>
          <w:lang w:eastAsia="cs-CZ"/>
        </w:rPr>
        <w:t>dodání souvisejícího softwaru, jakož i poskytnutí licence k němu umožňujících jeho provoz po celou dobu jeho životnosti a dále pravidelná aktualizace softwaru min. po dobu trvání záruky. Přitom odměna za licence i aktualizace je zahrnuta v ceně zboží dle této smlouvy, aniž by kupující musel v budoucnu přistupovat na nové licenční podmínky prodávajícího nebo třetí strany, které by navyšovaly cenu v této smlouvě nebo ji měnily v neprospěch kupujícího;</w:t>
      </w:r>
    </w:p>
    <w:p w:rsidR="00386D47" w:rsidRPr="000D2C9B" w:rsidRDefault="00386D47" w:rsidP="00386D47">
      <w:pPr>
        <w:pStyle w:val="Odstavecseseznamem"/>
        <w:widowControl w:val="0"/>
        <w:numPr>
          <w:ilvl w:val="1"/>
          <w:numId w:val="4"/>
        </w:numPr>
        <w:tabs>
          <w:tab w:val="left" w:pos="567"/>
        </w:tabs>
        <w:autoSpaceDE w:val="0"/>
        <w:autoSpaceDN w:val="0"/>
        <w:adjustRightInd w:val="0"/>
        <w:spacing w:after="120" w:line="240" w:lineRule="auto"/>
        <w:ind w:left="1134" w:hanging="283"/>
        <w:jc w:val="both"/>
        <w:outlineLvl w:val="0"/>
        <w:rPr>
          <w:lang w:eastAsia="cs-CZ"/>
        </w:rPr>
      </w:pPr>
      <w:r w:rsidRPr="000D2C9B">
        <w:rPr>
          <w:rFonts w:eastAsia="Times New Roman" w:cs="Arial"/>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rsidR="00386D47" w:rsidRPr="000D2C9B" w:rsidRDefault="00386D47" w:rsidP="00386D47">
      <w:pPr>
        <w:pStyle w:val="Odstavecseseznamem"/>
        <w:widowControl w:val="0"/>
        <w:numPr>
          <w:ilvl w:val="1"/>
          <w:numId w:val="4"/>
        </w:numPr>
        <w:tabs>
          <w:tab w:val="left" w:pos="567"/>
        </w:tabs>
        <w:autoSpaceDE w:val="0"/>
        <w:autoSpaceDN w:val="0"/>
        <w:adjustRightInd w:val="0"/>
        <w:spacing w:after="120" w:line="240" w:lineRule="auto"/>
        <w:ind w:left="1134" w:hanging="283"/>
        <w:jc w:val="both"/>
        <w:outlineLvl w:val="0"/>
        <w:rPr>
          <w:lang w:eastAsia="cs-CZ"/>
        </w:rPr>
      </w:pPr>
      <w:r w:rsidRPr="000D2C9B">
        <w:rPr>
          <w:rFonts w:eastAsia="Times New Roman" w:cs="Arial"/>
          <w:color w:val="000000"/>
          <w:lang w:eastAsia="cs-CZ"/>
        </w:rPr>
        <w:t>doprava na místo plnění určené v této smlouvě;</w:t>
      </w:r>
      <w:bookmarkStart w:id="1" w:name="_Hlk80952496"/>
    </w:p>
    <w:bookmarkEnd w:id="1"/>
    <w:p w:rsidR="00386D47" w:rsidRPr="000D2C9B" w:rsidRDefault="00386D47" w:rsidP="00386D47">
      <w:pPr>
        <w:pStyle w:val="Odstavecseseznamem"/>
        <w:numPr>
          <w:ilvl w:val="1"/>
          <w:numId w:val="4"/>
        </w:numPr>
        <w:spacing w:after="120"/>
        <w:ind w:left="1134" w:hanging="283"/>
        <w:jc w:val="both"/>
        <w:rPr>
          <w:lang w:eastAsia="cs-CZ"/>
        </w:rPr>
      </w:pPr>
      <w:r w:rsidRPr="000D2C9B">
        <w:rPr>
          <w:rFonts w:eastAsia="Times New Roman" w:cs="Arial"/>
          <w:color w:val="000000"/>
          <w:lang w:eastAsia="cs-CZ"/>
        </w:rPr>
        <w:t>poskytování souvisejících služeb a servisu dle čl. V této smlouvy.</w:t>
      </w:r>
    </w:p>
    <w:p w:rsidR="00386D47" w:rsidRPr="000D2C9B" w:rsidRDefault="00386D47" w:rsidP="00386D47">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lang w:eastAsia="cs-CZ"/>
        </w:rPr>
      </w:pPr>
      <w:r w:rsidRPr="000D2C9B">
        <w:rPr>
          <w:rFonts w:eastAsia="Times New Roman" w:cs="Arial"/>
          <w:b/>
          <w:bCs/>
          <w:color w:val="000000"/>
          <w:lang w:eastAsia="cs-CZ"/>
        </w:rPr>
        <w:t>Podmínky</w:t>
      </w:r>
      <w:r w:rsidRPr="000D2C9B">
        <w:rPr>
          <w:b/>
          <w:lang w:eastAsia="cs-CZ"/>
        </w:rPr>
        <w:t xml:space="preserve"> dodání zboží, doba a místo plnění</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Prodávající se zavazuje dodat zboží a převést vlastnické právo k němu na kupujícího bez dalších podmínek než těch, které jsou ujednány v této smlouvě.</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Smluvní strany se dohodly, že zboží bude nové, nepoužité, nerepasované, vyrobené z prvotřídních materiálů a odpovídající současným parametrům a požadavkům nejvyšší kvality.</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Prodávající tímto prohlašuje, že zboží nemá právní vady ve smyslu § 1920 a násl. občanského zákoníku.</w:t>
      </w:r>
    </w:p>
    <w:p w:rsidR="00386D47" w:rsidRPr="00124188"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2" w:name="_Ref519431250"/>
      <w:r w:rsidRPr="00D72A94">
        <w:rPr>
          <w:rFonts w:cs="Arial"/>
          <w:color w:val="000000" w:themeColor="text1"/>
        </w:rPr>
        <w:t>Lhůta pro dodání zboží, totiž pro jeho fyzickou přepravu do místa plnění</w:t>
      </w:r>
      <w:r>
        <w:rPr>
          <w:rFonts w:cs="Arial"/>
          <w:color w:val="000000" w:themeColor="text1"/>
        </w:rPr>
        <w:t>,</w:t>
      </w:r>
      <w:r w:rsidRPr="00D72A94">
        <w:rPr>
          <w:rFonts w:cs="Arial"/>
          <w:color w:val="000000" w:themeColor="text1"/>
        </w:rPr>
        <w:t xml:space="preserve"> činí </w:t>
      </w:r>
      <w:r w:rsidRPr="00CB2E61">
        <w:rPr>
          <w:rFonts w:cs="Arial"/>
          <w:color w:val="000000" w:themeColor="text1"/>
        </w:rPr>
        <w:t xml:space="preserve">nejvýše </w:t>
      </w:r>
      <w:r>
        <w:rPr>
          <w:rFonts w:cs="Arial"/>
          <w:color w:val="000000" w:themeColor="text1"/>
        </w:rPr>
        <w:t>2 týdnů</w:t>
      </w:r>
      <w:r w:rsidRPr="00CB2E61">
        <w:rPr>
          <w:rFonts w:cs="Arial"/>
          <w:color w:val="000000" w:themeColor="text1"/>
        </w:rPr>
        <w:t xml:space="preserve"> ode</w:t>
      </w:r>
      <w:r w:rsidRPr="00142E1A">
        <w:rPr>
          <w:rFonts w:cs="Arial"/>
          <w:color w:val="000000" w:themeColor="text1"/>
        </w:rPr>
        <w:t xml:space="preserve"> </w:t>
      </w:r>
      <w:r>
        <w:rPr>
          <w:rFonts w:cs="Arial"/>
          <w:color w:val="000000" w:themeColor="text1"/>
        </w:rPr>
        <w:t xml:space="preserve">dne účinnosti této smlouvy, </w:t>
      </w:r>
      <w:r w:rsidRPr="00C31D00">
        <w:rPr>
          <w:rFonts w:cs="Arial"/>
          <w:b/>
          <w:color w:val="000000" w:themeColor="text1"/>
        </w:rPr>
        <w:t>nejpozději však do 30. 6. 2023</w:t>
      </w:r>
      <w:r w:rsidRPr="00D72A94">
        <w:rPr>
          <w:rFonts w:cs="Arial"/>
          <w:color w:val="000000" w:themeColor="text1"/>
        </w:rPr>
        <w:t xml:space="preserve">. </w:t>
      </w:r>
      <w:r w:rsidRPr="009E7D5E">
        <w:rPr>
          <w:rFonts w:cs="Arial"/>
          <w:color w:val="000000" w:themeColor="text1"/>
        </w:rPr>
        <w:t xml:space="preserve">Přesný termín dodání </w:t>
      </w:r>
      <w:r w:rsidRPr="00142E1A">
        <w:rPr>
          <w:rFonts w:cs="Arial"/>
          <w:color w:val="000000" w:themeColor="text1"/>
        </w:rPr>
        <w:t xml:space="preserve">na místo plnění </w:t>
      </w:r>
      <w:r w:rsidRPr="009E7D5E">
        <w:rPr>
          <w:rFonts w:cs="Arial"/>
          <w:color w:val="000000" w:themeColor="text1"/>
        </w:rPr>
        <w:t xml:space="preserve">bude </w:t>
      </w:r>
      <w:r w:rsidRPr="00142E1A">
        <w:rPr>
          <w:rFonts w:cs="Arial"/>
          <w:color w:val="000000" w:themeColor="text1"/>
        </w:rPr>
        <w:t>oznáme</w:t>
      </w:r>
      <w:r>
        <w:rPr>
          <w:rFonts w:cs="Arial"/>
          <w:color w:val="000000" w:themeColor="text1"/>
        </w:rPr>
        <w:t>n prodávajícím kupujícímu a</w:t>
      </w:r>
      <w:r w:rsidRPr="00142E1A">
        <w:rPr>
          <w:rFonts w:cs="Arial"/>
          <w:color w:val="000000" w:themeColor="text1"/>
        </w:rPr>
        <w:t xml:space="preserve"> blíže zkoordinován</w:t>
      </w:r>
      <w:r w:rsidRPr="009E7D5E">
        <w:rPr>
          <w:rFonts w:cs="Arial"/>
          <w:color w:val="000000" w:themeColor="text1"/>
        </w:rPr>
        <w:t xml:space="preserve"> </w:t>
      </w:r>
      <w:r w:rsidRPr="00142E1A">
        <w:rPr>
          <w:rFonts w:cs="Arial"/>
          <w:color w:val="000000" w:themeColor="text1"/>
        </w:rPr>
        <w:t>smluvními stranami</w:t>
      </w:r>
      <w:r w:rsidRPr="009E7D5E">
        <w:rPr>
          <w:rFonts w:cs="Arial"/>
          <w:color w:val="000000" w:themeColor="text1"/>
        </w:rPr>
        <w:t xml:space="preserve"> s předstihem alespoň 5 pracovních dní </w:t>
      </w:r>
      <w:r>
        <w:rPr>
          <w:rFonts w:cs="Arial"/>
          <w:color w:val="000000" w:themeColor="text1"/>
        </w:rPr>
        <w:t>před</w:t>
      </w:r>
      <w:r w:rsidRPr="009E7D5E">
        <w:rPr>
          <w:rFonts w:cs="Arial"/>
          <w:color w:val="000000" w:themeColor="text1"/>
        </w:rPr>
        <w:t xml:space="preserve"> dodání</w:t>
      </w:r>
      <w:bookmarkEnd w:id="2"/>
      <w:r>
        <w:rPr>
          <w:rFonts w:cs="Arial"/>
          <w:color w:val="000000" w:themeColor="text1"/>
        </w:rPr>
        <w:t>m</w:t>
      </w:r>
      <w:r w:rsidRPr="009E7D5E">
        <w:rPr>
          <w:rFonts w:cs="Arial"/>
          <w:color w:val="000000" w:themeColor="text1"/>
        </w:rPr>
        <w:t xml:space="preserve"> – uvedené nic nemění na termínech dodání plnění ze smlouvy uvedených </w:t>
      </w:r>
      <w:r w:rsidRPr="00142E1A">
        <w:rPr>
          <w:rFonts w:cs="Arial"/>
          <w:color w:val="000000" w:themeColor="text1"/>
        </w:rPr>
        <w:t xml:space="preserve">v </w:t>
      </w:r>
      <w:r>
        <w:rPr>
          <w:rFonts w:cs="Arial"/>
          <w:color w:val="000000" w:themeColor="text1"/>
        </w:rPr>
        <w:t>tomto</w:t>
      </w:r>
      <w:r w:rsidRPr="00142E1A">
        <w:rPr>
          <w:rFonts w:cs="Arial"/>
          <w:color w:val="000000" w:themeColor="text1"/>
        </w:rPr>
        <w:t xml:space="preserve"> odstavci</w:t>
      </w:r>
      <w:r w:rsidRPr="009E7D5E">
        <w:rPr>
          <w:rFonts w:cs="Arial"/>
          <w:color w:val="000000" w:themeColor="text1"/>
        </w:rPr>
        <w:t>.</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0D2C9B">
        <w:t xml:space="preserve">Osobami pověřenými jednat za smluvní strany ve věci dodání zboží jsou: </w:t>
      </w:r>
    </w:p>
    <w:p w:rsidR="00386D47" w:rsidRPr="000D2C9B" w:rsidRDefault="00386D47" w:rsidP="00386D47">
      <w:pPr>
        <w:pStyle w:val="Odstavecseseznamem"/>
        <w:widowControl w:val="0"/>
        <w:tabs>
          <w:tab w:val="left" w:pos="709"/>
          <w:tab w:val="left" w:pos="1200"/>
        </w:tabs>
        <w:autoSpaceDE w:val="0"/>
        <w:autoSpaceDN w:val="0"/>
        <w:adjustRightInd w:val="0"/>
        <w:spacing w:after="120" w:line="240" w:lineRule="auto"/>
        <w:ind w:left="1134" w:hanging="425"/>
        <w:jc w:val="both"/>
        <w:rPr>
          <w:rFonts w:cs="Arial"/>
          <w:color w:val="000000" w:themeColor="text1"/>
        </w:rPr>
      </w:pPr>
      <w:r w:rsidRPr="000D2C9B">
        <w:rPr>
          <w:rFonts w:cs="Arial"/>
          <w:color w:val="000000" w:themeColor="text1"/>
        </w:rPr>
        <w:t xml:space="preserve">za stranu kupujícího: </w:t>
      </w:r>
    </w:p>
    <w:p w:rsidR="00386D47" w:rsidRDefault="00386D47" w:rsidP="00386D47">
      <w:pPr>
        <w:pStyle w:val="Odstavecseseznamem"/>
        <w:widowControl w:val="0"/>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8"/>
        <w:contextualSpacing w:val="0"/>
        <w:jc w:val="both"/>
        <w:outlineLvl w:val="0"/>
        <w:rPr>
          <w:rFonts w:eastAsia="Times New Roman" w:cstheme="minorHAnsi"/>
          <w:noProof/>
          <w:color w:val="000000"/>
          <w:lang w:eastAsia="cs-CZ"/>
        </w:rPr>
      </w:pPr>
      <w:r>
        <w:rPr>
          <w:rFonts w:cs="Arial"/>
          <w:color w:val="000000" w:themeColor="text1"/>
        </w:rPr>
        <w:tab/>
      </w:r>
      <w:r w:rsidRPr="006425AD">
        <w:rPr>
          <w:rFonts w:cs="Arial"/>
          <w:color w:val="000000" w:themeColor="text1"/>
        </w:rPr>
        <w:t xml:space="preserve">za stranu prodávajícího: </w:t>
      </w:r>
    </w:p>
    <w:p w:rsidR="00386D47" w:rsidRPr="00B31B55" w:rsidRDefault="00386D47" w:rsidP="00386D47">
      <w:pPr>
        <w:pStyle w:val="Odstavecseseznamem"/>
        <w:widowControl w:val="0"/>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8"/>
        <w:contextualSpacing w:val="0"/>
        <w:jc w:val="both"/>
        <w:outlineLvl w:val="0"/>
        <w:rPr>
          <w:rFonts w:eastAsia="Times New Roman" w:cstheme="minorHAnsi"/>
          <w:noProof/>
          <w:color w:val="000000"/>
          <w:lang w:eastAsia="cs-CZ"/>
        </w:rPr>
      </w:pP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r>
        <w:rPr>
          <w:rFonts w:eastAsia="Times New Roman" w:cstheme="minorHAnsi"/>
          <w:noProof/>
          <w:color w:val="000000"/>
          <w:lang w:eastAsia="cs-CZ"/>
        </w:rPr>
        <w:tab/>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 xml:space="preserve">Místem plnění se rozumí budova ČVUT – CIIRC, Jugoslávských partyzánů 3, 160 00 Praha 6 – Dejvice, budova B (dále jen „místo dodání“). </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 xml:space="preserve">Součástí řádného dodání je i doprava na místo dodání dle odst. 6 tohoto článku a provedení plnění dle čl. II odst. 3 písm. a) až </w:t>
      </w:r>
      <w:r>
        <w:rPr>
          <w:rFonts w:cs="Arial"/>
          <w:color w:val="000000" w:themeColor="text1"/>
        </w:rPr>
        <w:t>d</w:t>
      </w:r>
      <w:r w:rsidRPr="000D2C9B">
        <w:rPr>
          <w:rFonts w:cs="Arial"/>
          <w:color w:val="000000" w:themeColor="text1"/>
        </w:rPr>
        <w:t>) této smlouvy.</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 xml:space="preserve">Vlastnické právo k předmětu plnění, jakož i nebezpečí škody na věci, přechází z prodávajícího na kupujícího okamžikem převzetí věci kupujícím v místě dodání. Převzetí zboží kupujícím proběhne až po jeho řádném dodání. Kupující vystaví prodávajícímu po úspěšném převzetí zboží za tím účelem akceptační protokol, případně prodávající vystaví dodací list kupujícímu a kupující na něj </w:t>
      </w:r>
      <w:r w:rsidRPr="000D2C9B">
        <w:rPr>
          <w:rFonts w:cs="Arial"/>
          <w:color w:val="000000" w:themeColor="text1"/>
        </w:rPr>
        <w:lastRenderedPageBreak/>
        <w:t>poznačí, že plnění akceptuje, pokud nastaly akceptační podmínky pro převzetí zboží dle této smlouvy, zboží je kompletní a prosté vad.</w:t>
      </w:r>
    </w:p>
    <w:p w:rsidR="00386D47" w:rsidRPr="000D2C9B" w:rsidRDefault="00386D47" w:rsidP="00386D47">
      <w:pPr>
        <w:pStyle w:val="Odstavecseseznamem"/>
        <w:widowControl w:val="0"/>
        <w:numPr>
          <w:ilvl w:val="0"/>
          <w:numId w:val="10"/>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 xml:space="preserve">Kupující výslovně prohlašuje, že si je vědom, že okamžik přechodu odpovědnosti za škodu a okamžik řádného předání věci nastává až umístěním zboží na místo dodání, tj. konkrétní </w:t>
      </w:r>
      <w:r>
        <w:rPr>
          <w:rFonts w:cs="Arial"/>
          <w:color w:val="000000" w:themeColor="text1"/>
        </w:rPr>
        <w:t>budovy</w:t>
      </w:r>
      <w:r w:rsidRPr="000D2C9B">
        <w:rPr>
          <w:rFonts w:cs="Arial"/>
          <w:color w:val="000000" w:themeColor="text1"/>
        </w:rPr>
        <w:t xml:space="preserve"> dle odst. 6 tohoto článku. Přepravu</w:t>
      </w:r>
      <w:r>
        <w:rPr>
          <w:rFonts w:cs="Arial"/>
          <w:color w:val="000000" w:themeColor="text1"/>
        </w:rPr>
        <w:t xml:space="preserve"> na místo dodání</w:t>
      </w:r>
      <w:r w:rsidRPr="000D2C9B">
        <w:rPr>
          <w:rFonts w:cs="Arial"/>
          <w:color w:val="000000" w:themeColor="text1"/>
        </w:rPr>
        <w:t xml:space="preserve"> zajišťuje na svůj náklad a odpovědnost prodávající toliko za součinnosti kupujícího, spočívající v zajištění přístupnosti a průchodnosti jednotlivých prostor nutných pro transport zboží na uvedené místo plnění.</w:t>
      </w:r>
    </w:p>
    <w:p w:rsidR="00386D47" w:rsidRPr="000D2C9B" w:rsidRDefault="00386D47" w:rsidP="00386D47">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lang w:eastAsia="cs-CZ"/>
        </w:rPr>
      </w:pPr>
      <w:r w:rsidRPr="000D2C9B">
        <w:rPr>
          <w:rFonts w:eastAsia="Times New Roman" w:cstheme="minorHAnsi"/>
          <w:b/>
          <w:bCs/>
          <w:color w:val="000000"/>
          <w:lang w:eastAsia="cs-CZ"/>
        </w:rPr>
        <w:t>Cena a platební podmínky</w:t>
      </w:r>
    </w:p>
    <w:p w:rsidR="00386D47" w:rsidRPr="000D2C9B" w:rsidRDefault="00386D47" w:rsidP="00386D47">
      <w:pPr>
        <w:pStyle w:val="Odstavecseseznamem"/>
        <w:widowControl w:val="0"/>
        <w:numPr>
          <w:ilvl w:val="0"/>
          <w:numId w:val="11"/>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Celková cena za plnění dle této smlouvy, tj. za zboží, jeho příslušenství a všechno ostatní plnění, jež poskytuje prodávající kupujícímu dle podmínek této smlouvy je:</w:t>
      </w:r>
    </w:p>
    <w:tbl>
      <w:tblPr>
        <w:tblStyle w:val="Mkatabulky"/>
        <w:tblW w:w="8555" w:type="dxa"/>
        <w:tblInd w:w="512" w:type="dxa"/>
        <w:tblLook w:val="04A0" w:firstRow="1" w:lastRow="0" w:firstColumn="1" w:lastColumn="0" w:noHBand="0" w:noVBand="1"/>
      </w:tblPr>
      <w:tblGrid>
        <w:gridCol w:w="3452"/>
        <w:gridCol w:w="5103"/>
      </w:tblGrid>
      <w:tr w:rsidR="00386D47" w:rsidRPr="000D2C9B" w:rsidTr="009E32CF">
        <w:trPr>
          <w:trHeight w:val="20"/>
        </w:trPr>
        <w:tc>
          <w:tcPr>
            <w:tcW w:w="3452"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5103"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D2C9B">
              <w:rPr>
                <w:rFonts w:asciiTheme="minorHAnsi" w:hAnsiTheme="minorHAnsi" w:cstheme="minorHAnsi"/>
                <w:b/>
                <w:color w:val="000000"/>
                <w:sz w:val="22"/>
                <w:szCs w:val="22"/>
              </w:rPr>
              <w:t>částka:</w:t>
            </w:r>
          </w:p>
        </w:tc>
      </w:tr>
      <w:tr w:rsidR="00386D47" w:rsidRPr="000D2C9B" w:rsidTr="009E32CF">
        <w:trPr>
          <w:trHeight w:val="20"/>
        </w:trPr>
        <w:tc>
          <w:tcPr>
            <w:tcW w:w="3452"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D2C9B">
              <w:rPr>
                <w:rFonts w:asciiTheme="minorHAnsi" w:hAnsiTheme="minorHAnsi" w:cstheme="minorHAnsi"/>
                <w:b/>
                <w:color w:val="000000"/>
                <w:sz w:val="22"/>
                <w:szCs w:val="22"/>
              </w:rPr>
              <w:t>celková cena v </w:t>
            </w:r>
            <w:r>
              <w:rPr>
                <w:rFonts w:asciiTheme="minorHAnsi" w:hAnsiTheme="minorHAnsi" w:cstheme="minorHAnsi"/>
                <w:b/>
                <w:color w:val="000000"/>
                <w:sz w:val="22"/>
                <w:szCs w:val="22"/>
              </w:rPr>
              <w:t>CZK</w:t>
            </w:r>
            <w:r w:rsidRPr="000D2C9B">
              <w:rPr>
                <w:rFonts w:asciiTheme="minorHAnsi" w:hAnsiTheme="minorHAnsi" w:cstheme="minorHAnsi"/>
                <w:b/>
                <w:color w:val="000000"/>
                <w:sz w:val="22"/>
                <w:szCs w:val="22"/>
              </w:rPr>
              <w:t xml:space="preserve"> bez DPH:</w:t>
            </w:r>
          </w:p>
        </w:tc>
        <w:tc>
          <w:tcPr>
            <w:tcW w:w="5103"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133 000 </w:t>
            </w:r>
          </w:p>
        </w:tc>
      </w:tr>
      <w:tr w:rsidR="00386D47" w:rsidRPr="000D2C9B" w:rsidTr="009E32CF">
        <w:trPr>
          <w:trHeight w:val="20"/>
        </w:trPr>
        <w:tc>
          <w:tcPr>
            <w:tcW w:w="3452"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D2C9B">
              <w:rPr>
                <w:rFonts w:asciiTheme="minorHAnsi" w:hAnsiTheme="minorHAnsi" w:cstheme="minorHAnsi"/>
                <w:b/>
                <w:color w:val="000000"/>
                <w:sz w:val="22"/>
                <w:szCs w:val="22"/>
              </w:rPr>
              <w:t>celková cena v </w:t>
            </w:r>
            <w:r>
              <w:rPr>
                <w:rFonts w:asciiTheme="minorHAnsi" w:hAnsiTheme="minorHAnsi" w:cstheme="minorHAnsi"/>
                <w:b/>
                <w:color w:val="000000"/>
                <w:sz w:val="22"/>
                <w:szCs w:val="22"/>
              </w:rPr>
              <w:t>CZK</w:t>
            </w:r>
            <w:r w:rsidRPr="000D2C9B">
              <w:rPr>
                <w:rFonts w:asciiTheme="minorHAnsi" w:hAnsiTheme="minorHAnsi" w:cstheme="minorHAnsi"/>
                <w:b/>
                <w:color w:val="000000"/>
                <w:sz w:val="22"/>
                <w:szCs w:val="22"/>
              </w:rPr>
              <w:t xml:space="preserve"> s DPH:</w:t>
            </w:r>
          </w:p>
        </w:tc>
        <w:tc>
          <w:tcPr>
            <w:tcW w:w="5103"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512981">
              <w:rPr>
                <w:rFonts w:asciiTheme="minorHAnsi" w:hAnsiTheme="minorHAnsi" w:cstheme="minorHAnsi"/>
                <w:color w:val="000000"/>
                <w:sz w:val="22"/>
                <w:szCs w:val="22"/>
              </w:rPr>
              <w:t>160 930</w:t>
            </w:r>
          </w:p>
        </w:tc>
      </w:tr>
      <w:tr w:rsidR="00386D47" w:rsidRPr="000D2C9B" w:rsidTr="009E32CF">
        <w:trPr>
          <w:trHeight w:val="20"/>
        </w:trPr>
        <w:tc>
          <w:tcPr>
            <w:tcW w:w="3452"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Pr>
                <w:rFonts w:asciiTheme="minorHAnsi" w:hAnsiTheme="minorHAnsi" w:cstheme="minorHAnsi"/>
                <w:b/>
                <w:color w:val="000000"/>
                <w:sz w:val="22"/>
                <w:szCs w:val="22"/>
              </w:rPr>
              <w:t>DPH</w:t>
            </w:r>
            <w:r w:rsidRPr="000D2C9B">
              <w:rPr>
                <w:rFonts w:asciiTheme="minorHAnsi" w:hAnsiTheme="minorHAnsi" w:cstheme="minorHAnsi"/>
                <w:b/>
                <w:color w:val="000000"/>
                <w:sz w:val="22"/>
                <w:szCs w:val="22"/>
              </w:rPr>
              <w:t xml:space="preserve"> v </w:t>
            </w:r>
            <w:r>
              <w:rPr>
                <w:rFonts w:asciiTheme="minorHAnsi" w:hAnsiTheme="minorHAnsi" w:cstheme="minorHAnsi"/>
                <w:b/>
                <w:color w:val="000000"/>
                <w:sz w:val="22"/>
                <w:szCs w:val="22"/>
              </w:rPr>
              <w:t>CZK</w:t>
            </w:r>
            <w:r w:rsidRPr="000D2C9B">
              <w:rPr>
                <w:rFonts w:asciiTheme="minorHAnsi" w:hAnsiTheme="minorHAnsi" w:cstheme="minorHAnsi"/>
                <w:b/>
                <w:color w:val="000000"/>
                <w:sz w:val="22"/>
                <w:szCs w:val="22"/>
              </w:rPr>
              <w:t>:</w:t>
            </w:r>
          </w:p>
        </w:tc>
        <w:tc>
          <w:tcPr>
            <w:tcW w:w="5103" w:type="dxa"/>
          </w:tcPr>
          <w:p w:rsidR="00386D47" w:rsidRPr="000D2C9B" w:rsidRDefault="00386D47" w:rsidP="009E32CF">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27 930</w:t>
            </w:r>
          </w:p>
        </w:tc>
      </w:tr>
    </w:tbl>
    <w:p w:rsidR="00386D47" w:rsidRPr="000D2C9B" w:rsidRDefault="00386D47" w:rsidP="00386D47">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rsidR="00386D47" w:rsidRPr="000D2C9B" w:rsidRDefault="00386D47" w:rsidP="00386D47">
      <w:pPr>
        <w:pStyle w:val="Odstavecseseznamem"/>
        <w:widowControl w:val="0"/>
        <w:numPr>
          <w:ilvl w:val="0"/>
          <w:numId w:val="11"/>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Celková cena může být měněna pouze a výhradně v souladu s relevantním a aktuálním zněním zákona o zadávání veřejných zakázek.</w:t>
      </w:r>
    </w:p>
    <w:p w:rsidR="00386D47" w:rsidRPr="000D2C9B" w:rsidRDefault="00386D47" w:rsidP="00386D47">
      <w:pPr>
        <w:pStyle w:val="Odstavecseseznamem"/>
        <w:widowControl w:val="0"/>
        <w:numPr>
          <w:ilvl w:val="0"/>
          <w:numId w:val="11"/>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color w:val="000000" w:themeColor="text1"/>
        </w:rPr>
        <w:t>Celková cena za plnění této</w:t>
      </w:r>
      <w:r w:rsidRPr="000D2C9B">
        <w:rPr>
          <w:rFonts w:cs="Arial"/>
          <w:color w:val="000000" w:themeColor="text1"/>
        </w:rPr>
        <w:t xml:space="preserve"> smlouvy bude uhrazena oproti faktuře. Taková faktura může být vystavena teprve po podepsání předávacího, resp. akceptačního protokolu</w:t>
      </w:r>
      <w:r>
        <w:rPr>
          <w:rFonts w:cs="Arial"/>
          <w:color w:val="000000" w:themeColor="text1"/>
        </w:rPr>
        <w:t>/dodacího listu</w:t>
      </w:r>
      <w:r w:rsidRPr="000D2C9B">
        <w:rPr>
          <w:rFonts w:cs="Arial"/>
          <w:color w:val="000000" w:themeColor="text1"/>
        </w:rPr>
        <w:t>, ve kterém bude uvedeno, že dodání je bez vad a nedodělků.</w:t>
      </w:r>
    </w:p>
    <w:p w:rsidR="00386D47" w:rsidRPr="00512981" w:rsidRDefault="00386D47" w:rsidP="00386D47">
      <w:pPr>
        <w:pStyle w:val="Odstavecseseznamem"/>
        <w:widowControl w:val="0"/>
        <w:numPr>
          <w:ilvl w:val="0"/>
          <w:numId w:val="11"/>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color w:val="000000" w:themeColor="text1"/>
        </w:rPr>
      </w:pPr>
      <w:r w:rsidRPr="00512981">
        <w:rPr>
          <w:color w:val="000000" w:themeColor="text1"/>
        </w:rPr>
        <w:t>Prodávající se zavazuje vystavit po případné poradě s kupujícím 2 dílčí faktury, přičemž jedna faktura bude vystavena na položky předmětu plnění investičního charakteru a druhá bude vystavena na položky předmětu plnění neinvestičního charakteru.</w:t>
      </w:r>
      <w:r w:rsidRPr="00512981" w:rsidDel="00380C01">
        <w:rPr>
          <w:color w:val="000000" w:themeColor="text1"/>
        </w:rPr>
        <w:t xml:space="preserve"> </w:t>
      </w:r>
    </w:p>
    <w:p w:rsidR="00386D47" w:rsidRPr="00512981" w:rsidRDefault="00386D47" w:rsidP="00386D47">
      <w:pPr>
        <w:pStyle w:val="Odstavecseseznamem"/>
        <w:widowControl w:val="0"/>
        <w:shd w:val="clear" w:color="auto" w:fill="FFFFFF"/>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outlineLvl w:val="0"/>
        <w:rPr>
          <w:rFonts w:cs="Arial"/>
          <w:color w:val="000000" w:themeColor="text1"/>
        </w:rPr>
      </w:pPr>
      <w:r w:rsidRPr="00512981">
        <w:rPr>
          <w:rFonts w:cs="Arial"/>
          <w:color w:val="000000" w:themeColor="text1"/>
        </w:rPr>
        <w:t>Prodávající se zavazuje na fakturu uvést označení projektu, z něhož je zboží hrazeno, a to:</w:t>
      </w:r>
    </w:p>
    <w:p w:rsidR="00386D47" w:rsidRPr="000D2C9B" w:rsidRDefault="00386D47" w:rsidP="00386D47">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0D2C9B">
        <w:rPr>
          <w:rFonts w:cs="Arial"/>
          <w:i/>
          <w:color w:val="000000" w:themeColor="text1"/>
        </w:rPr>
        <w:t>Výzkumné a inovační centrum pro pokročilou průmyslovou výrobu,</w:t>
      </w:r>
    </w:p>
    <w:p w:rsidR="00386D47" w:rsidRPr="000D2C9B" w:rsidRDefault="00386D47" w:rsidP="00386D47">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0D2C9B">
        <w:rPr>
          <w:rFonts w:cs="Arial"/>
          <w:i/>
          <w:color w:val="000000" w:themeColor="text1"/>
        </w:rPr>
        <w:t>reg</w:t>
      </w:r>
      <w:proofErr w:type="spellEnd"/>
      <w:r w:rsidRPr="000D2C9B">
        <w:rPr>
          <w:rFonts w:cs="Arial"/>
          <w:i/>
          <w:color w:val="000000" w:themeColor="text1"/>
        </w:rPr>
        <w:t xml:space="preserve">. </w:t>
      </w:r>
      <w:proofErr w:type="gramStart"/>
      <w:r w:rsidRPr="000D2C9B">
        <w:rPr>
          <w:rFonts w:cs="Arial"/>
          <w:i/>
          <w:color w:val="000000" w:themeColor="text1"/>
        </w:rPr>
        <w:t>č.</w:t>
      </w:r>
      <w:proofErr w:type="gramEnd"/>
      <w:r w:rsidRPr="000D2C9B">
        <w:rPr>
          <w:rFonts w:cs="Arial"/>
          <w:i/>
          <w:color w:val="000000" w:themeColor="text1"/>
        </w:rPr>
        <w:t xml:space="preserve"> CZ.02.1.01/0.0/0.0/17_043/0010085.</w:t>
      </w:r>
    </w:p>
    <w:p w:rsidR="00386D47" w:rsidRPr="000D2C9B" w:rsidRDefault="00386D47" w:rsidP="00386D47">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0D2C9B">
        <w:t>Nevejde-li se na fakturu údaj celý, postačí alespoň registrační číslo projektu bez názvu dotačního projektu.</w:t>
      </w:r>
    </w:p>
    <w:p w:rsidR="00386D47" w:rsidRPr="000D2C9B" w:rsidRDefault="00386D47" w:rsidP="00386D47">
      <w:pPr>
        <w:pStyle w:val="Odstavecseseznamem"/>
        <w:widowControl w:val="0"/>
        <w:numPr>
          <w:ilvl w:val="0"/>
          <w:numId w:val="11"/>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0D2C9B">
        <w:rPr>
          <w:rFonts w:cs="Arial"/>
          <w:color w:val="000000" w:themeColor="text1"/>
        </w:rPr>
        <w:t>Splatnost řádně vystaveného daňového dokladu (faktury) činí 30 dní od data jeho doručení kupujícímu. Faktura – daňový doklad musí obsahovat veškeré údaje vyžadované příslušnými právními předpisy. Kupující může ve lhůtě splatnosti daňový doklad (fakturu) vrátit, obsahuje-li:</w:t>
      </w:r>
    </w:p>
    <w:p w:rsidR="00386D47" w:rsidRPr="000D2C9B" w:rsidRDefault="00386D47" w:rsidP="00386D47">
      <w:pPr>
        <w:pStyle w:val="Odstavecseseznamem"/>
        <w:numPr>
          <w:ilvl w:val="0"/>
          <w:numId w:val="8"/>
        </w:numPr>
        <w:tabs>
          <w:tab w:val="left" w:pos="567"/>
        </w:tabs>
        <w:spacing w:after="120"/>
        <w:ind w:left="1134" w:hanging="283"/>
        <w:rPr>
          <w:rFonts w:cs="Arial"/>
          <w:color w:val="000000" w:themeColor="text1"/>
        </w:rPr>
      </w:pPr>
      <w:r w:rsidRPr="000D2C9B">
        <w:rPr>
          <w:rFonts w:cs="Arial"/>
          <w:color w:val="000000" w:themeColor="text1"/>
        </w:rPr>
        <w:t xml:space="preserve">nesprávné nebo neúplné cenové údaje, </w:t>
      </w:r>
    </w:p>
    <w:p w:rsidR="00386D47" w:rsidRPr="000D2C9B" w:rsidRDefault="00386D47" w:rsidP="00386D47">
      <w:pPr>
        <w:pStyle w:val="Odstavecseseznamem"/>
        <w:numPr>
          <w:ilvl w:val="0"/>
          <w:numId w:val="8"/>
        </w:numPr>
        <w:tabs>
          <w:tab w:val="left" w:pos="567"/>
        </w:tabs>
        <w:spacing w:after="120"/>
        <w:ind w:left="1134" w:hanging="283"/>
        <w:rPr>
          <w:rFonts w:cs="Arial"/>
          <w:color w:val="000000" w:themeColor="text1"/>
        </w:rPr>
      </w:pPr>
      <w:r w:rsidRPr="000D2C9B">
        <w:rPr>
          <w:rFonts w:cs="Arial"/>
          <w:color w:val="000000" w:themeColor="text1"/>
        </w:rPr>
        <w:t xml:space="preserve">nesprávné nebo neúplné náležitosti dle právních předpisů; </w:t>
      </w:r>
    </w:p>
    <w:p w:rsidR="00386D47" w:rsidRPr="000D2C9B" w:rsidRDefault="00386D47" w:rsidP="00386D47">
      <w:pPr>
        <w:tabs>
          <w:tab w:val="left" w:pos="567"/>
        </w:tabs>
        <w:spacing w:after="120"/>
        <w:ind w:left="567" w:hanging="567"/>
        <w:jc w:val="both"/>
      </w:pPr>
      <w:r w:rsidRPr="000D2C9B">
        <w:rPr>
          <w:rFonts w:cs="Arial"/>
          <w:color w:val="000000" w:themeColor="text1"/>
        </w:rPr>
        <w:tab/>
        <w:t>V bodech a) a b) tohoto odstavce uvedených případech je kupující povinen daňový doklad (fakturu) vrátit s uvedením důvodu vrácení. Tímto okamžikem se ruší lhůta splatnosti a nová lhůta splatnosti počne běžet doručením daňového dokladu (faktury) nového nebo opraveného. </w:t>
      </w:r>
      <w:r w:rsidRPr="000D2C9B">
        <w:t>V případě, že kupující daňový doklad (fakturu) vrátí, přestože daňový doklad (faktura) byl vystaven řádně a předepsané náležitosti obsahuje, lhůta splatnosti se nepřerušuje a pokud kupující daňový doklad (fakturu) nezaplatí v původní lhůtě splatnosti, je v prodlení.</w:t>
      </w:r>
    </w:p>
    <w:p w:rsidR="00386D47" w:rsidRPr="000D2C9B" w:rsidRDefault="00386D47" w:rsidP="00386D47">
      <w:pPr>
        <w:pStyle w:val="Odstavecseseznamem"/>
        <w:keepNext/>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lang w:eastAsia="cs-CZ"/>
        </w:rPr>
      </w:pPr>
      <w:r w:rsidRPr="000D2C9B">
        <w:rPr>
          <w:rFonts w:eastAsia="Times New Roman" w:cs="Arial"/>
          <w:b/>
          <w:bCs/>
          <w:color w:val="000000"/>
          <w:lang w:eastAsia="cs-CZ"/>
        </w:rPr>
        <w:lastRenderedPageBreak/>
        <w:t>Záruka a záruční doba</w:t>
      </w:r>
    </w:p>
    <w:p w:rsidR="00386D47" w:rsidRPr="000D2C9B" w:rsidRDefault="00386D47" w:rsidP="00386D47">
      <w:pPr>
        <w:pStyle w:val="Odstavecseseznamem"/>
        <w:widowControl w:val="0"/>
        <w:numPr>
          <w:ilvl w:val="0"/>
          <w:numId w:val="12"/>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0D2C9B">
        <w:rPr>
          <w:rFonts w:cs="Arial"/>
          <w:color w:val="000000" w:themeColor="text1"/>
        </w:rPr>
        <w:t xml:space="preserve">Na </w:t>
      </w:r>
      <w:r w:rsidRPr="00EA1C62">
        <w:rPr>
          <w:rFonts w:cs="Arial"/>
          <w:color w:val="000000" w:themeColor="text1"/>
        </w:rPr>
        <w:t xml:space="preserve">plnění poskytuje prodávající záruku za jakost v trvání </w:t>
      </w:r>
      <w:r>
        <w:t>12</w:t>
      </w:r>
      <w:r w:rsidRPr="00EA1C62">
        <w:t xml:space="preserve"> měsíců.</w:t>
      </w:r>
      <w:r w:rsidRPr="00EA1C62">
        <w:rPr>
          <w:rFonts w:cs="Arial"/>
          <w:color w:val="000000" w:themeColor="text1"/>
        </w:rPr>
        <w:t xml:space="preserve"> Záruční doba počíná běžet okamžikem podpisu protokolu o předání a převzetí plnění bez vad (akceptačního protokolu/dodacího listu) dle čl. III odst. 8 této smlouvy.</w:t>
      </w:r>
    </w:p>
    <w:p w:rsidR="00386D47" w:rsidRPr="000D2C9B" w:rsidRDefault="00386D47" w:rsidP="00386D47">
      <w:pPr>
        <w:pStyle w:val="Odstavecseseznamem"/>
        <w:widowControl w:val="0"/>
        <w:numPr>
          <w:ilvl w:val="0"/>
          <w:numId w:val="12"/>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0D2C9B">
        <w:rPr>
          <w:rFonts w:eastAsia="Times New Roman" w:cs="Arial"/>
          <w:color w:val="000000"/>
          <w:lang w:eastAsia="cs-CZ"/>
        </w:rPr>
        <w:t xml:space="preserve">Reklamaci případné vady kupující zašle prodávajícímu písemně, tj. výslovně i elektronickou poštou, a to i bez elektronického podpisu, s technickým popisem vady nebo i ústně (včetně telefonického </w:t>
      </w:r>
      <w:proofErr w:type="gramStart"/>
      <w:r w:rsidRPr="000D2C9B">
        <w:rPr>
          <w:rFonts w:eastAsia="Times New Roman" w:cs="Arial"/>
          <w:color w:val="000000"/>
          <w:lang w:eastAsia="cs-CZ"/>
        </w:rPr>
        <w:t>nahlášení) (dále</w:t>
      </w:r>
      <w:proofErr w:type="gramEnd"/>
      <w:r w:rsidRPr="000D2C9B">
        <w:rPr>
          <w:rFonts w:eastAsia="Times New Roman" w:cs="Arial"/>
          <w:color w:val="000000"/>
          <w:lang w:eastAsia="cs-CZ"/>
        </w:rPr>
        <w:t xml:space="preserve"> v textu jen „nahlášení vady“).</w:t>
      </w:r>
    </w:p>
    <w:p w:rsidR="00386D47" w:rsidRPr="000D2C9B" w:rsidRDefault="00386D47" w:rsidP="00386D47">
      <w:pPr>
        <w:pStyle w:val="Odstavecseseznamem"/>
        <w:widowControl w:val="0"/>
        <w:numPr>
          <w:ilvl w:val="0"/>
          <w:numId w:val="12"/>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0D2C9B">
        <w:rPr>
          <w:rFonts w:eastAsia="Times New Roman" w:cs="Arial"/>
          <w:color w:val="000000"/>
          <w:lang w:eastAsia="cs-CZ"/>
        </w:rPr>
        <w:t xml:space="preserve">Prodávající se zavazuje na písemné, resp. e-mailové nahlášení vady kupujícím zajistit možnost </w:t>
      </w:r>
      <w:r w:rsidRPr="001C6DA7">
        <w:rPr>
          <w:rFonts w:eastAsia="Times New Roman" w:cs="Arial"/>
          <w:color w:val="000000"/>
          <w:lang w:eastAsia="cs-CZ"/>
        </w:rPr>
        <w:t>vzdálené diagnostiky zboží a komunikaci kupujícího se servisním technikem prodávajícího v</w:t>
      </w:r>
      <w:r>
        <w:rPr>
          <w:rFonts w:eastAsia="Times New Roman" w:cs="Arial"/>
          <w:color w:val="000000"/>
          <w:lang w:eastAsia="cs-CZ"/>
        </w:rPr>
        <w:t> </w:t>
      </w:r>
      <w:r w:rsidRPr="001C6DA7">
        <w:rPr>
          <w:rFonts w:eastAsia="Times New Roman" w:cs="Arial"/>
          <w:color w:val="000000"/>
          <w:lang w:eastAsia="cs-CZ"/>
        </w:rPr>
        <w:t>češtině</w:t>
      </w:r>
      <w:r>
        <w:rPr>
          <w:rFonts w:eastAsia="Times New Roman" w:cs="Arial"/>
          <w:color w:val="000000"/>
          <w:lang w:eastAsia="cs-CZ"/>
        </w:rPr>
        <w:t xml:space="preserve"> či angličtině</w:t>
      </w:r>
      <w:r w:rsidRPr="001C6DA7">
        <w:rPr>
          <w:rFonts w:eastAsia="Times New Roman" w:cs="Arial"/>
          <w:color w:val="000000"/>
          <w:lang w:eastAsia="cs-CZ"/>
        </w:rPr>
        <w:t xml:space="preserve"> do </w:t>
      </w:r>
      <w:r>
        <w:rPr>
          <w:rFonts w:eastAsia="Times New Roman" w:cs="Arial"/>
          <w:color w:val="000000"/>
          <w:lang w:eastAsia="cs-CZ"/>
        </w:rPr>
        <w:t xml:space="preserve">1 týdne </w:t>
      </w:r>
      <w:r w:rsidRPr="001C6DA7">
        <w:rPr>
          <w:rFonts w:eastAsia="Times New Roman" w:cs="Arial"/>
          <w:color w:val="000000"/>
          <w:lang w:eastAsia="cs-CZ"/>
        </w:rPr>
        <w:t>od nahlášení vady</w:t>
      </w:r>
      <w:r w:rsidRPr="000D2C9B">
        <w:rPr>
          <w:rFonts w:eastAsia="Times New Roman" w:cs="Arial"/>
          <w:color w:val="000000"/>
          <w:lang w:eastAsia="cs-CZ"/>
        </w:rPr>
        <w:t>. Umožňuje-li to povaha opravy, provede technik úkony záručního servisu (opravu) na místě. Neumožňuje-li to povaha opravy, a je nutné zboží transportovat z místa dodání k záruční opravě a zpět, provede nebo zajistí transport zboží na své náklady a odpovědnost prodávající. Prodávající se zavazuje odstranit vadu do 30 dnů od nahlášení vady.</w:t>
      </w:r>
    </w:p>
    <w:p w:rsidR="00386D47" w:rsidRPr="000D2C9B" w:rsidRDefault="00386D47" w:rsidP="00386D47">
      <w:pPr>
        <w:pStyle w:val="Odstavecseseznamem"/>
        <w:widowControl w:val="0"/>
        <w:numPr>
          <w:ilvl w:val="0"/>
          <w:numId w:val="12"/>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0D2C9B">
        <w:rPr>
          <w:rFonts w:eastAsia="Times New Roman" w:cs="Arial"/>
          <w:color w:val="000000"/>
          <w:lang w:eastAsia="cs-CZ"/>
        </w:rPr>
        <w:t>Dojde-li v záruční době k poruše nebo nefunkčnosti zboží z důvodů na straně kupujícího nebo z důvodů, které nelze přičítat prodávajícímu, platí pro prodávajícího závazky dle odst. 2 a 3 tohoto článku smlouvy s tím, že nebude užito odst. 6 tohoto článku.</w:t>
      </w:r>
    </w:p>
    <w:p w:rsidR="00386D47" w:rsidRPr="000D2C9B" w:rsidRDefault="00386D47" w:rsidP="00386D47">
      <w:pPr>
        <w:pStyle w:val="Odstavecseseznamem"/>
        <w:widowControl w:val="0"/>
        <w:numPr>
          <w:ilvl w:val="0"/>
          <w:numId w:val="12"/>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0D2C9B">
        <w:rPr>
          <w:color w:val="000000" w:themeColor="text1"/>
        </w:rPr>
        <w:t>Uznané reklamace, které nemohou být odstraněny opravou, budou řešeny výměnou vadného dílu za díl nový, případně celého plnění za bezvadné, a to na náklady prodávajícího.</w:t>
      </w:r>
    </w:p>
    <w:p w:rsidR="00386D47" w:rsidRPr="000D2C9B" w:rsidRDefault="00386D47" w:rsidP="00386D47">
      <w:pPr>
        <w:pStyle w:val="Odstavecseseznamem"/>
        <w:widowControl w:val="0"/>
        <w:numPr>
          <w:ilvl w:val="0"/>
          <w:numId w:val="12"/>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0D2C9B">
        <w:rPr>
          <w:rFonts w:cs="Arial"/>
          <w:color w:val="000000" w:themeColor="text1"/>
        </w:rPr>
        <w:t>Náklady na práci, materiál, cestovní náklady, náklady na ubytování, náklady na přepravu vadného zboží k opravě a zpět, pojištění, prodávajícího nebo jím pověřené osoby, veškeré další náklady, které prodávajícímu vzniknou v souvislosti s odstraňováním vad v záruční době, nese v plné výši prodávající.</w:t>
      </w:r>
    </w:p>
    <w:p w:rsidR="00386D47" w:rsidRPr="000D2C9B" w:rsidRDefault="00386D47" w:rsidP="00386D47">
      <w:pPr>
        <w:pStyle w:val="Odstavecseseznamem"/>
        <w:widowControl w:val="0"/>
        <w:numPr>
          <w:ilvl w:val="0"/>
          <w:numId w:val="12"/>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0D2C9B">
        <w:rPr>
          <w:rFonts w:cs="Arial"/>
          <w:color w:val="000000" w:themeColor="text1"/>
        </w:rPr>
        <w:t>Jestliže nezačne prodávající odstraňovat reklamované vady ve lhůtách dle této smlouvy, může kupující v zájmu bezpečnosti a zachování plynulého provozního chodu zajistit odstranění vady jakýmkoliv jiným způsobem dle svého výběru, a to na náklady prodávajícího. Takový postup přitom není důvodem ke ztrátě záruky a rovněž nezaniká právo kupujícího na uplatnění sankcí nebo v krajním případě odstoupení od smlouvy.</w:t>
      </w:r>
    </w:p>
    <w:p w:rsidR="00386D47" w:rsidRPr="000D2C9B" w:rsidRDefault="00386D47" w:rsidP="00386D47">
      <w:pPr>
        <w:pStyle w:val="Odstavecseseznamem"/>
        <w:widowControl w:val="0"/>
        <w:numPr>
          <w:ilvl w:val="0"/>
          <w:numId w:val="12"/>
        </w:numPr>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0D2C9B">
        <w:rPr>
          <w:rFonts w:cs="Arial"/>
          <w:color w:val="000000" w:themeColor="text1"/>
        </w:rPr>
        <w:t>Prodávající se zavazuje poskytovat pozáruční servis dodaného zboží.</w:t>
      </w:r>
    </w:p>
    <w:p w:rsidR="00386D47" w:rsidRPr="000D2C9B" w:rsidRDefault="00386D47" w:rsidP="00386D47">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lang w:eastAsia="cs-CZ"/>
        </w:rPr>
      </w:pPr>
      <w:r w:rsidRPr="000D2C9B">
        <w:rPr>
          <w:rFonts w:eastAsia="Times New Roman" w:cs="Arial"/>
          <w:b/>
          <w:bCs/>
          <w:color w:val="000000"/>
          <w:lang w:eastAsia="cs-CZ"/>
        </w:rPr>
        <w:t>Sankce a smluvní pokuty</w:t>
      </w:r>
    </w:p>
    <w:p w:rsidR="00386D47" w:rsidRPr="000D2C9B" w:rsidRDefault="00386D47" w:rsidP="00386D47">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eastAsia="Times New Roman" w:cs="Arial"/>
          <w:color w:val="000000"/>
          <w:lang w:eastAsia="cs-CZ"/>
        </w:rPr>
        <w:t xml:space="preserve">V případě prodlení kupujícího se zaplacením ceny za zboží dle podmínek čl. IV smlouvy je prodávající oprávněn požadovat po kupujícím úrok z prodlení ve výši 0,1 % z dlužné částky za každý den prodlení. </w:t>
      </w:r>
    </w:p>
    <w:p w:rsidR="00386D47" w:rsidRPr="000D2C9B" w:rsidRDefault="00386D47" w:rsidP="00386D47">
      <w:pPr>
        <w:widowControl w:val="0"/>
        <w:numPr>
          <w:ilvl w:val="0"/>
          <w:numId w:val="1"/>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cstheme="minorHAnsi"/>
        </w:rPr>
        <w:t>V</w:t>
      </w:r>
      <w:r w:rsidRPr="000D2C9B">
        <w:rPr>
          <w:rFonts w:eastAsia="Times New Roman" w:cs="Arial"/>
          <w:color w:val="000000"/>
          <w:lang w:eastAsia="cs-CZ"/>
        </w:rPr>
        <w:t> případě prodlení prodávajícího s dodáním zboží dle čl. III odst. 4 smlouvy je kupující oprávněn požadovat po prodávajícím smluvní pokutu ve výši 0,1 % z ceny zboží za každý den prodlení a kupující je oprávněn smluvní pokutu případně započíst oproti pohledávce prodávajícího ve výši ceny zboží dle čl. IV této smlouvy.</w:t>
      </w:r>
    </w:p>
    <w:p w:rsidR="00386D47" w:rsidRPr="000D2C9B" w:rsidRDefault="00386D47" w:rsidP="00386D47">
      <w:pPr>
        <w:widowControl w:val="0"/>
        <w:numPr>
          <w:ilvl w:val="0"/>
          <w:numId w:val="1"/>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eastAsia="Times New Roman" w:cs="Arial"/>
          <w:color w:val="000000"/>
          <w:lang w:eastAsia="cs-CZ"/>
        </w:rPr>
        <w:t>V případě prodlení poskytnutí servisu po předchozím řádném nahlášení vady kupujícím prodávajícímu dle čl. V je prodávající povinen uhradit kupujícímu smluvní pokutu ve výši 1.000,- Kč za každý započatý den prodlení dle tohoto ustanovení. Tímto není dotčeno právo kupujícího požadovat případnou náhradu vzniklé škody, která převyšuje výši smluvní pokuty za veškeré dny prodlení v jednotlivých případech prodlení s poskytnutím servisu.</w:t>
      </w:r>
    </w:p>
    <w:p w:rsidR="00386D47" w:rsidRPr="000D2C9B" w:rsidRDefault="00386D47" w:rsidP="00386D47">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eastAsia="Times New Roman" w:cs="Arial"/>
          <w:color w:val="000000"/>
          <w:lang w:eastAsia="cs-CZ"/>
        </w:rPr>
        <w:t xml:space="preserve">Smluvní strany se dohodly, že kupující je oprávněn případné nároky vyplývající z odpovědnosti </w:t>
      </w:r>
      <w:r w:rsidRPr="000D2C9B">
        <w:rPr>
          <w:rFonts w:eastAsia="Times New Roman" w:cs="Arial"/>
          <w:color w:val="000000"/>
          <w:lang w:eastAsia="cs-CZ"/>
        </w:rPr>
        <w:lastRenderedPageBreak/>
        <w:t>prodávajícího za škodu, smluvní pokuty dle této smlouvy či jiné nároky započíst oproti případně splatné pohledávce prodávajícího, kterou za kupujícím má.</w:t>
      </w:r>
    </w:p>
    <w:p w:rsidR="00386D47" w:rsidRPr="000D2C9B" w:rsidRDefault="00386D47" w:rsidP="00386D47">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lang w:eastAsia="cs-CZ"/>
        </w:rPr>
      </w:pPr>
      <w:r w:rsidRPr="000D2C9B">
        <w:rPr>
          <w:rFonts w:eastAsia="Times New Roman" w:cs="Arial"/>
          <w:b/>
          <w:color w:val="000000"/>
          <w:lang w:eastAsia="cs-CZ"/>
        </w:rPr>
        <w:t>Odstoupení od smlouvy a změna smlouvy</w:t>
      </w:r>
    </w:p>
    <w:p w:rsidR="00386D47" w:rsidRPr="00006CA4" w:rsidRDefault="00386D47" w:rsidP="00386D47">
      <w:pPr>
        <w:pStyle w:val="textindent"/>
        <w:ind w:left="567" w:hanging="567"/>
        <w:rPr>
          <w:rStyle w:val="textindentChar"/>
          <w:rFonts w:eastAsiaTheme="minorHAnsi"/>
        </w:rPr>
      </w:pPr>
      <w:r w:rsidRPr="00006CA4">
        <w:rPr>
          <w:rStyle w:val="textindentChar"/>
          <w:rFonts w:eastAsiaTheme="minorHAnsi"/>
        </w:rPr>
        <w:t xml:space="preserve">Kupující je oprávněn od této smlouvy odstoupit, pokud prodávající nedodá zboží do 30. 6. 2023, nebo na prodávajícího byl vyhlášen konkurz či zahájeno nucené vyrovnání. </w:t>
      </w:r>
    </w:p>
    <w:p w:rsidR="00386D47" w:rsidRPr="00006CA4" w:rsidRDefault="00386D47" w:rsidP="00386D47">
      <w:pPr>
        <w:pStyle w:val="textindent"/>
        <w:ind w:left="567" w:hanging="567"/>
        <w:rPr>
          <w:rStyle w:val="textindentChar"/>
          <w:rFonts w:eastAsiaTheme="minorHAnsi"/>
        </w:rPr>
      </w:pPr>
      <w:r w:rsidRPr="000D2C9B">
        <w:rPr>
          <w:rStyle w:val="textindentChar"/>
          <w:rFonts w:eastAsiaTheme="minorHAnsi"/>
        </w:rPr>
        <w:t>Prodávající je oprávněn od této smlouvy odstoupit ze zákonných důvodů, zejména pak v případě, jestliže</w:t>
      </w:r>
      <w:r w:rsidRPr="00006CA4">
        <w:rPr>
          <w:rStyle w:val="textindentChar"/>
          <w:rFonts w:eastAsiaTheme="minorHAnsi"/>
        </w:rPr>
        <w:t xml:space="preserve"> je kupující v prodlení se zaplacením faktury větším než 30 dnů v návaznosti na čl. IV této smlouvy.</w:t>
      </w:r>
    </w:p>
    <w:p w:rsidR="00386D47" w:rsidRPr="000D2C9B" w:rsidRDefault="00386D47" w:rsidP="00386D47">
      <w:pPr>
        <w:pStyle w:val="Odstavecseseznamem"/>
        <w:keepNext/>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lang w:eastAsia="cs-CZ"/>
        </w:rPr>
      </w:pPr>
      <w:r w:rsidRPr="000D2C9B">
        <w:rPr>
          <w:rFonts w:eastAsia="Times New Roman" w:cs="Arial"/>
          <w:b/>
          <w:bCs/>
          <w:color w:val="000000"/>
          <w:lang w:eastAsia="cs-CZ"/>
        </w:rPr>
        <w:t>Závěrečná ustanovení</w:t>
      </w:r>
    </w:p>
    <w:p w:rsidR="00386D47" w:rsidRPr="000D2C9B" w:rsidRDefault="00386D47" w:rsidP="00386D47">
      <w:pPr>
        <w:pStyle w:val="Odstavecseseznamem"/>
        <w:numPr>
          <w:ilvl w:val="0"/>
          <w:numId w:val="7"/>
        </w:numPr>
        <w:autoSpaceDE w:val="0"/>
        <w:autoSpaceDN w:val="0"/>
        <w:adjustRightInd w:val="0"/>
        <w:spacing w:after="120" w:line="240" w:lineRule="auto"/>
        <w:ind w:left="567" w:hanging="567"/>
        <w:contextualSpacing w:val="0"/>
        <w:jc w:val="both"/>
        <w:rPr>
          <w:rFonts w:cstheme="minorHAnsi"/>
        </w:rPr>
      </w:pPr>
      <w:r w:rsidRPr="000D2C9B">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rsidR="00386D47" w:rsidRPr="000D2C9B" w:rsidRDefault="00386D47" w:rsidP="00386D47">
      <w:pPr>
        <w:pStyle w:val="Odstavecseseznamem"/>
        <w:numPr>
          <w:ilvl w:val="0"/>
          <w:numId w:val="7"/>
        </w:numPr>
        <w:autoSpaceDE w:val="0"/>
        <w:autoSpaceDN w:val="0"/>
        <w:adjustRightInd w:val="0"/>
        <w:spacing w:after="120" w:line="240" w:lineRule="auto"/>
        <w:ind w:left="567" w:hanging="567"/>
        <w:contextualSpacing w:val="0"/>
        <w:jc w:val="both"/>
        <w:rPr>
          <w:rFonts w:cstheme="minorHAnsi"/>
        </w:rPr>
      </w:pPr>
      <w:r w:rsidRPr="000D2C9B">
        <w:rPr>
          <w:rFonts w:cstheme="minorHAnsi"/>
        </w:rPr>
        <w:t>Neplatnost některého ustanovení této smlouvy nemá za následek neplatnost celé smlouvy.</w:t>
      </w:r>
    </w:p>
    <w:p w:rsidR="00386D47" w:rsidRPr="000D2C9B" w:rsidRDefault="00386D47" w:rsidP="00386D47">
      <w:pPr>
        <w:pStyle w:val="Odstavecseseznamem"/>
        <w:numPr>
          <w:ilvl w:val="0"/>
          <w:numId w:val="7"/>
        </w:numPr>
        <w:autoSpaceDE w:val="0"/>
        <w:autoSpaceDN w:val="0"/>
        <w:adjustRightInd w:val="0"/>
        <w:spacing w:after="120" w:line="240" w:lineRule="auto"/>
        <w:ind w:left="567" w:hanging="567"/>
        <w:contextualSpacing w:val="0"/>
        <w:jc w:val="both"/>
        <w:rPr>
          <w:rFonts w:cstheme="minorHAnsi"/>
        </w:rPr>
      </w:pPr>
      <w:r w:rsidRPr="000D2C9B">
        <w:rPr>
          <w:rFonts w:cstheme="minorHAnsi"/>
        </w:rPr>
        <w:t>Podmínky této smlouvy, jež svou povahou přesahují dobu platnosti této smlouvy, zůstávají plně v platnosti a jsou účinné až do okamžiku jejich splnění a platí pro případné nástupce smluvní strany.</w:t>
      </w:r>
    </w:p>
    <w:p w:rsidR="00386D47" w:rsidRPr="000D2C9B" w:rsidRDefault="00386D47" w:rsidP="00386D47">
      <w:pPr>
        <w:pStyle w:val="Odstavecseseznamem"/>
        <w:numPr>
          <w:ilvl w:val="0"/>
          <w:numId w:val="7"/>
        </w:numPr>
        <w:autoSpaceDE w:val="0"/>
        <w:autoSpaceDN w:val="0"/>
        <w:adjustRightInd w:val="0"/>
        <w:spacing w:after="120" w:line="240" w:lineRule="auto"/>
        <w:ind w:left="567" w:hanging="567"/>
        <w:contextualSpacing w:val="0"/>
        <w:jc w:val="both"/>
        <w:rPr>
          <w:rFonts w:cstheme="minorHAnsi"/>
        </w:rPr>
      </w:pPr>
      <w:r w:rsidRPr="000D2C9B">
        <w:rPr>
          <w:rFonts w:cstheme="minorHAnsi"/>
        </w:rPr>
        <w:t>Smluvní strany se zavazují veškeré spory vzniklé z této smlouvy primárně řešit smírnou cestou.</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cstheme="minorHAnsi"/>
        </w:rPr>
        <w:t>Smluvní strany se v souladu s § 89a zákona č. 99/1963 Sb., občanský soudní řád ve znění pozdějších předpisů dohodly, že v případě sporu, který nelze vyřešit dle odst. 4 tohoto článku, příslušným soudem výlučně Obvodní soud pro Prahu 6.</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rsidR="00386D47" w:rsidRPr="0019419A"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V případě rozporu mezi ustanovením smlouvy a technickou</w:t>
      </w:r>
      <w:r>
        <w:rPr>
          <w:rFonts w:eastAsia="Times New Roman" w:cs="Arial"/>
          <w:color w:val="000000"/>
          <w:lang w:eastAsia="cs-CZ"/>
        </w:rPr>
        <w:t xml:space="preserve"> specifikací má přednost t</w:t>
      </w:r>
      <w:r w:rsidRPr="0019419A">
        <w:rPr>
          <w:rFonts w:eastAsia="Times New Roman" w:cs="Arial"/>
          <w:color w:val="000000"/>
          <w:lang w:eastAsia="cs-CZ"/>
        </w:rPr>
        <w:t>echnická specifikace před touto smlouvou</w:t>
      </w:r>
      <w:r>
        <w:rPr>
          <w:rFonts w:eastAsia="Times New Roman" w:cs="Arial"/>
          <w:color w:val="000000"/>
          <w:lang w:eastAsia="cs-CZ"/>
        </w:rPr>
        <w:t>. V případě rozporu mezi smlouvou a nabídkou prodávajícího, má přednost tato smlouva.</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eastAsia="Times New Roman" w:cs="Arial"/>
          <w:noProof/>
          <w:color w:val="000000"/>
          <w:shd w:val="clear" w:color="auto" w:fill="FFFFFF"/>
          <w:lang w:eastAsia="cs-CZ"/>
        </w:rPr>
        <w:t xml:space="preserve">Prodávající se zavazuje řádně uchovávat originál smlouvy, včetně jejích případných dodatků a příloh, veškeré originály účetních dokladů </w:t>
      </w:r>
      <w:r w:rsidRPr="000D2C9B">
        <w:rPr>
          <w:rFonts w:eastAsia="Times New Roman" w:cs="Arial"/>
          <w:color w:val="000000"/>
          <w:lang w:eastAsia="cs-CZ"/>
        </w:rPr>
        <w:t>minimálně do konce roku 2033</w:t>
      </w:r>
      <w:r w:rsidRPr="000D2C9B">
        <w:rPr>
          <w:rFonts w:eastAsia="Times New Roman" w:cs="Arial"/>
          <w:noProof/>
          <w:color w:val="000000"/>
          <w:shd w:val="clear" w:color="auto" w:fill="FFFFFF"/>
          <w:lang w:eastAsia="cs-CZ"/>
        </w:rPr>
        <w:t>.</w:t>
      </w:r>
      <w:r w:rsidRPr="000D2C9B">
        <w:t xml:space="preserve"> </w:t>
      </w:r>
      <w:r w:rsidRPr="000D2C9B">
        <w:rPr>
          <w:rFonts w:eastAsia="Times New Roman" w:cs="Arial"/>
          <w:noProof/>
          <w:color w:val="000000"/>
          <w:shd w:val="clear" w:color="auto" w:fill="FFFFFF"/>
          <w:lang w:eastAsia="cs-CZ"/>
        </w:rPr>
        <w:t>Tuto povinnost zajistí prodávající i u poddodavatelů, kteří se podílí na realizaci této smlouvy.</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eastAsia="Times New Roman" w:cs="Arial"/>
          <w:color w:val="000000"/>
          <w:lang w:eastAsia="cs-CZ"/>
        </w:rPr>
        <w:t xml:space="preserve">Prodávající je, dle </w:t>
      </w:r>
      <w:proofErr w:type="spellStart"/>
      <w:r w:rsidRPr="000D2C9B">
        <w:rPr>
          <w:rFonts w:eastAsia="Times New Roman" w:cs="Arial"/>
          <w:color w:val="000000"/>
          <w:lang w:eastAsia="cs-CZ"/>
        </w:rPr>
        <w:t>ust</w:t>
      </w:r>
      <w:proofErr w:type="spellEnd"/>
      <w:r w:rsidRPr="000D2C9B">
        <w:rPr>
          <w:rFonts w:eastAsia="Times New Roman" w:cs="Arial"/>
          <w:color w:val="000000"/>
          <w:lang w:eastAsia="cs-CZ"/>
        </w:rPr>
        <w:t>. § 2e zákona č. 320/2001 Sb., o finanční kontrole ve veřejné správě a o změně některých zákonů, v platném znění, osobou povinnou spolupůsobit při výkonu finanční kontroly.</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cs="Arial"/>
          <w:color w:val="000000" w:themeColor="text1"/>
        </w:rPr>
        <w:t>Prodávající prohlašuje, že mu je známa skutečnost, že není oprávněn podmínit tuto nabídku jakoukoliv protinabídkou, a to ani tehdy, vyžadovala-li by tak standardně nabízené obecné obchodní podmínky prodávajícího; prodávajícímu je známo, že k takovým ustanovení nebude kupující přihlížet a smluvní strany budou činit, jako by jich nebylo.</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rPr>
          <w:rFonts w:eastAsia="Times New Roman" w:cs="Arial"/>
          <w:noProof/>
          <w:lang w:eastAsia="cs-CZ"/>
        </w:rPr>
        <w:t xml:space="preserve">Smluvní strany prohlašují, že mezi nimi není pochyb o skutečnosti, že počátek běhu lhůty pro dodání zboží počíná běžet dnem </w:t>
      </w:r>
      <w:r>
        <w:rPr>
          <w:rFonts w:eastAsia="Times New Roman" w:cs="Arial"/>
          <w:noProof/>
          <w:lang w:eastAsia="cs-CZ"/>
        </w:rPr>
        <w:t>účinnosti</w:t>
      </w:r>
      <w:r w:rsidRPr="000D2C9B">
        <w:rPr>
          <w:rFonts w:eastAsia="Times New Roman" w:cs="Arial"/>
          <w:noProof/>
          <w:lang w:eastAsia="cs-CZ"/>
        </w:rPr>
        <w:t xml:space="preserve"> smlouvy.</w:t>
      </w:r>
    </w:p>
    <w:p w:rsidR="00386D47" w:rsidRPr="000D2C9B" w:rsidRDefault="00386D47" w:rsidP="00386D47">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D2C9B">
        <w:t>Tato smlouva nabývá platnosti okamžikem jejího podpisu oprávněnými zástupci obou smluvních stran.</w:t>
      </w:r>
    </w:p>
    <w:p w:rsidR="00386D47" w:rsidRPr="000D2C9B" w:rsidRDefault="00386D47" w:rsidP="00386D47">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rsidRPr="000D2C9B">
        <w:lastRenderedPageBreak/>
        <w:tab/>
        <w:t>Smluvní strany se výslovně dohodly, že tato smlouva nabývá účinnosti až po uveřejnění smlouvy podle zákona č. 340/2015 Sb., o registru smluv, ve znění pozdějších předpisů, není-li stanoveno datum pozdější (odkládací podmínka účinnosti ze zákona). Uveřejnění zajistí kupující. Smluvní strany s tímto uveřejněním souhlasí; pro účely uveřejnění nepovažují nic ze smlouvy ani z </w:t>
      </w:r>
      <w:proofErr w:type="spellStart"/>
      <w:r w:rsidRPr="000D2C9B">
        <w:t>metadat</w:t>
      </w:r>
      <w:proofErr w:type="spellEnd"/>
      <w:r w:rsidRPr="000D2C9B">
        <w:t xml:space="preserve"> k ní se vážících za vyloučené z uveřejnění. Bylo-li by ze smlouvy plněno ještě před její účinností, považuje se toto plnění pro účely smlouvy za zálohu.</w:t>
      </w:r>
    </w:p>
    <w:p w:rsidR="00386D47" w:rsidRPr="0049227F" w:rsidRDefault="00386D47" w:rsidP="00386D47">
      <w:pPr>
        <w:pStyle w:val="Odstavecseseznamem"/>
        <w:numPr>
          <w:ilvl w:val="0"/>
          <w:numId w:val="7"/>
        </w:numPr>
        <w:ind w:left="567" w:hanging="567"/>
      </w:pPr>
      <w:r w:rsidRPr="000D2C9B">
        <w:t xml:space="preserve">Nedílnou </w:t>
      </w:r>
      <w:r w:rsidRPr="003927B0">
        <w:t>součástí této smlouvy je její příloha A – technická</w:t>
      </w:r>
      <w:r w:rsidRPr="0049227F">
        <w:t xml:space="preserve"> specifikace, příloha B – nabídka prodávajícího č. </w:t>
      </w:r>
      <w:r>
        <w:rPr>
          <w:rFonts w:cs="Arial"/>
          <w:color w:val="000000" w:themeColor="text1"/>
        </w:rPr>
        <w:t>1104012128</w:t>
      </w:r>
      <w:r w:rsidRPr="0049227F">
        <w:t>.</w:t>
      </w:r>
    </w:p>
    <w:p w:rsidR="00386D47" w:rsidRDefault="00386D47" w:rsidP="00386D47">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Pr>
          <w:rFonts w:eastAsia="Times New Roman" w:cs="Arial"/>
          <w:noProof/>
          <w:lang w:eastAsia="cs-CZ"/>
        </w:rPr>
        <w:t>y</w:t>
      </w:r>
      <w:r w:rsidRPr="0019419A">
        <w:rPr>
          <w:rFonts w:eastAsia="Times New Roman" w:cs="Arial"/>
          <w:noProof/>
          <w:lang w:eastAsia="cs-CZ"/>
        </w:rPr>
        <w:t xml:space="preserve"> a její text odpovídá</w:t>
      </w:r>
      <w:r>
        <w:rPr>
          <w:rFonts w:eastAsia="Times New Roman" w:cs="Arial"/>
          <w:noProof/>
          <w:lang w:eastAsia="cs-CZ"/>
        </w:rPr>
        <w:t xml:space="preserve"> jejich</w:t>
      </w:r>
      <w:r w:rsidRPr="0019419A">
        <w:rPr>
          <w:rFonts w:eastAsia="Times New Roman" w:cs="Arial"/>
          <w:noProof/>
          <w:lang w:eastAsia="cs-CZ"/>
        </w:rPr>
        <w:t xml:space="preserve"> pravé a svobodné vůli</w:t>
      </w:r>
      <w:r>
        <w:rPr>
          <w:rFonts w:eastAsia="Times New Roman" w:cs="Arial"/>
          <w:noProof/>
          <w:lang w:eastAsia="cs-CZ"/>
        </w:rPr>
        <w:t>,</w:t>
      </w:r>
      <w:r>
        <w:rPr>
          <w:rFonts w:eastAsia="Times New Roman" w:cs="Arial"/>
          <w:color w:val="000000"/>
          <w:lang w:eastAsia="cs-CZ"/>
        </w:rPr>
        <w:t xml:space="preserve"> což potvrzují jejich zástupci svými</w:t>
      </w:r>
      <w:r w:rsidRPr="0019419A">
        <w:rPr>
          <w:rFonts w:eastAsia="Times New Roman" w:cs="Arial"/>
          <w:color w:val="000000"/>
          <w:lang w:eastAsia="cs-CZ"/>
        </w:rPr>
        <w:t xml:space="preserve"> podpisy:</w:t>
      </w:r>
    </w:p>
    <w:p w:rsidR="00386D47" w:rsidRPr="0019419A"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rsidR="00386D47"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rsidR="00386D47"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rsidR="00386D47"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rsidR="00386D47"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rsidR="00386D47" w:rsidRPr="0019419A"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rsidR="00386D47" w:rsidRPr="0019419A"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rsidR="00386D47" w:rsidRPr="0043142A"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p>
    <w:p w:rsidR="00386D47" w:rsidRPr="0043142A" w:rsidRDefault="00386D47" w:rsidP="00386D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r w:rsidRPr="0043142A">
        <w:rPr>
          <w:rFonts w:eastAsia="Times New Roman" w:cs="Arial"/>
          <w:color w:val="000000"/>
          <w:lang w:eastAsia="cs-CZ"/>
        </w:rPr>
        <w:tab/>
      </w:r>
      <w:bookmarkStart w:id="3" w:name="_GoBack"/>
      <w:bookmarkEnd w:id="3"/>
    </w:p>
    <w:p w:rsidR="00386D47" w:rsidRPr="000B611C" w:rsidRDefault="00386D47" w:rsidP="00386D47">
      <w:pPr>
        <w:keepNext/>
        <w:pageBreakBefore/>
        <w:jc w:val="center"/>
        <w:rPr>
          <w:rFonts w:cstheme="minorHAnsi"/>
          <w:b/>
          <w:sz w:val="28"/>
          <w:szCs w:val="32"/>
        </w:rPr>
      </w:pPr>
      <w:r w:rsidRPr="000B611C">
        <w:rPr>
          <w:rFonts w:cstheme="minorHAnsi"/>
          <w:b/>
          <w:sz w:val="28"/>
          <w:szCs w:val="32"/>
        </w:rPr>
        <w:lastRenderedPageBreak/>
        <w:t>Příloha A – Technická specifikace</w:t>
      </w:r>
    </w:p>
    <w:tbl>
      <w:tblPr>
        <w:tblStyle w:val="Mkatabulky"/>
        <w:tblW w:w="9351" w:type="dxa"/>
        <w:tblCellMar>
          <w:bottom w:w="57" w:type="dxa"/>
        </w:tblCellMar>
        <w:tblLook w:val="04A0" w:firstRow="1" w:lastRow="0" w:firstColumn="1" w:lastColumn="0" w:noHBand="0" w:noVBand="1"/>
      </w:tblPr>
      <w:tblGrid>
        <w:gridCol w:w="2830"/>
        <w:gridCol w:w="3190"/>
        <w:gridCol w:w="2055"/>
        <w:gridCol w:w="1276"/>
      </w:tblGrid>
      <w:tr w:rsidR="00386D47" w:rsidRPr="002E151F" w:rsidTr="009E32CF">
        <w:trPr>
          <w:trHeight w:val="523"/>
        </w:trPr>
        <w:tc>
          <w:tcPr>
            <w:tcW w:w="2830" w:type="dxa"/>
            <w:shd w:val="clear" w:color="auto" w:fill="E7E6E6" w:themeFill="background2"/>
            <w:vAlign w:val="center"/>
          </w:tcPr>
          <w:p w:rsidR="00386D47" w:rsidRPr="00405CF6" w:rsidRDefault="00386D47" w:rsidP="009E32CF">
            <w:pPr>
              <w:pStyle w:val="Standard"/>
              <w:rPr>
                <w:rFonts w:asciiTheme="minorHAnsi" w:hAnsiTheme="minorHAnsi" w:cstheme="minorHAnsi"/>
                <w:b/>
                <w:color w:val="auto"/>
                <w:sz w:val="22"/>
                <w:szCs w:val="22"/>
              </w:rPr>
            </w:pPr>
            <w:r w:rsidRPr="00405CF6">
              <w:rPr>
                <w:rFonts w:asciiTheme="minorHAnsi" w:hAnsiTheme="minorHAnsi" w:cstheme="minorHAnsi"/>
                <w:b/>
                <w:color w:val="auto"/>
                <w:sz w:val="22"/>
                <w:szCs w:val="22"/>
              </w:rPr>
              <w:t>Název technologie/ vybavení</w:t>
            </w:r>
          </w:p>
        </w:tc>
        <w:tc>
          <w:tcPr>
            <w:tcW w:w="6521" w:type="dxa"/>
            <w:gridSpan w:val="3"/>
            <w:vAlign w:val="center"/>
          </w:tcPr>
          <w:p w:rsidR="00386D47" w:rsidRPr="00405CF6" w:rsidRDefault="00386D47" w:rsidP="009E32CF">
            <w:pPr>
              <w:pStyle w:val="Standard"/>
              <w:rPr>
                <w:rFonts w:asciiTheme="minorHAnsi" w:hAnsiTheme="minorHAnsi" w:cstheme="minorHAnsi"/>
                <w:b/>
                <w:color w:val="auto"/>
                <w:sz w:val="22"/>
                <w:szCs w:val="22"/>
              </w:rPr>
            </w:pPr>
            <w:r w:rsidRPr="003927B0">
              <w:rPr>
                <w:rFonts w:asciiTheme="minorHAnsi" w:hAnsiTheme="minorHAnsi" w:cstheme="minorHAnsi"/>
                <w:b/>
                <w:color w:val="auto"/>
                <w:sz w:val="22"/>
                <w:szCs w:val="22"/>
              </w:rPr>
              <w:t>Kompenzační jednotka pro roboty</w:t>
            </w:r>
          </w:p>
        </w:tc>
      </w:tr>
      <w:tr w:rsidR="00386D47" w:rsidRPr="002E151F" w:rsidTr="009E32CF">
        <w:tc>
          <w:tcPr>
            <w:tcW w:w="2830" w:type="dxa"/>
            <w:tcBorders>
              <w:bottom w:val="single" w:sz="4" w:space="0" w:color="auto"/>
            </w:tcBorders>
            <w:shd w:val="clear" w:color="auto" w:fill="E7E6E6" w:themeFill="background2"/>
            <w:vAlign w:val="center"/>
          </w:tcPr>
          <w:p w:rsidR="00386D47" w:rsidRPr="00405CF6" w:rsidRDefault="00386D47" w:rsidP="009E32CF">
            <w:pPr>
              <w:pStyle w:val="Standard"/>
              <w:contextualSpacing/>
              <w:rPr>
                <w:rFonts w:asciiTheme="minorHAnsi" w:hAnsiTheme="minorHAnsi" w:cstheme="minorHAnsi"/>
                <w:color w:val="auto"/>
                <w:sz w:val="22"/>
                <w:szCs w:val="22"/>
              </w:rPr>
            </w:pPr>
            <w:r w:rsidRPr="00405CF6">
              <w:rPr>
                <w:rFonts w:asciiTheme="minorHAnsi" w:hAnsiTheme="minorHAnsi" w:cstheme="minorHAnsi"/>
                <w:b/>
                <w:color w:val="auto"/>
                <w:sz w:val="22"/>
                <w:szCs w:val="22"/>
              </w:rPr>
              <w:t>Odborná charakteristika</w:t>
            </w:r>
            <w:r w:rsidRPr="00405CF6">
              <w:rPr>
                <w:rFonts w:asciiTheme="minorHAnsi" w:hAnsiTheme="minorHAnsi" w:cstheme="minorHAnsi"/>
                <w:color w:val="auto"/>
                <w:sz w:val="22"/>
                <w:szCs w:val="22"/>
              </w:rPr>
              <w:t xml:space="preserve"> </w:t>
            </w:r>
          </w:p>
          <w:p w:rsidR="00386D47" w:rsidRPr="00405CF6" w:rsidRDefault="00386D47" w:rsidP="009E32CF">
            <w:pPr>
              <w:pStyle w:val="Standard"/>
              <w:contextualSpacing/>
              <w:rPr>
                <w:rFonts w:asciiTheme="minorHAnsi" w:hAnsiTheme="minorHAnsi" w:cstheme="minorHAnsi"/>
                <w:color w:val="auto"/>
                <w:sz w:val="22"/>
                <w:szCs w:val="22"/>
              </w:rPr>
            </w:pPr>
          </w:p>
        </w:tc>
        <w:tc>
          <w:tcPr>
            <w:tcW w:w="6521" w:type="dxa"/>
            <w:gridSpan w:val="3"/>
            <w:tcBorders>
              <w:bottom w:val="single" w:sz="4" w:space="0" w:color="auto"/>
            </w:tcBorders>
          </w:tcPr>
          <w:p w:rsidR="00386D47" w:rsidRPr="00405CF6" w:rsidRDefault="00386D47" w:rsidP="009E32CF">
            <w:pPr>
              <w:pStyle w:val="Standard"/>
              <w:contextualSpacing/>
              <w:jc w:val="both"/>
              <w:rPr>
                <w:rFonts w:asciiTheme="minorHAnsi" w:hAnsiTheme="minorHAnsi" w:cstheme="minorHAnsi"/>
                <w:color w:val="auto"/>
                <w:sz w:val="22"/>
                <w:szCs w:val="22"/>
              </w:rPr>
            </w:pPr>
            <w:r w:rsidRPr="003927B0">
              <w:rPr>
                <w:rStyle w:val="normaltextrun"/>
                <w:rFonts w:asciiTheme="minorHAnsi" w:eastAsiaTheme="majorEastAsia" w:hAnsiTheme="minorHAnsi" w:cstheme="minorHAnsi"/>
                <w:sz w:val="22"/>
                <w:szCs w:val="22"/>
                <w:shd w:val="clear" w:color="auto" w:fill="FFFFFF"/>
              </w:rPr>
              <w:t>Jedná se o příslušenství k robotům, které umožňuje rozšíření funkčnosti samotného robotu. Kompenzační jednotka umožňuje realizaci přesné montáže, kde je potřeba kompenzovat samotné dráhové nepřesnosti robotu pro docílení úspěšného provedení výsledku. Zároveň jednotka řeší kolizní ochranu nesené technologie při nežádoucí kolizi s okolním prostředím. Jednotka zajišťuje identifikaci kolizního stavu a poskytuje robotu kompenzační dráhu, který zajistí zastavení robotu na dané nekolizní dráze a tím ochrání samotné robotické rameno i nesenou technologii.</w:t>
            </w:r>
          </w:p>
        </w:tc>
      </w:tr>
      <w:tr w:rsidR="00386D47" w:rsidRPr="002E151F" w:rsidTr="009E32CF">
        <w:tc>
          <w:tcPr>
            <w:tcW w:w="2830" w:type="dxa"/>
            <w:tcBorders>
              <w:bottom w:val="nil"/>
            </w:tcBorders>
            <w:shd w:val="clear" w:color="auto" w:fill="E7E6E6" w:themeFill="background2"/>
            <w:vAlign w:val="center"/>
          </w:tcPr>
          <w:p w:rsidR="00386D47" w:rsidRPr="00405CF6" w:rsidRDefault="00386D47" w:rsidP="009E32CF">
            <w:pPr>
              <w:pStyle w:val="Standard"/>
              <w:contextualSpacing/>
              <w:rPr>
                <w:rFonts w:asciiTheme="minorHAnsi" w:hAnsiTheme="minorHAnsi" w:cstheme="minorHAnsi"/>
                <w:b/>
                <w:color w:val="auto"/>
                <w:sz w:val="22"/>
                <w:szCs w:val="22"/>
              </w:rPr>
            </w:pPr>
            <w:r w:rsidRPr="00405CF6">
              <w:rPr>
                <w:rFonts w:asciiTheme="minorHAnsi" w:hAnsiTheme="minorHAnsi" w:cstheme="minorHAnsi"/>
                <w:b/>
                <w:color w:val="auto"/>
                <w:sz w:val="22"/>
                <w:szCs w:val="22"/>
              </w:rPr>
              <w:t>Účel pořizovaného vybavení</w:t>
            </w:r>
          </w:p>
          <w:p w:rsidR="00386D47" w:rsidRPr="00405CF6" w:rsidRDefault="00386D47" w:rsidP="009E32CF">
            <w:pPr>
              <w:pStyle w:val="Standard"/>
              <w:contextualSpacing/>
              <w:rPr>
                <w:rFonts w:asciiTheme="minorHAnsi" w:hAnsiTheme="minorHAnsi" w:cstheme="minorHAnsi"/>
                <w:color w:val="auto"/>
                <w:sz w:val="22"/>
                <w:szCs w:val="22"/>
              </w:rPr>
            </w:pPr>
          </w:p>
        </w:tc>
        <w:tc>
          <w:tcPr>
            <w:tcW w:w="6521" w:type="dxa"/>
            <w:gridSpan w:val="3"/>
            <w:tcBorders>
              <w:bottom w:val="nil"/>
            </w:tcBorders>
          </w:tcPr>
          <w:p w:rsidR="00386D47" w:rsidRPr="003927B0" w:rsidRDefault="00386D47" w:rsidP="009E32CF">
            <w:pPr>
              <w:pStyle w:val="Standard"/>
              <w:contextualSpacing/>
              <w:jc w:val="both"/>
              <w:rPr>
                <w:rStyle w:val="normaltextrun"/>
                <w:rFonts w:eastAsiaTheme="majorEastAsia"/>
                <w:shd w:val="clear" w:color="auto" w:fill="FFFFFF"/>
              </w:rPr>
            </w:pPr>
            <w:r w:rsidRPr="003927B0">
              <w:rPr>
                <w:rStyle w:val="normaltextrun"/>
                <w:rFonts w:asciiTheme="minorHAnsi" w:eastAsiaTheme="majorEastAsia" w:hAnsiTheme="minorHAnsi" w:cstheme="minorHAnsi"/>
                <w:sz w:val="22"/>
                <w:szCs w:val="22"/>
                <w:shd w:val="clear" w:color="auto" w:fill="FFFFFF"/>
              </w:rPr>
              <w:t>Účelem pořízení je dovybavení dříve dodaných robotických ramen (</w:t>
            </w:r>
            <w:proofErr w:type="spellStart"/>
            <w:r w:rsidRPr="003927B0">
              <w:rPr>
                <w:rStyle w:val="normaltextrun"/>
                <w:rFonts w:asciiTheme="minorHAnsi" w:eastAsiaTheme="majorEastAsia" w:hAnsiTheme="minorHAnsi" w:cstheme="minorHAnsi"/>
                <w:sz w:val="22"/>
                <w:szCs w:val="22"/>
                <w:shd w:val="clear" w:color="auto" w:fill="FFFFFF"/>
              </w:rPr>
              <w:t>Fanuc</w:t>
            </w:r>
            <w:proofErr w:type="spellEnd"/>
            <w:r w:rsidRPr="003927B0">
              <w:rPr>
                <w:rStyle w:val="normaltextrun"/>
                <w:rFonts w:asciiTheme="minorHAnsi" w:eastAsiaTheme="majorEastAsia" w:hAnsiTheme="minorHAnsi" w:cstheme="minorHAnsi"/>
                <w:sz w:val="22"/>
                <w:szCs w:val="22"/>
                <w:shd w:val="clear" w:color="auto" w:fill="FFFFFF"/>
              </w:rPr>
              <w:t xml:space="preserve"> CRX10i, ABB </w:t>
            </w:r>
            <w:proofErr w:type="spellStart"/>
            <w:r w:rsidRPr="003927B0">
              <w:rPr>
                <w:rStyle w:val="normaltextrun"/>
                <w:rFonts w:asciiTheme="minorHAnsi" w:eastAsiaTheme="majorEastAsia" w:hAnsiTheme="minorHAnsi" w:cstheme="minorHAnsi"/>
                <w:sz w:val="22"/>
                <w:szCs w:val="22"/>
                <w:shd w:val="clear" w:color="auto" w:fill="FFFFFF"/>
              </w:rPr>
              <w:t>GoFa</w:t>
            </w:r>
            <w:proofErr w:type="spellEnd"/>
            <w:r w:rsidRPr="003927B0">
              <w:rPr>
                <w:rStyle w:val="normaltextrun"/>
                <w:rFonts w:asciiTheme="minorHAnsi" w:eastAsiaTheme="majorEastAsia" w:hAnsiTheme="minorHAnsi" w:cstheme="minorHAnsi"/>
                <w:sz w:val="22"/>
                <w:szCs w:val="22"/>
                <w:shd w:val="clear" w:color="auto" w:fill="FFFFFF"/>
              </w:rPr>
              <w:t xml:space="preserve"> CRB 15000, Kuka </w:t>
            </w:r>
            <w:proofErr w:type="spellStart"/>
            <w:r w:rsidRPr="003927B0">
              <w:rPr>
                <w:rStyle w:val="normaltextrun"/>
                <w:rFonts w:asciiTheme="minorHAnsi" w:eastAsiaTheme="majorEastAsia" w:hAnsiTheme="minorHAnsi" w:cstheme="minorHAnsi"/>
                <w:sz w:val="22"/>
                <w:szCs w:val="22"/>
                <w:shd w:val="clear" w:color="auto" w:fill="FFFFFF"/>
              </w:rPr>
              <w:t>iiwa</w:t>
            </w:r>
            <w:proofErr w:type="spellEnd"/>
            <w:r w:rsidRPr="003927B0">
              <w:rPr>
                <w:rStyle w:val="normaltextrun"/>
                <w:rFonts w:asciiTheme="minorHAnsi" w:eastAsiaTheme="majorEastAsia" w:hAnsiTheme="minorHAnsi" w:cstheme="minorHAnsi"/>
                <w:sz w:val="22"/>
                <w:szCs w:val="22"/>
                <w:shd w:val="clear" w:color="auto" w:fill="FFFFFF"/>
              </w:rPr>
              <w:t xml:space="preserve"> 14, </w:t>
            </w:r>
            <w:proofErr w:type="spellStart"/>
            <w:r w:rsidRPr="003927B0">
              <w:rPr>
                <w:rStyle w:val="normaltextrun"/>
                <w:rFonts w:asciiTheme="minorHAnsi" w:eastAsiaTheme="majorEastAsia" w:hAnsiTheme="minorHAnsi" w:cstheme="minorHAnsi"/>
                <w:sz w:val="22"/>
                <w:szCs w:val="22"/>
                <w:shd w:val="clear" w:color="auto" w:fill="FFFFFF"/>
              </w:rPr>
              <w:t>Staubli</w:t>
            </w:r>
            <w:proofErr w:type="spellEnd"/>
            <w:r w:rsidRPr="003927B0">
              <w:rPr>
                <w:rStyle w:val="normaltextrun"/>
                <w:rFonts w:asciiTheme="minorHAnsi" w:eastAsiaTheme="majorEastAsia" w:hAnsiTheme="minorHAnsi" w:cstheme="minorHAnsi"/>
                <w:sz w:val="22"/>
                <w:szCs w:val="22"/>
                <w:shd w:val="clear" w:color="auto" w:fill="FFFFFF"/>
              </w:rPr>
              <w:t xml:space="preserve"> TX2-90, Kuka </w:t>
            </w:r>
            <w:proofErr w:type="spellStart"/>
            <w:r w:rsidRPr="003927B0">
              <w:rPr>
                <w:rStyle w:val="normaltextrun"/>
                <w:rFonts w:asciiTheme="minorHAnsi" w:eastAsiaTheme="majorEastAsia" w:hAnsiTheme="minorHAnsi" w:cstheme="minorHAnsi"/>
                <w:sz w:val="22"/>
                <w:szCs w:val="22"/>
                <w:shd w:val="clear" w:color="auto" w:fill="FFFFFF"/>
              </w:rPr>
              <w:t>Agilus</w:t>
            </w:r>
            <w:proofErr w:type="spellEnd"/>
            <w:r w:rsidRPr="003927B0">
              <w:rPr>
                <w:rStyle w:val="normaltextrun"/>
                <w:rFonts w:asciiTheme="minorHAnsi" w:eastAsiaTheme="majorEastAsia" w:hAnsiTheme="minorHAnsi" w:cstheme="minorHAnsi"/>
                <w:sz w:val="22"/>
                <w:szCs w:val="22"/>
                <w:shd w:val="clear" w:color="auto" w:fill="FFFFFF"/>
              </w:rPr>
              <w:t xml:space="preserve"> KR10-R1100-2) o příslušenství v podobě kompenzační jednotky. Kompenzační jednotka je kompatibilní se všemi výše uvedenými roboty a lze ji na tyto roboty nasadit a využívat. Díky tomuto vybavení bude možné realizovat manipulační operace, které vyžadují zvýšené požadavky na přesnou montáž a zároveň vyžadují ochránění nesené technologie (chapadlo, snímače, nesený dílec, atd.) před kolizí s okolním prostředím. Kompenzační jednotka zároveň umožňuje monitoring kompenzací v jednotlivých osách. Tato data je možné sbírat a dále vyhodnocovat ve vazbě na samotný montážní proces a ve vazbě na koncept moderní a datově podložené výroby.</w:t>
            </w:r>
          </w:p>
        </w:tc>
      </w:tr>
      <w:tr w:rsidR="00386D47" w:rsidRPr="002E151F" w:rsidTr="009E32CF">
        <w:tc>
          <w:tcPr>
            <w:tcW w:w="2830" w:type="dxa"/>
            <w:vMerge w:val="restart"/>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b/>
                <w:color w:val="auto"/>
                <w:sz w:val="22"/>
                <w:szCs w:val="22"/>
              </w:rPr>
            </w:pPr>
            <w:r w:rsidRPr="003927B0">
              <w:rPr>
                <w:rFonts w:asciiTheme="minorHAnsi" w:hAnsiTheme="minorHAnsi" w:cstheme="minorHAnsi"/>
                <w:b/>
                <w:color w:val="auto"/>
                <w:sz w:val="22"/>
                <w:szCs w:val="22"/>
              </w:rPr>
              <w:t xml:space="preserve">Technické parametry: </w:t>
            </w:r>
          </w:p>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 nejdůležitější minimální vč. konkrétních hodnot</w:t>
            </w:r>
          </w:p>
        </w:tc>
        <w:tc>
          <w:tcPr>
            <w:tcW w:w="3190" w:type="dxa"/>
            <w:shd w:val="clear" w:color="auto" w:fill="E7E6E6" w:themeFill="background2"/>
          </w:tcPr>
          <w:p w:rsidR="00386D47" w:rsidRPr="003927B0" w:rsidRDefault="00386D47" w:rsidP="009E32CF">
            <w:pPr>
              <w:pStyle w:val="Standard"/>
              <w:contextualSpacing/>
              <w:jc w:val="center"/>
              <w:rPr>
                <w:rFonts w:asciiTheme="minorHAnsi" w:hAnsiTheme="minorHAnsi" w:cstheme="minorHAnsi"/>
                <w:b/>
                <w:color w:val="auto"/>
                <w:sz w:val="22"/>
                <w:szCs w:val="22"/>
              </w:rPr>
            </w:pPr>
            <w:r w:rsidRPr="003927B0">
              <w:rPr>
                <w:rFonts w:asciiTheme="minorHAnsi" w:hAnsiTheme="minorHAnsi" w:cstheme="minorHAnsi"/>
                <w:b/>
                <w:color w:val="auto"/>
                <w:sz w:val="22"/>
                <w:szCs w:val="22"/>
              </w:rPr>
              <w:t>Popis parametru:</w:t>
            </w:r>
          </w:p>
        </w:tc>
        <w:tc>
          <w:tcPr>
            <w:tcW w:w="2055" w:type="dxa"/>
            <w:shd w:val="clear" w:color="auto" w:fill="E7E6E6" w:themeFill="background2"/>
          </w:tcPr>
          <w:p w:rsidR="00386D47" w:rsidRPr="003927B0" w:rsidRDefault="00386D47" w:rsidP="009E32CF">
            <w:pPr>
              <w:pStyle w:val="Standard"/>
              <w:contextualSpacing/>
              <w:jc w:val="center"/>
              <w:rPr>
                <w:rFonts w:asciiTheme="minorHAnsi" w:hAnsiTheme="minorHAnsi" w:cstheme="minorHAnsi"/>
                <w:b/>
                <w:color w:val="auto"/>
                <w:sz w:val="22"/>
                <w:szCs w:val="22"/>
              </w:rPr>
            </w:pPr>
            <w:r w:rsidRPr="003927B0">
              <w:rPr>
                <w:rFonts w:asciiTheme="minorHAnsi" w:hAnsiTheme="minorHAnsi" w:cstheme="minorHAnsi"/>
                <w:b/>
                <w:color w:val="auto"/>
                <w:sz w:val="22"/>
                <w:szCs w:val="22"/>
              </w:rPr>
              <w:t>Požadovaná hodnota:</w:t>
            </w:r>
          </w:p>
        </w:tc>
        <w:tc>
          <w:tcPr>
            <w:tcW w:w="1276" w:type="dxa"/>
            <w:shd w:val="clear" w:color="auto" w:fill="E7E6E6" w:themeFill="background2"/>
          </w:tcPr>
          <w:p w:rsidR="00386D47" w:rsidRPr="003927B0" w:rsidRDefault="00386D47" w:rsidP="009E32CF">
            <w:pPr>
              <w:pStyle w:val="Standard"/>
              <w:contextualSpacing/>
              <w:jc w:val="center"/>
              <w:rPr>
                <w:rFonts w:asciiTheme="minorHAnsi" w:hAnsiTheme="minorHAnsi" w:cstheme="minorHAnsi"/>
                <w:b/>
                <w:color w:val="auto"/>
                <w:sz w:val="22"/>
                <w:szCs w:val="22"/>
              </w:rPr>
            </w:pPr>
            <w:r w:rsidRPr="003927B0">
              <w:rPr>
                <w:rFonts w:asciiTheme="minorHAnsi" w:hAnsiTheme="minorHAnsi" w:cstheme="minorHAnsi"/>
                <w:b/>
                <w:color w:val="auto"/>
                <w:sz w:val="22"/>
                <w:szCs w:val="22"/>
              </w:rPr>
              <w:t>Závaznost:</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color w:val="auto"/>
                <w:sz w:val="22"/>
                <w:szCs w:val="22"/>
              </w:rPr>
            </w:pPr>
          </w:p>
        </w:tc>
        <w:tc>
          <w:tcPr>
            <w:tcW w:w="3190"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 xml:space="preserve">Počet kompenzovaných os  </w:t>
            </w:r>
          </w:p>
        </w:tc>
        <w:tc>
          <w:tcPr>
            <w:tcW w:w="2055"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3 translace, 3 rotace</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ANO</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color w:val="auto"/>
                <w:sz w:val="22"/>
                <w:szCs w:val="22"/>
              </w:rPr>
            </w:pPr>
          </w:p>
        </w:tc>
        <w:tc>
          <w:tcPr>
            <w:tcW w:w="3190"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Počet monitorovaných os</w:t>
            </w:r>
          </w:p>
        </w:tc>
        <w:tc>
          <w:tcPr>
            <w:tcW w:w="2055"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6</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ANO</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color w:val="auto"/>
                <w:sz w:val="22"/>
                <w:szCs w:val="22"/>
              </w:rPr>
            </w:pPr>
          </w:p>
        </w:tc>
        <w:tc>
          <w:tcPr>
            <w:tcW w:w="3190"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Frekvence snímání dat</w:t>
            </w:r>
          </w:p>
        </w:tc>
        <w:tc>
          <w:tcPr>
            <w:tcW w:w="2055"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20ms nebo méně</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ANO</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color w:val="auto"/>
                <w:sz w:val="22"/>
                <w:szCs w:val="22"/>
              </w:rPr>
            </w:pPr>
          </w:p>
        </w:tc>
        <w:tc>
          <w:tcPr>
            <w:tcW w:w="3190"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Kompenzace v ose X, Y</w:t>
            </w:r>
          </w:p>
        </w:tc>
        <w:tc>
          <w:tcPr>
            <w:tcW w:w="2055" w:type="dxa"/>
          </w:tcPr>
          <w:p w:rsidR="00386D47" w:rsidRPr="003927B0" w:rsidDel="009F2E68"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Min +/- 2 mm</w:t>
            </w:r>
          </w:p>
        </w:tc>
        <w:tc>
          <w:tcPr>
            <w:tcW w:w="1276" w:type="dxa"/>
          </w:tcPr>
          <w:p w:rsidR="00386D47" w:rsidRPr="003927B0" w:rsidDel="009F2E68"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ANO</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color w:val="auto"/>
                <w:sz w:val="22"/>
                <w:szCs w:val="22"/>
              </w:rPr>
            </w:pPr>
          </w:p>
        </w:tc>
        <w:tc>
          <w:tcPr>
            <w:tcW w:w="3190"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Kompenzace v ose Z</w:t>
            </w:r>
          </w:p>
        </w:tc>
        <w:tc>
          <w:tcPr>
            <w:tcW w:w="2055"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Min 0 až 2 mm</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ANO</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color w:val="auto"/>
                <w:sz w:val="22"/>
                <w:szCs w:val="22"/>
              </w:rPr>
            </w:pPr>
          </w:p>
        </w:tc>
        <w:tc>
          <w:tcPr>
            <w:tcW w:w="3190"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Kompenzace úhlu v X, Y</w:t>
            </w:r>
          </w:p>
        </w:tc>
        <w:tc>
          <w:tcPr>
            <w:tcW w:w="2055"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 xml:space="preserve">Min +/- 3° </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ANO</w:t>
            </w:r>
          </w:p>
        </w:tc>
      </w:tr>
      <w:tr w:rsidR="00386D47" w:rsidRPr="002E151F" w:rsidTr="009E32CF">
        <w:tc>
          <w:tcPr>
            <w:tcW w:w="2830" w:type="dxa"/>
            <w:vMerge w:val="restart"/>
            <w:shd w:val="clear" w:color="auto" w:fill="E7E6E6" w:themeFill="background2"/>
            <w:vAlign w:val="center"/>
          </w:tcPr>
          <w:p w:rsidR="00386D47" w:rsidRPr="003927B0" w:rsidRDefault="00386D47" w:rsidP="009E32CF">
            <w:pPr>
              <w:pStyle w:val="Standard"/>
              <w:contextualSpacing/>
              <w:rPr>
                <w:rFonts w:cstheme="minorHAnsi"/>
                <w:b/>
                <w:sz w:val="22"/>
                <w:szCs w:val="22"/>
              </w:rPr>
            </w:pPr>
          </w:p>
          <w:p w:rsidR="00386D47" w:rsidRPr="003927B0" w:rsidRDefault="00386D47" w:rsidP="009E32CF">
            <w:pPr>
              <w:pStyle w:val="Standard"/>
              <w:contextualSpacing/>
              <w:rPr>
                <w:rFonts w:asciiTheme="minorHAnsi" w:hAnsiTheme="minorHAnsi" w:cstheme="minorHAnsi"/>
                <w:b/>
                <w:color w:val="auto"/>
                <w:sz w:val="22"/>
                <w:szCs w:val="22"/>
              </w:rPr>
            </w:pPr>
            <w:r w:rsidRPr="003927B0">
              <w:rPr>
                <w:rFonts w:asciiTheme="minorHAnsi" w:hAnsiTheme="minorHAnsi" w:cstheme="minorHAnsi"/>
                <w:b/>
                <w:color w:val="auto"/>
                <w:sz w:val="22"/>
                <w:szCs w:val="22"/>
              </w:rPr>
              <w:t>Výbava</w:t>
            </w:r>
          </w:p>
        </w:tc>
        <w:tc>
          <w:tcPr>
            <w:tcW w:w="5245" w:type="dxa"/>
            <w:gridSpan w:val="2"/>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Kompenzace úhlu v Z</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 xml:space="preserve">Min +/- 5° </w:t>
            </w:r>
          </w:p>
        </w:tc>
      </w:tr>
      <w:tr w:rsidR="00386D47" w:rsidRPr="002E151F" w:rsidTr="009E32CF">
        <w:tc>
          <w:tcPr>
            <w:tcW w:w="2830" w:type="dxa"/>
            <w:vMerge/>
            <w:shd w:val="clear" w:color="auto" w:fill="E7E6E6" w:themeFill="background2"/>
            <w:vAlign w:val="center"/>
          </w:tcPr>
          <w:p w:rsidR="00386D47" w:rsidRPr="003927B0" w:rsidRDefault="00386D47" w:rsidP="009E32CF">
            <w:pPr>
              <w:contextualSpacing/>
              <w:rPr>
                <w:rFonts w:asciiTheme="minorHAnsi" w:hAnsiTheme="minorHAnsi" w:cstheme="minorHAnsi"/>
                <w:sz w:val="22"/>
                <w:szCs w:val="22"/>
              </w:rPr>
            </w:pPr>
          </w:p>
        </w:tc>
        <w:tc>
          <w:tcPr>
            <w:tcW w:w="5245" w:type="dxa"/>
            <w:gridSpan w:val="2"/>
          </w:tcPr>
          <w:p w:rsidR="00386D47" w:rsidRPr="003927B0" w:rsidRDefault="00386D47" w:rsidP="009E32CF">
            <w:pPr>
              <w:pStyle w:val="Standard"/>
              <w:contextualSpacing/>
              <w:rPr>
                <w:rFonts w:asciiTheme="minorHAnsi" w:hAnsiTheme="minorHAnsi" w:cstheme="minorHAnsi"/>
                <w:sz w:val="22"/>
                <w:szCs w:val="22"/>
              </w:rPr>
            </w:pPr>
            <w:r w:rsidRPr="003927B0">
              <w:rPr>
                <w:rFonts w:asciiTheme="minorHAnsi" w:hAnsiTheme="minorHAnsi" w:cstheme="minorHAnsi"/>
                <w:color w:val="auto"/>
                <w:sz w:val="22"/>
                <w:szCs w:val="22"/>
              </w:rPr>
              <w:t xml:space="preserve">Nosnost kompenzační jednotky </w:t>
            </w:r>
          </w:p>
        </w:tc>
        <w:tc>
          <w:tcPr>
            <w:tcW w:w="1276" w:type="dxa"/>
          </w:tcPr>
          <w:p w:rsidR="00386D47" w:rsidRPr="003927B0" w:rsidRDefault="00386D47" w:rsidP="009E32CF">
            <w:pPr>
              <w:contextualSpacing/>
              <w:rPr>
                <w:rFonts w:asciiTheme="minorHAnsi" w:hAnsiTheme="minorHAnsi" w:cstheme="minorHAnsi"/>
                <w:sz w:val="22"/>
                <w:szCs w:val="22"/>
              </w:rPr>
            </w:pPr>
            <w:r w:rsidRPr="003927B0">
              <w:rPr>
                <w:rFonts w:asciiTheme="minorHAnsi" w:hAnsiTheme="minorHAnsi" w:cstheme="minorHAnsi"/>
                <w:sz w:val="22"/>
                <w:szCs w:val="22"/>
              </w:rPr>
              <w:t>Min 6kg</w:t>
            </w:r>
          </w:p>
        </w:tc>
      </w:tr>
      <w:tr w:rsidR="00386D47" w:rsidRPr="002E151F" w:rsidTr="009E32CF">
        <w:tc>
          <w:tcPr>
            <w:tcW w:w="2830" w:type="dxa"/>
            <w:vMerge/>
            <w:shd w:val="clear" w:color="auto" w:fill="E7E6E6" w:themeFill="background2"/>
            <w:vAlign w:val="center"/>
          </w:tcPr>
          <w:p w:rsidR="00386D47" w:rsidRPr="003927B0" w:rsidRDefault="00386D47" w:rsidP="009E32CF">
            <w:pPr>
              <w:contextualSpacing/>
              <w:rPr>
                <w:rFonts w:asciiTheme="minorHAnsi" w:hAnsiTheme="minorHAnsi" w:cstheme="minorHAnsi"/>
                <w:sz w:val="22"/>
                <w:szCs w:val="22"/>
              </w:rPr>
            </w:pPr>
          </w:p>
        </w:tc>
        <w:tc>
          <w:tcPr>
            <w:tcW w:w="5245" w:type="dxa"/>
            <w:gridSpan w:val="2"/>
          </w:tcPr>
          <w:p w:rsidR="00386D47" w:rsidRPr="003927B0" w:rsidRDefault="00386D47" w:rsidP="009E32CF">
            <w:pPr>
              <w:pStyle w:val="Standard"/>
              <w:contextualSpacing/>
              <w:rPr>
                <w:rFonts w:asciiTheme="minorHAnsi" w:hAnsiTheme="minorHAnsi" w:cstheme="minorHAnsi"/>
                <w:sz w:val="22"/>
                <w:szCs w:val="22"/>
              </w:rPr>
            </w:pPr>
            <w:r w:rsidRPr="003927B0">
              <w:rPr>
                <w:rFonts w:asciiTheme="minorHAnsi" w:hAnsiTheme="minorHAnsi" w:cstheme="minorHAnsi"/>
                <w:color w:val="auto"/>
                <w:sz w:val="22"/>
                <w:szCs w:val="22"/>
              </w:rPr>
              <w:t>Dovolené momentové zatížení</w:t>
            </w:r>
          </w:p>
        </w:tc>
        <w:tc>
          <w:tcPr>
            <w:tcW w:w="1276" w:type="dxa"/>
          </w:tcPr>
          <w:p w:rsidR="00386D47" w:rsidRPr="003927B0" w:rsidRDefault="00386D47" w:rsidP="009E32CF">
            <w:pPr>
              <w:contextualSpacing/>
              <w:rPr>
                <w:rFonts w:asciiTheme="minorHAnsi" w:hAnsiTheme="minorHAnsi" w:cstheme="minorHAnsi"/>
                <w:sz w:val="22"/>
                <w:szCs w:val="22"/>
              </w:rPr>
            </w:pPr>
            <w:r w:rsidRPr="003927B0">
              <w:rPr>
                <w:rFonts w:asciiTheme="minorHAnsi" w:hAnsiTheme="minorHAnsi" w:cstheme="minorHAnsi"/>
                <w:sz w:val="22"/>
                <w:szCs w:val="22"/>
              </w:rPr>
              <w:t xml:space="preserve">10 </w:t>
            </w:r>
            <w:proofErr w:type="spellStart"/>
            <w:r w:rsidRPr="003927B0">
              <w:rPr>
                <w:rFonts w:asciiTheme="minorHAnsi" w:hAnsiTheme="minorHAnsi" w:cstheme="minorHAnsi"/>
                <w:sz w:val="22"/>
                <w:szCs w:val="22"/>
              </w:rPr>
              <w:t>Nm</w:t>
            </w:r>
            <w:proofErr w:type="spellEnd"/>
            <w:r w:rsidRPr="003927B0">
              <w:rPr>
                <w:rFonts w:asciiTheme="minorHAnsi" w:hAnsiTheme="minorHAnsi" w:cstheme="minorHAnsi"/>
                <w:sz w:val="22"/>
                <w:szCs w:val="22"/>
              </w:rPr>
              <w:t xml:space="preserve"> nebo více</w:t>
            </w:r>
          </w:p>
        </w:tc>
      </w:tr>
      <w:tr w:rsidR="00386D47" w:rsidRPr="002E151F" w:rsidTr="009E32CF">
        <w:tc>
          <w:tcPr>
            <w:tcW w:w="2830" w:type="dxa"/>
            <w:vMerge/>
            <w:shd w:val="clear" w:color="auto" w:fill="E7E6E6" w:themeFill="background2"/>
            <w:vAlign w:val="center"/>
          </w:tcPr>
          <w:p w:rsidR="00386D47" w:rsidRPr="003927B0" w:rsidRDefault="00386D47" w:rsidP="009E32CF">
            <w:pPr>
              <w:contextualSpacing/>
              <w:rPr>
                <w:rFonts w:asciiTheme="minorHAnsi" w:hAnsiTheme="minorHAnsi" w:cstheme="minorHAnsi"/>
                <w:sz w:val="22"/>
                <w:szCs w:val="22"/>
              </w:rPr>
            </w:pPr>
          </w:p>
        </w:tc>
        <w:tc>
          <w:tcPr>
            <w:tcW w:w="5245" w:type="dxa"/>
            <w:gridSpan w:val="2"/>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 xml:space="preserve">Napájení </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24V DC</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sz w:val="22"/>
                <w:szCs w:val="22"/>
              </w:rPr>
            </w:pPr>
          </w:p>
        </w:tc>
        <w:tc>
          <w:tcPr>
            <w:tcW w:w="5245" w:type="dxa"/>
            <w:gridSpan w:val="2"/>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 xml:space="preserve">Adaptér na </w:t>
            </w:r>
            <w:proofErr w:type="spellStart"/>
            <w:r w:rsidRPr="003927B0">
              <w:rPr>
                <w:rFonts w:asciiTheme="minorHAnsi" w:hAnsiTheme="minorHAnsi" w:cstheme="minorHAnsi"/>
                <w:color w:val="auto"/>
                <w:sz w:val="22"/>
                <w:szCs w:val="22"/>
              </w:rPr>
              <w:t>flange</w:t>
            </w:r>
            <w:proofErr w:type="spellEnd"/>
            <w:r w:rsidRPr="003927B0">
              <w:rPr>
                <w:rFonts w:asciiTheme="minorHAnsi" w:hAnsiTheme="minorHAnsi" w:cstheme="minorHAnsi"/>
                <w:color w:val="auto"/>
                <w:sz w:val="22"/>
                <w:szCs w:val="22"/>
              </w:rPr>
              <w:t xml:space="preserve"> robotu: ISO 9409-40-4-M6</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Podmínka</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sz w:val="22"/>
                <w:szCs w:val="22"/>
              </w:rPr>
            </w:pPr>
          </w:p>
        </w:tc>
        <w:tc>
          <w:tcPr>
            <w:tcW w:w="5245" w:type="dxa"/>
            <w:gridSpan w:val="2"/>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Adaptér na nástroj: ISO 9409-40-4-M6</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Podmínka</w:t>
            </w:r>
          </w:p>
        </w:tc>
      </w:tr>
      <w:tr w:rsidR="00386D47" w:rsidRPr="002E151F" w:rsidTr="009E32CF">
        <w:tc>
          <w:tcPr>
            <w:tcW w:w="2830" w:type="dxa"/>
            <w:vMerge/>
            <w:shd w:val="clear" w:color="auto" w:fill="E7E6E6" w:themeFill="background2"/>
            <w:vAlign w:val="center"/>
          </w:tcPr>
          <w:p w:rsidR="00386D47" w:rsidRPr="003927B0" w:rsidRDefault="00386D47" w:rsidP="009E32CF">
            <w:pPr>
              <w:pStyle w:val="Standard"/>
              <w:contextualSpacing/>
              <w:rPr>
                <w:rFonts w:asciiTheme="minorHAnsi" w:hAnsiTheme="minorHAnsi" w:cstheme="minorHAnsi"/>
                <w:sz w:val="22"/>
                <w:szCs w:val="22"/>
              </w:rPr>
            </w:pPr>
          </w:p>
        </w:tc>
        <w:tc>
          <w:tcPr>
            <w:tcW w:w="5245" w:type="dxa"/>
            <w:gridSpan w:val="2"/>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Desktop software pro nastavení</w:t>
            </w:r>
          </w:p>
        </w:tc>
        <w:tc>
          <w:tcPr>
            <w:tcW w:w="1276" w:type="dxa"/>
          </w:tcPr>
          <w:p w:rsidR="00386D47" w:rsidRPr="003927B0" w:rsidRDefault="00386D47" w:rsidP="009E32CF">
            <w:pPr>
              <w:pStyle w:val="Standard"/>
              <w:contextualSpacing/>
              <w:rPr>
                <w:rFonts w:asciiTheme="minorHAnsi" w:hAnsiTheme="minorHAnsi" w:cstheme="minorHAnsi"/>
                <w:color w:val="auto"/>
                <w:sz w:val="22"/>
                <w:szCs w:val="22"/>
              </w:rPr>
            </w:pPr>
            <w:r w:rsidRPr="003927B0">
              <w:rPr>
                <w:rFonts w:asciiTheme="minorHAnsi" w:hAnsiTheme="minorHAnsi" w:cstheme="minorHAnsi"/>
                <w:color w:val="auto"/>
                <w:sz w:val="22"/>
                <w:szCs w:val="22"/>
              </w:rPr>
              <w:t>Podmínka</w:t>
            </w:r>
          </w:p>
        </w:tc>
      </w:tr>
    </w:tbl>
    <w:p w:rsidR="00386D47" w:rsidRDefault="00386D47" w:rsidP="00386D47">
      <w:pPr>
        <w:rPr>
          <w:rFonts w:eastAsia="Times New Roman" w:cs="Arial"/>
          <w:color w:val="000000"/>
          <w:lang w:eastAsia="cs-CZ"/>
        </w:rPr>
      </w:pPr>
    </w:p>
    <w:p w:rsidR="00386D47" w:rsidRDefault="00386D47" w:rsidP="00386D47"/>
    <w:p w:rsidR="00F27508" w:rsidRDefault="00E93293"/>
    <w:sectPr w:rsidR="00F27508" w:rsidSect="00091855">
      <w:headerReference w:type="even" r:id="rId5"/>
      <w:headerReference w:type="default" r:id="rId6"/>
      <w:footerReference w:type="even" r:id="rId7"/>
      <w:footerReference w:type="default" r:id="rId8"/>
      <w:headerReference w:type="first" r:id="rId9"/>
      <w:footerReference w:type="first" r:id="rId10"/>
      <w:pgSz w:w="11906" w:h="16838"/>
      <w:pgMar w:top="1985" w:right="1417" w:bottom="1417"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27" w:rsidRDefault="00E932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rsidR="00163748" w:rsidRDefault="00E93293" w:rsidP="001C7D91">
            <w:pPr>
              <w:pStyle w:val="Zpat"/>
            </w:pPr>
            <w:r>
              <w:rPr>
                <w:noProof/>
                <w:lang w:eastAsia="cs-CZ"/>
              </w:rPr>
              <w:drawing>
                <wp:anchor distT="0" distB="0" distL="114300" distR="114300" simplePos="0" relativeHeight="251659264" behindDoc="0" locked="0" layoutInCell="1" allowOverlap="1" wp14:anchorId="42D29A93" wp14:editId="2480D93D">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0" layoutInCell="1" allowOverlap="1" wp14:anchorId="7E1AB8D9" wp14:editId="623245CE">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0" layoutInCell="1" allowOverlap="1" wp14:anchorId="3DACDC1C" wp14:editId="2B84E3B5">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0" layoutInCell="1" allowOverlap="1" wp14:anchorId="24205FD0" wp14:editId="090865DD">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rsidR="00163748" w:rsidRDefault="00E93293">
            <w:pPr>
              <w:pStyle w:val="Zpat"/>
              <w:jc w:val="center"/>
            </w:pPr>
            <w:proofErr w:type="gramStart"/>
            <w:r w:rsidRPr="001E5ED0">
              <w:t xml:space="preserve">Stránka </w:t>
            </w:r>
            <w:proofErr w:type="gramEnd"/>
            <w:r w:rsidRPr="001E5ED0">
              <w:rPr>
                <w:bCs/>
              </w:rPr>
              <w:fldChar w:fldCharType="begin"/>
            </w:r>
            <w:r w:rsidRPr="001E5ED0">
              <w:rPr>
                <w:bCs/>
              </w:rPr>
              <w:instrText>PAGE</w:instrText>
            </w:r>
            <w:r w:rsidRPr="001E5ED0">
              <w:rPr>
                <w:bCs/>
              </w:rPr>
              <w:fldChar w:fldCharType="separate"/>
            </w:r>
            <w:r>
              <w:rPr>
                <w:bCs/>
                <w:noProof/>
              </w:rPr>
              <w:t>7</w:t>
            </w:r>
            <w:r w:rsidRPr="001E5ED0">
              <w:rPr>
                <w:bCs/>
              </w:rPr>
              <w:fldChar w:fldCharType="end"/>
            </w:r>
            <w:proofErr w:type="gramStart"/>
            <w:r w:rsidRPr="001E5ED0">
              <w:t xml:space="preserve"> z </w:t>
            </w:r>
            <w:proofErr w:type="gramEnd"/>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rsidR="00163748" w:rsidRDefault="00E9329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27" w:rsidRDefault="00E93293">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27" w:rsidRDefault="00E932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48" w:rsidRDefault="00E93293">
    <w:pPr>
      <w:pStyle w:val="Zhlav"/>
    </w:pPr>
    <w:r>
      <w:rPr>
        <w:rFonts w:ascii="Arial" w:eastAsia="Times New Roman" w:hAnsi="Arial" w:cs="Arial"/>
        <w:b/>
        <w:bCs/>
        <w:noProof/>
        <w:sz w:val="24"/>
        <w:szCs w:val="24"/>
        <w:lang w:eastAsia="cs-CZ"/>
      </w:rPr>
      <w:drawing>
        <wp:inline distT="0" distB="0" distL="0" distR="0" wp14:anchorId="24D49D66" wp14:editId="0BA71E69">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25465925" wp14:editId="16D6A05C">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27" w:rsidRDefault="00E932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5"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0"/>
  </w:num>
  <w:num w:numId="3">
    <w:abstractNumId w:val="4"/>
  </w:num>
  <w:num w:numId="4">
    <w:abstractNumId w:val="2"/>
  </w:num>
  <w:num w:numId="5">
    <w:abstractNumId w:val="3"/>
  </w:num>
  <w:num w:numId="6">
    <w:abstractNumId w:val="5"/>
  </w:num>
  <w:num w:numId="7">
    <w:abstractNumId w:val="9"/>
  </w:num>
  <w:num w:numId="8">
    <w:abstractNumId w:val="6"/>
  </w:num>
  <w:num w:numId="9">
    <w:abstractNumId w:val="1"/>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47"/>
    <w:rsid w:val="00386D47"/>
    <w:rsid w:val="005F67E8"/>
    <w:rsid w:val="006F04E8"/>
    <w:rsid w:val="00B05C88"/>
    <w:rsid w:val="00E93293"/>
    <w:rsid w:val="00F12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446F"/>
  <w15:chartTrackingRefBased/>
  <w15:docId w15:val="{0C50C2C9-E97B-4C10-AC24-9B37031C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D47"/>
  </w:style>
  <w:style w:type="paragraph" w:styleId="Nadpis1">
    <w:name w:val="heading 1"/>
    <w:basedOn w:val="Normln"/>
    <w:next w:val="Normln"/>
    <w:link w:val="Nadpis1Char"/>
    <w:uiPriority w:val="9"/>
    <w:qFormat/>
    <w:rsid w:val="00386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386D47"/>
    <w:pPr>
      <w:keepNext w:val="0"/>
      <w:keepLines w:val="0"/>
      <w:numPr>
        <w:ilvl w:val="1"/>
        <w:numId w:val="2"/>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86D47"/>
    <w:rPr>
      <w:rFonts w:ascii="Palatino Linotype" w:eastAsia="Times New Roman" w:hAnsi="Palatino Linotype" w:cs="Times New Roman"/>
      <w:iCs/>
      <w:color w:val="000000"/>
      <w:kern w:val="32"/>
      <w:sz w:val="20"/>
      <w:lang w:eastAsia="cs-CZ"/>
    </w:rPr>
  </w:style>
  <w:style w:type="paragraph" w:styleId="Zhlav">
    <w:name w:val="header"/>
    <w:basedOn w:val="Normln"/>
    <w:link w:val="ZhlavChar"/>
    <w:uiPriority w:val="99"/>
    <w:unhideWhenUsed/>
    <w:rsid w:val="00386D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6D47"/>
  </w:style>
  <w:style w:type="paragraph" w:styleId="Zpat">
    <w:name w:val="footer"/>
    <w:basedOn w:val="Normln"/>
    <w:link w:val="ZpatChar"/>
    <w:uiPriority w:val="99"/>
    <w:unhideWhenUsed/>
    <w:rsid w:val="00386D47"/>
    <w:pPr>
      <w:tabs>
        <w:tab w:val="center" w:pos="4536"/>
        <w:tab w:val="right" w:pos="9072"/>
      </w:tabs>
      <w:spacing w:after="0" w:line="240" w:lineRule="auto"/>
    </w:pPr>
  </w:style>
  <w:style w:type="character" w:customStyle="1" w:styleId="ZpatChar">
    <w:name w:val="Zápatí Char"/>
    <w:basedOn w:val="Standardnpsmoodstavce"/>
    <w:link w:val="Zpat"/>
    <w:uiPriority w:val="99"/>
    <w:rsid w:val="00386D47"/>
  </w:style>
  <w:style w:type="paragraph" w:styleId="Odstavecseseznamem">
    <w:name w:val="List Paragraph"/>
    <w:basedOn w:val="Normln"/>
    <w:uiPriority w:val="34"/>
    <w:qFormat/>
    <w:rsid w:val="00386D47"/>
    <w:pPr>
      <w:ind w:left="720"/>
      <w:contextualSpacing/>
    </w:pPr>
  </w:style>
  <w:style w:type="paragraph" w:customStyle="1" w:styleId="Nzevsmlouvy">
    <w:name w:val="Název smlouvy"/>
    <w:basedOn w:val="Normln"/>
    <w:rsid w:val="00386D47"/>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paragraph" w:customStyle="1" w:styleId="SBSSmlouva">
    <w:name w:val="SBS Smlouva"/>
    <w:basedOn w:val="Normln"/>
    <w:rsid w:val="00386D47"/>
    <w:pPr>
      <w:numPr>
        <w:numId w:val="2"/>
      </w:numPr>
      <w:spacing w:before="120" w:after="0" w:line="240" w:lineRule="auto"/>
    </w:pPr>
    <w:rPr>
      <w:rFonts w:ascii="Arial" w:eastAsia="Times New Roman" w:hAnsi="Arial" w:cs="Times New Roman"/>
      <w:szCs w:val="24"/>
      <w:lang w:eastAsia="cs-CZ"/>
    </w:rPr>
  </w:style>
  <w:style w:type="table" w:styleId="Mkatabulky">
    <w:name w:val="Table Grid"/>
    <w:basedOn w:val="Normlntabulka"/>
    <w:uiPriority w:val="39"/>
    <w:rsid w:val="00386D47"/>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386D47"/>
    <w:pPr>
      <w:widowControl w:val="0"/>
      <w:numPr>
        <w:numId w:val="6"/>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pPr>
    <w:rPr>
      <w:rFonts w:eastAsia="Times New Roman" w:cs="Arial"/>
      <w:color w:val="000000"/>
      <w:lang w:eastAsia="cs-CZ"/>
    </w:rPr>
  </w:style>
  <w:style w:type="character" w:customStyle="1" w:styleId="textindentChar">
    <w:name w:val="text indent Char"/>
    <w:basedOn w:val="Standardnpsmoodstavce"/>
    <w:link w:val="textindent"/>
    <w:rsid w:val="00386D47"/>
    <w:rPr>
      <w:rFonts w:eastAsia="Times New Roman" w:cs="Arial"/>
      <w:color w:val="000000"/>
      <w:lang w:eastAsia="cs-CZ"/>
    </w:rPr>
  </w:style>
  <w:style w:type="paragraph" w:customStyle="1" w:styleId="Standard">
    <w:name w:val="Standard"/>
    <w:rsid w:val="00386D47"/>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character" w:customStyle="1" w:styleId="normaltextrun">
    <w:name w:val="normaltextrun"/>
    <w:basedOn w:val="Standardnpsmoodstavce"/>
    <w:rsid w:val="00386D47"/>
  </w:style>
  <w:style w:type="character" w:styleId="Hypertextovodkaz">
    <w:name w:val="Hyperlink"/>
    <w:basedOn w:val="Standardnpsmoodstavce"/>
    <w:uiPriority w:val="99"/>
    <w:unhideWhenUsed/>
    <w:rsid w:val="00386D47"/>
    <w:rPr>
      <w:color w:val="0563C1" w:themeColor="hyperlink"/>
      <w:u w:val="single"/>
    </w:rPr>
  </w:style>
  <w:style w:type="character" w:customStyle="1" w:styleId="Nadpis1Char">
    <w:name w:val="Nadpis 1 Char"/>
    <w:basedOn w:val="Standardnpsmoodstavce"/>
    <w:link w:val="Nadpis1"/>
    <w:uiPriority w:val="9"/>
    <w:rsid w:val="00386D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2423</Words>
  <Characters>14296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Kristýna Sekyrová</cp:lastModifiedBy>
  <cp:revision>3</cp:revision>
  <dcterms:created xsi:type="dcterms:W3CDTF">2023-06-08T09:14:00Z</dcterms:created>
  <dcterms:modified xsi:type="dcterms:W3CDTF">2023-06-08T09:31:00Z</dcterms:modified>
</cp:coreProperties>
</file>