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6202" w14:textId="77777777" w:rsidR="006D3769" w:rsidRPr="00C7179C" w:rsidRDefault="00000000">
      <w:pPr>
        <w:pStyle w:val="Zkladntext"/>
        <w:spacing w:before="75" w:line="276" w:lineRule="auto"/>
        <w:ind w:left="219" w:right="430"/>
        <w:jc w:val="both"/>
        <w:rPr>
          <w:lang w:val="cs-CZ"/>
        </w:rPr>
      </w:pPr>
      <w:r w:rsidRPr="00C7179C">
        <w:rPr>
          <w:lang w:val="cs-CZ"/>
        </w:rPr>
        <w:pict w14:anchorId="6D0823F4">
          <v:line id="_x0000_s1026" style="position:absolute;left:0;text-align:left;z-index:-251658752;mso-position-horizontal-relative:page" from="281.3pt,146.95pt" to="328.45pt,146.95pt" strokecolor="blue" strokeweight=".6pt">
            <w10:wrap anchorx="page"/>
          </v:line>
        </w:pict>
      </w:r>
      <w:r w:rsidRPr="00C7179C">
        <w:rPr>
          <w:b/>
          <w:lang w:val="cs-CZ"/>
        </w:rPr>
        <w:t xml:space="preserve">Poučení pro budoucí odběratele, </w:t>
      </w:r>
      <w:r w:rsidRPr="00C7179C">
        <w:rPr>
          <w:lang w:val="cs-CZ"/>
        </w:rPr>
        <w:t xml:space="preserve">kteří uzavírají smlouvu na dodávku vody a/nebo na odvádění odpadních vod jako </w:t>
      </w:r>
      <w:r w:rsidRPr="00C7179C">
        <w:rPr>
          <w:b/>
          <w:lang w:val="cs-CZ"/>
        </w:rPr>
        <w:t xml:space="preserve">spotřebitelé </w:t>
      </w:r>
      <w:r w:rsidRPr="00C7179C">
        <w:rPr>
          <w:lang w:val="cs-CZ"/>
        </w:rPr>
        <w:t>(fyzické osoby nepodnikající), mimo obchodní prostory provozovatele, nebo distančním způsobem (např.</w:t>
      </w:r>
      <w:r w:rsidRPr="00C7179C">
        <w:rPr>
          <w:spacing w:val="-22"/>
          <w:lang w:val="cs-CZ"/>
        </w:rPr>
        <w:t xml:space="preserve"> </w:t>
      </w:r>
      <w:r w:rsidRPr="00C7179C">
        <w:rPr>
          <w:lang w:val="cs-CZ"/>
        </w:rPr>
        <w:t>korespondenčně).</w:t>
      </w:r>
    </w:p>
    <w:p w14:paraId="3B2CDD90" w14:textId="77777777" w:rsidR="006D3769" w:rsidRPr="00C7179C" w:rsidRDefault="006D3769">
      <w:pPr>
        <w:pStyle w:val="Zkladntext"/>
        <w:rPr>
          <w:sz w:val="20"/>
          <w:lang w:val="cs-CZ"/>
        </w:rPr>
      </w:pPr>
    </w:p>
    <w:p w14:paraId="433CBA4C" w14:textId="77777777" w:rsidR="006D3769" w:rsidRPr="00C7179C" w:rsidRDefault="006D3769">
      <w:pPr>
        <w:pStyle w:val="Zkladntext"/>
        <w:spacing w:before="1"/>
        <w:rPr>
          <w:sz w:val="15"/>
          <w:lang w:val="cs-CZ"/>
        </w:rPr>
      </w:pPr>
    </w:p>
    <w:tbl>
      <w:tblPr>
        <w:tblStyle w:val="TableNormal"/>
        <w:tblW w:w="0" w:type="auto"/>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1"/>
        <w:gridCol w:w="6521"/>
      </w:tblGrid>
      <w:tr w:rsidR="006D3769" w:rsidRPr="00C7179C" w14:paraId="691D6FE0" w14:textId="77777777">
        <w:trPr>
          <w:trHeight w:hRule="exact" w:val="480"/>
        </w:trPr>
        <w:tc>
          <w:tcPr>
            <w:tcW w:w="4361" w:type="dxa"/>
            <w:shd w:val="clear" w:color="auto" w:fill="7F7F7F"/>
          </w:tcPr>
          <w:p w14:paraId="0BC3DF69" w14:textId="77777777" w:rsidR="006D3769" w:rsidRPr="00C7179C" w:rsidRDefault="00000000">
            <w:pPr>
              <w:pStyle w:val="TableParagraph"/>
              <w:ind w:left="1641" w:right="128" w:hanging="1493"/>
              <w:rPr>
                <w:b/>
                <w:sz w:val="20"/>
                <w:lang w:val="cs-CZ"/>
              </w:rPr>
            </w:pPr>
            <w:r w:rsidRPr="00C7179C">
              <w:rPr>
                <w:b/>
                <w:sz w:val="20"/>
                <w:lang w:val="cs-CZ"/>
              </w:rPr>
              <w:t>POŽADAVEK DLE § 1811/2 OBČANSKÉHO ZÁKONÍKU</w:t>
            </w:r>
          </w:p>
        </w:tc>
        <w:tc>
          <w:tcPr>
            <w:tcW w:w="6521" w:type="dxa"/>
            <w:shd w:val="clear" w:color="auto" w:fill="7F7F7F"/>
          </w:tcPr>
          <w:p w14:paraId="745E84E6" w14:textId="77777777" w:rsidR="006D3769" w:rsidRPr="00C7179C" w:rsidRDefault="00000000">
            <w:pPr>
              <w:pStyle w:val="TableParagraph"/>
              <w:spacing w:line="225" w:lineRule="exact"/>
              <w:ind w:left="266"/>
              <w:rPr>
                <w:b/>
                <w:sz w:val="20"/>
                <w:lang w:val="cs-CZ"/>
              </w:rPr>
            </w:pPr>
            <w:r w:rsidRPr="00C7179C">
              <w:rPr>
                <w:b/>
                <w:sz w:val="20"/>
                <w:lang w:val="cs-CZ"/>
              </w:rPr>
              <w:t>ZODPOVĚZENÍ POŽADAVKU PRO BUDOUCÍHO ODBĚRATELE</w:t>
            </w:r>
          </w:p>
        </w:tc>
      </w:tr>
      <w:tr w:rsidR="006D3769" w:rsidRPr="00C7179C" w14:paraId="5B926663" w14:textId="77777777">
        <w:trPr>
          <w:trHeight w:hRule="exact" w:val="1308"/>
        </w:trPr>
        <w:tc>
          <w:tcPr>
            <w:tcW w:w="4361" w:type="dxa"/>
            <w:shd w:val="clear" w:color="auto" w:fill="D9D9D9"/>
          </w:tcPr>
          <w:p w14:paraId="2959DC30" w14:textId="77777777" w:rsidR="006D3769" w:rsidRPr="00C7179C" w:rsidRDefault="00000000">
            <w:pPr>
              <w:pStyle w:val="TableParagraph"/>
              <w:ind w:right="128"/>
              <w:rPr>
                <w:sz w:val="16"/>
                <w:lang w:val="cs-CZ"/>
              </w:rPr>
            </w:pPr>
            <w:r w:rsidRPr="00C7179C">
              <w:rPr>
                <w:sz w:val="16"/>
                <w:lang w:val="cs-CZ"/>
              </w:rPr>
              <w:t>Totožnost, popřípadě telefonní číslo nebo adresa pro doručování elektronické pošty nebo jiný kontaktní údaj</w:t>
            </w:r>
          </w:p>
        </w:tc>
        <w:tc>
          <w:tcPr>
            <w:tcW w:w="6521" w:type="dxa"/>
          </w:tcPr>
          <w:p w14:paraId="7760E1EB" w14:textId="77777777" w:rsidR="006D3769" w:rsidRPr="00C7179C" w:rsidRDefault="00000000">
            <w:pPr>
              <w:pStyle w:val="TableParagraph"/>
              <w:ind w:right="3448"/>
              <w:rPr>
                <w:sz w:val="16"/>
                <w:lang w:val="cs-CZ"/>
              </w:rPr>
            </w:pPr>
            <w:r w:rsidRPr="00C7179C">
              <w:rPr>
                <w:sz w:val="16"/>
                <w:lang w:val="cs-CZ"/>
              </w:rPr>
              <w:t>Severočeské vodovody a kanalizace, a.s. Teplice, Přítkovská 1689/14, PSČ 415 50</w:t>
            </w:r>
          </w:p>
          <w:p w14:paraId="5AC7F552" w14:textId="1A7817C9" w:rsidR="006D3769" w:rsidRPr="00C7179C" w:rsidRDefault="00000000">
            <w:pPr>
              <w:pStyle w:val="TableParagraph"/>
              <w:ind w:right="239"/>
              <w:rPr>
                <w:sz w:val="16"/>
                <w:lang w:val="cs-CZ"/>
              </w:rPr>
            </w:pPr>
            <w:r w:rsidRPr="00C7179C">
              <w:rPr>
                <w:sz w:val="16"/>
                <w:lang w:val="cs-CZ"/>
              </w:rPr>
              <w:t>IČ: 49099451, zapsaná v obchodním rejstříku, oddíl B, vložka 465 u Krajského soudu    v Ústí nad</w:t>
            </w:r>
            <w:r w:rsidRPr="00C7179C">
              <w:rPr>
                <w:spacing w:val="-5"/>
                <w:sz w:val="16"/>
                <w:lang w:val="cs-CZ"/>
              </w:rPr>
              <w:t xml:space="preserve"> </w:t>
            </w:r>
            <w:r w:rsidRPr="00C7179C">
              <w:rPr>
                <w:sz w:val="16"/>
                <w:lang w:val="cs-CZ"/>
              </w:rPr>
              <w:t>Labem</w:t>
            </w:r>
          </w:p>
          <w:p w14:paraId="441B3BDB" w14:textId="04D341F4" w:rsidR="006D3769" w:rsidRPr="00C7179C" w:rsidRDefault="00000000">
            <w:pPr>
              <w:pStyle w:val="TableParagraph"/>
              <w:spacing w:before="1" w:line="183" w:lineRule="exact"/>
              <w:rPr>
                <w:sz w:val="16"/>
                <w:lang w:val="cs-CZ"/>
              </w:rPr>
            </w:pPr>
            <w:r w:rsidRPr="00C7179C">
              <w:rPr>
                <w:sz w:val="16"/>
                <w:lang w:val="cs-CZ"/>
              </w:rPr>
              <w:t xml:space="preserve">Telefon: </w:t>
            </w:r>
            <w:r w:rsidR="00C7179C">
              <w:rPr>
                <w:sz w:val="16"/>
                <w:lang w:val="cs-CZ"/>
              </w:rPr>
              <w:t>xxxxxxxxxxxxxx</w:t>
            </w:r>
          </w:p>
          <w:p w14:paraId="63D41E11" w14:textId="0A31257E" w:rsidR="006D3769" w:rsidRPr="00C7179C" w:rsidRDefault="00000000">
            <w:pPr>
              <w:pStyle w:val="TableParagraph"/>
              <w:ind w:right="3518"/>
              <w:rPr>
                <w:sz w:val="16"/>
                <w:lang w:val="cs-CZ"/>
              </w:rPr>
            </w:pPr>
            <w:r w:rsidRPr="00C7179C">
              <w:rPr>
                <w:sz w:val="16"/>
                <w:lang w:val="cs-CZ"/>
              </w:rPr>
              <w:t xml:space="preserve">E-mail: </w:t>
            </w:r>
            <w:hyperlink r:id="rId4" w:history="1">
              <w:r w:rsidR="00C7179C" w:rsidRPr="0051322A">
                <w:rPr>
                  <w:rStyle w:val="Hypertextovodkaz"/>
                  <w:sz w:val="16"/>
                  <w:lang w:val="cs-CZ"/>
                </w:rPr>
                <w:t>xxxxxxxxx</w:t>
              </w:r>
            </w:hyperlink>
            <w:r w:rsidRPr="00C7179C">
              <w:rPr>
                <w:color w:val="0000FF"/>
                <w:sz w:val="16"/>
                <w:lang w:val="cs-CZ"/>
              </w:rPr>
              <w:t xml:space="preserve"> </w:t>
            </w:r>
            <w:r w:rsidRPr="00C7179C">
              <w:rPr>
                <w:sz w:val="16"/>
                <w:lang w:val="cs-CZ"/>
              </w:rPr>
              <w:t xml:space="preserve">Web: </w:t>
            </w:r>
            <w:hyperlink r:id="rId5">
              <w:r w:rsidR="00C7179C">
                <w:rPr>
                  <w:color w:val="0000FF"/>
                  <w:sz w:val="16"/>
                  <w:u w:val="single" w:color="0000FF"/>
                  <w:lang w:val="cs-CZ"/>
                </w:rPr>
                <w:t>xxxxxxxxxxxxxx</w:t>
              </w:r>
              <w:r w:rsidR="00C7179C">
                <w:rPr>
                  <w:color w:val="0000FF"/>
                  <w:sz w:val="16"/>
                  <w:u w:val="single" w:color="0000FF"/>
                  <w:lang w:val="cs-CZ"/>
                </w:rPr>
                <w:br/>
              </w:r>
            </w:hyperlink>
            <w:r w:rsidRPr="00C7179C">
              <w:rPr>
                <w:sz w:val="16"/>
                <w:lang w:val="cs-CZ"/>
              </w:rPr>
              <w:t>(dále též „Provozovatel“)</w:t>
            </w:r>
          </w:p>
        </w:tc>
      </w:tr>
      <w:tr w:rsidR="006D3769" w:rsidRPr="00C7179C" w14:paraId="4BA61F0D" w14:textId="77777777">
        <w:trPr>
          <w:trHeight w:hRule="exact" w:val="388"/>
        </w:trPr>
        <w:tc>
          <w:tcPr>
            <w:tcW w:w="4361" w:type="dxa"/>
            <w:shd w:val="clear" w:color="auto" w:fill="D9D9D9"/>
          </w:tcPr>
          <w:p w14:paraId="1A6ED99B" w14:textId="77777777" w:rsidR="006D3769" w:rsidRPr="00C7179C" w:rsidRDefault="00000000">
            <w:pPr>
              <w:pStyle w:val="TableParagraph"/>
              <w:ind w:right="128"/>
              <w:rPr>
                <w:sz w:val="16"/>
                <w:lang w:val="cs-CZ"/>
              </w:rPr>
            </w:pPr>
            <w:r w:rsidRPr="00C7179C">
              <w:rPr>
                <w:sz w:val="16"/>
                <w:lang w:val="cs-CZ"/>
              </w:rPr>
              <w:t>Označení zboží nebo služby a popis jejich hlavních vlastností.</w:t>
            </w:r>
          </w:p>
        </w:tc>
        <w:tc>
          <w:tcPr>
            <w:tcW w:w="6521" w:type="dxa"/>
          </w:tcPr>
          <w:p w14:paraId="299EC988" w14:textId="77777777" w:rsidR="006D3769" w:rsidRPr="00C7179C" w:rsidRDefault="00000000">
            <w:pPr>
              <w:pStyle w:val="TableParagraph"/>
              <w:spacing w:line="180" w:lineRule="exact"/>
              <w:rPr>
                <w:sz w:val="16"/>
                <w:lang w:val="cs-CZ"/>
              </w:rPr>
            </w:pPr>
            <w:r w:rsidRPr="00C7179C">
              <w:rPr>
                <w:sz w:val="16"/>
                <w:lang w:val="cs-CZ"/>
              </w:rPr>
              <w:t>Dodávka vody z veřejného vodovodu a odvádění odpadních vod veřejnou kanalizací</w:t>
            </w:r>
          </w:p>
        </w:tc>
      </w:tr>
      <w:tr w:rsidR="006D3769" w:rsidRPr="00C7179C" w14:paraId="657BEB01" w14:textId="77777777">
        <w:trPr>
          <w:trHeight w:hRule="exact" w:val="1307"/>
        </w:trPr>
        <w:tc>
          <w:tcPr>
            <w:tcW w:w="4361" w:type="dxa"/>
            <w:shd w:val="clear" w:color="auto" w:fill="D9D9D9"/>
          </w:tcPr>
          <w:p w14:paraId="3F021BDA" w14:textId="77777777" w:rsidR="006D3769" w:rsidRPr="00C7179C" w:rsidRDefault="00000000">
            <w:pPr>
              <w:pStyle w:val="TableParagraph"/>
              <w:spacing w:before="2" w:line="182" w:lineRule="exact"/>
              <w:ind w:right="128"/>
              <w:rPr>
                <w:sz w:val="16"/>
                <w:lang w:val="cs-CZ"/>
              </w:rPr>
            </w:pPr>
            <w:r w:rsidRPr="00C7179C">
              <w:rPr>
                <w:sz w:val="16"/>
                <w:lang w:val="cs-CZ"/>
              </w:rPr>
              <w:t>Cena zboží nebo služby, případně způsob jejího výpočtu včetně všech daní a poplatků.</w:t>
            </w:r>
          </w:p>
        </w:tc>
        <w:tc>
          <w:tcPr>
            <w:tcW w:w="6521" w:type="dxa"/>
          </w:tcPr>
          <w:p w14:paraId="4EF343C6" w14:textId="77777777" w:rsidR="006D3769" w:rsidRPr="00C7179C" w:rsidRDefault="00000000">
            <w:pPr>
              <w:pStyle w:val="TableParagraph"/>
              <w:ind w:right="95"/>
              <w:jc w:val="both"/>
              <w:rPr>
                <w:sz w:val="16"/>
                <w:lang w:val="cs-CZ"/>
              </w:rPr>
            </w:pPr>
            <w:r w:rsidRPr="00C7179C">
              <w:rPr>
                <w:sz w:val="16"/>
                <w:lang w:val="cs-CZ"/>
              </w:rPr>
              <w:t xml:space="preserve">Odběratel hradí vodu dodávanou z vodovodu (vodné) a za odvádění odpadních vod (stočné). Cena a forma vodného a stočného je stanovována podle cenových předpisů a rozhodnutí vlastníka vodovodu a kanalizace na příslušné cenové období, kterým je zpravidla období 12 měsíců. Cena a forma vodného a stočného jsou uveřejněny prostřednictvím obecních úřadů, regionálních informačních médií, pracovišť Provozovatele (zákaznická centra), vlastních webových stránek provozovatele </w:t>
            </w:r>
            <w:hyperlink r:id="rId6">
              <w:r w:rsidRPr="00C7179C">
                <w:rPr>
                  <w:color w:val="0000FF"/>
                  <w:sz w:val="16"/>
                  <w:u w:val="single" w:color="0000FF"/>
                  <w:lang w:val="cs-CZ"/>
                </w:rPr>
                <w:t>www.scvk.cz</w:t>
              </w:r>
            </w:hyperlink>
          </w:p>
        </w:tc>
      </w:tr>
      <w:tr w:rsidR="006D3769" w:rsidRPr="00C7179C" w14:paraId="3B14F9F9" w14:textId="77777777">
        <w:trPr>
          <w:trHeight w:hRule="exact" w:val="756"/>
        </w:trPr>
        <w:tc>
          <w:tcPr>
            <w:tcW w:w="4361" w:type="dxa"/>
            <w:shd w:val="clear" w:color="auto" w:fill="D9D9D9"/>
          </w:tcPr>
          <w:p w14:paraId="5DF36AAA" w14:textId="77777777" w:rsidR="006D3769" w:rsidRPr="00C7179C" w:rsidRDefault="00000000">
            <w:pPr>
              <w:pStyle w:val="TableParagraph"/>
              <w:spacing w:line="180" w:lineRule="exact"/>
              <w:rPr>
                <w:sz w:val="16"/>
                <w:lang w:val="cs-CZ"/>
              </w:rPr>
            </w:pPr>
            <w:r w:rsidRPr="00C7179C">
              <w:rPr>
                <w:sz w:val="16"/>
                <w:lang w:val="cs-CZ"/>
              </w:rPr>
              <w:t>Způsob platby a způsob dodání nebo plnění.</w:t>
            </w:r>
          </w:p>
        </w:tc>
        <w:tc>
          <w:tcPr>
            <w:tcW w:w="6521" w:type="dxa"/>
          </w:tcPr>
          <w:p w14:paraId="5E4FEBC6" w14:textId="77777777" w:rsidR="006D3769" w:rsidRPr="00C7179C" w:rsidRDefault="00000000">
            <w:pPr>
              <w:pStyle w:val="TableParagraph"/>
              <w:ind w:right="95"/>
              <w:jc w:val="both"/>
              <w:rPr>
                <w:sz w:val="16"/>
                <w:lang w:val="cs-CZ"/>
              </w:rPr>
            </w:pPr>
            <w:r w:rsidRPr="00C7179C">
              <w:rPr>
                <w:sz w:val="16"/>
                <w:lang w:val="cs-CZ"/>
              </w:rPr>
              <w:t>Odběratel hradí vodné a stočné na základě pravidelných (zpravidla měsíčních) zálohových plateb, které se vždy za určité období (zpravidla jeden rok) vyúčtují proti skutečnému odběru vody. Voda se dodává veřejným vodovodem a vodovodní přípojkou. Odpadní voda se odvádí veřejnou kanalizací a kanalizační přípojkou.</w:t>
            </w:r>
          </w:p>
        </w:tc>
      </w:tr>
      <w:tr w:rsidR="006D3769" w:rsidRPr="00C7179C" w14:paraId="400B44D5" w14:textId="77777777">
        <w:trPr>
          <w:trHeight w:hRule="exact" w:val="389"/>
        </w:trPr>
        <w:tc>
          <w:tcPr>
            <w:tcW w:w="4361" w:type="dxa"/>
            <w:shd w:val="clear" w:color="auto" w:fill="D9D9D9"/>
          </w:tcPr>
          <w:p w14:paraId="2EC6A6A4" w14:textId="77777777" w:rsidR="006D3769" w:rsidRPr="00C7179C" w:rsidRDefault="00000000">
            <w:pPr>
              <w:pStyle w:val="TableParagraph"/>
              <w:ind w:right="128"/>
              <w:rPr>
                <w:sz w:val="16"/>
                <w:lang w:val="cs-CZ"/>
              </w:rPr>
            </w:pPr>
            <w:r w:rsidRPr="00C7179C">
              <w:rPr>
                <w:sz w:val="16"/>
                <w:lang w:val="cs-CZ"/>
              </w:rPr>
              <w:t>Náklady na dodání, a pokud tyto náklady nelze stanovit předem, údaj, že mohou být dodatečně účtovány.</w:t>
            </w:r>
          </w:p>
        </w:tc>
        <w:tc>
          <w:tcPr>
            <w:tcW w:w="6521" w:type="dxa"/>
          </w:tcPr>
          <w:p w14:paraId="15F3AB9C" w14:textId="77777777" w:rsidR="006D3769" w:rsidRPr="00C7179C" w:rsidRDefault="00000000">
            <w:pPr>
              <w:pStyle w:val="TableParagraph"/>
              <w:rPr>
                <w:sz w:val="16"/>
                <w:lang w:val="cs-CZ"/>
              </w:rPr>
            </w:pPr>
            <w:r w:rsidRPr="00C7179C">
              <w:rPr>
                <w:sz w:val="16"/>
                <w:lang w:val="cs-CZ"/>
              </w:rPr>
              <w:t>Jelikož se jedná o dodávky vody a odvádění odpadních vod, odběratel hradí za poskytovanou službu cenu v podobě vodného a stočného</w:t>
            </w:r>
          </w:p>
        </w:tc>
      </w:tr>
      <w:tr w:rsidR="006D3769" w:rsidRPr="00C7179C" w14:paraId="5106DB32" w14:textId="77777777">
        <w:trPr>
          <w:trHeight w:hRule="exact" w:val="571"/>
        </w:trPr>
        <w:tc>
          <w:tcPr>
            <w:tcW w:w="4361" w:type="dxa"/>
            <w:shd w:val="clear" w:color="auto" w:fill="D9D9D9"/>
          </w:tcPr>
          <w:p w14:paraId="0B5C6BF6" w14:textId="77777777" w:rsidR="006D3769" w:rsidRPr="00C7179C" w:rsidRDefault="00000000">
            <w:pPr>
              <w:pStyle w:val="TableParagraph"/>
              <w:ind w:right="95"/>
              <w:jc w:val="both"/>
              <w:rPr>
                <w:sz w:val="16"/>
                <w:lang w:val="cs-CZ"/>
              </w:rPr>
            </w:pPr>
            <w:r w:rsidRPr="00C7179C">
              <w:rPr>
                <w:sz w:val="16"/>
                <w:lang w:val="cs-CZ"/>
              </w:rPr>
              <w:t>Údaje o právech vznikajících z vadného plnění, jakož i o právech ze záruky a další podmínky pro uplatňování těchto</w:t>
            </w:r>
            <w:r w:rsidRPr="00C7179C">
              <w:rPr>
                <w:spacing w:val="-5"/>
                <w:sz w:val="16"/>
                <w:lang w:val="cs-CZ"/>
              </w:rPr>
              <w:t xml:space="preserve"> </w:t>
            </w:r>
            <w:r w:rsidRPr="00C7179C">
              <w:rPr>
                <w:sz w:val="16"/>
                <w:lang w:val="cs-CZ"/>
              </w:rPr>
              <w:t>práv.</w:t>
            </w:r>
          </w:p>
        </w:tc>
        <w:tc>
          <w:tcPr>
            <w:tcW w:w="6521" w:type="dxa"/>
          </w:tcPr>
          <w:p w14:paraId="73A661E7" w14:textId="77777777" w:rsidR="006D3769" w:rsidRPr="00C7179C" w:rsidRDefault="00000000">
            <w:pPr>
              <w:pStyle w:val="TableParagraph"/>
              <w:ind w:right="239"/>
              <w:rPr>
                <w:sz w:val="16"/>
                <w:lang w:val="cs-CZ"/>
              </w:rPr>
            </w:pPr>
            <w:r w:rsidRPr="00C7179C">
              <w:rPr>
                <w:sz w:val="16"/>
                <w:lang w:val="cs-CZ"/>
              </w:rPr>
              <w:t>Odběratel může reklamovat kvalitu a cenu služeb v souladu s reklamačním řádem Jelikož se jedná o dodávky vody a odvádění odpadních vod, nikoliv dodávky zboží, záruka se</w:t>
            </w:r>
            <w:r w:rsidRPr="00C7179C">
              <w:rPr>
                <w:spacing w:val="-6"/>
                <w:sz w:val="16"/>
                <w:lang w:val="cs-CZ"/>
              </w:rPr>
              <w:t xml:space="preserve"> </w:t>
            </w:r>
            <w:r w:rsidRPr="00C7179C">
              <w:rPr>
                <w:sz w:val="16"/>
                <w:lang w:val="cs-CZ"/>
              </w:rPr>
              <w:t>neposkytuje</w:t>
            </w:r>
          </w:p>
        </w:tc>
      </w:tr>
      <w:tr w:rsidR="006D3769" w:rsidRPr="00C7179C" w14:paraId="6B178360" w14:textId="77777777">
        <w:trPr>
          <w:trHeight w:hRule="exact" w:val="406"/>
        </w:trPr>
        <w:tc>
          <w:tcPr>
            <w:tcW w:w="4361" w:type="dxa"/>
            <w:shd w:val="clear" w:color="auto" w:fill="D9D9D9"/>
          </w:tcPr>
          <w:p w14:paraId="0F13E5CF" w14:textId="0AAF7CB9" w:rsidR="006D3769" w:rsidRPr="00C7179C" w:rsidRDefault="00000000">
            <w:pPr>
              <w:pStyle w:val="TableParagraph"/>
              <w:ind w:right="128"/>
              <w:rPr>
                <w:sz w:val="16"/>
                <w:lang w:val="cs-CZ"/>
              </w:rPr>
            </w:pPr>
            <w:r w:rsidRPr="00C7179C">
              <w:rPr>
                <w:sz w:val="16"/>
                <w:lang w:val="cs-CZ"/>
              </w:rPr>
              <w:t>Údaj o době trvání závazku a podmínky ukončení závazku, má-li být smlouva uzavřena na dobu neurčitou.</w:t>
            </w:r>
          </w:p>
        </w:tc>
        <w:tc>
          <w:tcPr>
            <w:tcW w:w="6521" w:type="dxa"/>
          </w:tcPr>
          <w:p w14:paraId="0963E51C" w14:textId="77777777" w:rsidR="006D3769" w:rsidRPr="00C7179C" w:rsidRDefault="00000000">
            <w:pPr>
              <w:pStyle w:val="TableParagraph"/>
              <w:spacing w:line="180" w:lineRule="exact"/>
              <w:rPr>
                <w:sz w:val="16"/>
                <w:lang w:val="cs-CZ"/>
              </w:rPr>
            </w:pPr>
            <w:r w:rsidRPr="00C7179C">
              <w:rPr>
                <w:sz w:val="16"/>
                <w:lang w:val="cs-CZ"/>
              </w:rPr>
              <w:t>Smlouva je uzavírána na dobu neurčitu</w:t>
            </w:r>
          </w:p>
          <w:p w14:paraId="58590B68" w14:textId="77777777" w:rsidR="006D3769" w:rsidRPr="00C7179C" w:rsidRDefault="00000000">
            <w:pPr>
              <w:pStyle w:val="TableParagraph"/>
              <w:spacing w:before="1"/>
              <w:rPr>
                <w:sz w:val="16"/>
                <w:lang w:val="cs-CZ"/>
              </w:rPr>
            </w:pPr>
            <w:r w:rsidRPr="00C7179C">
              <w:rPr>
                <w:sz w:val="16"/>
                <w:lang w:val="cs-CZ"/>
              </w:rPr>
              <w:t>Kterákoliv ze stran je oprávněna smlouvu vypovědět v tříměsíční výpovědní lhůtě.</w:t>
            </w:r>
          </w:p>
        </w:tc>
      </w:tr>
      <w:tr w:rsidR="006D3769" w:rsidRPr="00C7179C" w14:paraId="21A7183F" w14:textId="77777777">
        <w:trPr>
          <w:trHeight w:hRule="exact" w:val="756"/>
        </w:trPr>
        <w:tc>
          <w:tcPr>
            <w:tcW w:w="4361" w:type="dxa"/>
            <w:shd w:val="clear" w:color="auto" w:fill="D9D9D9"/>
          </w:tcPr>
          <w:p w14:paraId="0017D79D" w14:textId="77777777" w:rsidR="006D3769" w:rsidRPr="00C7179C" w:rsidRDefault="00000000">
            <w:pPr>
              <w:pStyle w:val="TableParagraph"/>
              <w:rPr>
                <w:sz w:val="16"/>
                <w:lang w:val="cs-CZ"/>
              </w:rPr>
            </w:pPr>
            <w:r w:rsidRPr="00C7179C">
              <w:rPr>
                <w:sz w:val="16"/>
                <w:lang w:val="cs-CZ"/>
              </w:rPr>
              <w:t>Náklady na prostředky komunikace na dálku, pokud se liší od základní sazby.</w:t>
            </w:r>
          </w:p>
        </w:tc>
        <w:tc>
          <w:tcPr>
            <w:tcW w:w="6521" w:type="dxa"/>
          </w:tcPr>
          <w:p w14:paraId="2DB75E81" w14:textId="77777777" w:rsidR="006D3769" w:rsidRPr="00C7179C" w:rsidRDefault="00000000">
            <w:pPr>
              <w:pStyle w:val="TableParagraph"/>
              <w:ind w:right="239"/>
              <w:rPr>
                <w:sz w:val="16"/>
                <w:lang w:val="cs-CZ"/>
              </w:rPr>
            </w:pPr>
            <w:r w:rsidRPr="00C7179C">
              <w:rPr>
                <w:sz w:val="16"/>
                <w:lang w:val="cs-CZ"/>
              </w:rPr>
              <w:t>Smlouva se uzavírá se zákazníkem osobně v zákaznickém centru nebo v odběrném místě anebo korespondenčně.</w:t>
            </w:r>
          </w:p>
          <w:p w14:paraId="6EB144BE" w14:textId="77777777" w:rsidR="006D3769" w:rsidRPr="00C7179C" w:rsidRDefault="00000000">
            <w:pPr>
              <w:pStyle w:val="TableParagraph"/>
              <w:rPr>
                <w:sz w:val="16"/>
                <w:lang w:val="cs-CZ"/>
              </w:rPr>
            </w:pPr>
            <w:r w:rsidRPr="00C7179C">
              <w:rPr>
                <w:sz w:val="16"/>
                <w:lang w:val="cs-CZ"/>
              </w:rPr>
              <w:t>Pokud se smlouva uzavírá korespondenčně, je nákladem na komunikaci poštovné dle standardního sazebníku poskytovatele poštovních služeb.</w:t>
            </w:r>
          </w:p>
        </w:tc>
      </w:tr>
      <w:tr w:rsidR="006D3769" w:rsidRPr="00C7179C" w14:paraId="6B631ED9" w14:textId="77777777">
        <w:trPr>
          <w:trHeight w:hRule="exact" w:val="388"/>
        </w:trPr>
        <w:tc>
          <w:tcPr>
            <w:tcW w:w="4361" w:type="dxa"/>
            <w:shd w:val="clear" w:color="auto" w:fill="D9D9D9"/>
          </w:tcPr>
          <w:p w14:paraId="225A0008" w14:textId="77777777" w:rsidR="006D3769" w:rsidRPr="00C7179C" w:rsidRDefault="00000000">
            <w:pPr>
              <w:pStyle w:val="TableParagraph"/>
              <w:rPr>
                <w:sz w:val="16"/>
                <w:lang w:val="cs-CZ"/>
              </w:rPr>
            </w:pPr>
            <w:r w:rsidRPr="00C7179C">
              <w:rPr>
                <w:sz w:val="16"/>
                <w:lang w:val="cs-CZ"/>
              </w:rPr>
              <w:t>Údaj o případné povinnosti zaplatit zálohu nebo obdobnou platbu, je-li vyžadována.</w:t>
            </w:r>
          </w:p>
        </w:tc>
        <w:tc>
          <w:tcPr>
            <w:tcW w:w="6521" w:type="dxa"/>
          </w:tcPr>
          <w:p w14:paraId="71BFEFE5" w14:textId="77777777" w:rsidR="006D3769" w:rsidRPr="00C7179C" w:rsidRDefault="00000000">
            <w:pPr>
              <w:pStyle w:val="TableParagraph"/>
              <w:spacing w:line="180" w:lineRule="exact"/>
              <w:rPr>
                <w:sz w:val="16"/>
                <w:lang w:val="cs-CZ"/>
              </w:rPr>
            </w:pPr>
            <w:r w:rsidRPr="00C7179C">
              <w:rPr>
                <w:sz w:val="16"/>
                <w:lang w:val="cs-CZ"/>
              </w:rPr>
              <w:t>Vodné a stočné se zpravidla hradí zálohovými platbami.</w:t>
            </w:r>
          </w:p>
        </w:tc>
      </w:tr>
      <w:tr w:rsidR="006D3769" w:rsidRPr="00C7179C" w14:paraId="1904F455" w14:textId="77777777">
        <w:trPr>
          <w:trHeight w:hRule="exact" w:val="572"/>
        </w:trPr>
        <w:tc>
          <w:tcPr>
            <w:tcW w:w="4361" w:type="dxa"/>
            <w:shd w:val="clear" w:color="auto" w:fill="D9D9D9"/>
          </w:tcPr>
          <w:p w14:paraId="54A35202" w14:textId="7538268C" w:rsidR="006D3769" w:rsidRPr="00C7179C" w:rsidRDefault="00000000">
            <w:pPr>
              <w:pStyle w:val="TableParagraph"/>
              <w:ind w:right="93"/>
              <w:jc w:val="both"/>
              <w:rPr>
                <w:sz w:val="16"/>
                <w:lang w:val="cs-CZ"/>
              </w:rPr>
            </w:pPr>
            <w:r w:rsidRPr="00C7179C">
              <w:rPr>
                <w:sz w:val="16"/>
                <w:lang w:val="cs-CZ"/>
              </w:rPr>
              <w:t>V případě, že se jedná o smlouvu, jejímž předmětem je opakované plnění, nejkratší dobu, po kterou</w:t>
            </w:r>
            <w:r w:rsidR="00C7179C">
              <w:rPr>
                <w:sz w:val="16"/>
                <w:lang w:val="cs-CZ"/>
              </w:rPr>
              <w:t xml:space="preserve"> </w:t>
            </w:r>
            <w:r w:rsidRPr="00C7179C">
              <w:rPr>
                <w:sz w:val="16"/>
                <w:lang w:val="cs-CZ"/>
              </w:rPr>
              <w:t>bude smlouva strany</w:t>
            </w:r>
            <w:r w:rsidRPr="00C7179C">
              <w:rPr>
                <w:spacing w:val="-13"/>
                <w:sz w:val="16"/>
                <w:lang w:val="cs-CZ"/>
              </w:rPr>
              <w:t xml:space="preserve"> </w:t>
            </w:r>
            <w:r w:rsidRPr="00C7179C">
              <w:rPr>
                <w:sz w:val="16"/>
                <w:lang w:val="cs-CZ"/>
              </w:rPr>
              <w:t>zavazovat.</w:t>
            </w:r>
          </w:p>
        </w:tc>
        <w:tc>
          <w:tcPr>
            <w:tcW w:w="6521" w:type="dxa"/>
          </w:tcPr>
          <w:p w14:paraId="188DF537" w14:textId="77777777" w:rsidR="006D3769" w:rsidRPr="00C7179C" w:rsidRDefault="00000000">
            <w:pPr>
              <w:pStyle w:val="TableParagraph"/>
              <w:spacing w:before="2" w:line="182" w:lineRule="exact"/>
              <w:rPr>
                <w:sz w:val="16"/>
                <w:lang w:val="cs-CZ"/>
              </w:rPr>
            </w:pPr>
            <w:r w:rsidRPr="00C7179C">
              <w:rPr>
                <w:sz w:val="16"/>
                <w:lang w:val="cs-CZ"/>
              </w:rPr>
              <w:t>Smlouva je uzavírána na dobu neurčitou, je možné ji vypovědět v tříměsíční výpovědní lhůtě.</w:t>
            </w:r>
          </w:p>
        </w:tc>
      </w:tr>
      <w:tr w:rsidR="006D3769" w:rsidRPr="00C7179C" w14:paraId="5594351A" w14:textId="77777777">
        <w:trPr>
          <w:trHeight w:hRule="exact" w:val="1123"/>
        </w:trPr>
        <w:tc>
          <w:tcPr>
            <w:tcW w:w="4361" w:type="dxa"/>
            <w:shd w:val="clear" w:color="auto" w:fill="D9D9D9"/>
          </w:tcPr>
          <w:p w14:paraId="6E1E20F1" w14:textId="062BCF0F" w:rsidR="006D3769" w:rsidRPr="00C7179C" w:rsidRDefault="00000000">
            <w:pPr>
              <w:pStyle w:val="TableParagraph"/>
              <w:ind w:right="93"/>
              <w:jc w:val="both"/>
              <w:rPr>
                <w:sz w:val="16"/>
                <w:lang w:val="cs-CZ"/>
              </w:rPr>
            </w:pPr>
            <w:r w:rsidRPr="00C7179C">
              <w:rPr>
                <w:sz w:val="16"/>
                <w:lang w:val="cs-CZ"/>
              </w:rPr>
              <w:t>V případě smlouvy uzavírané na dobu neurčitou nebo jejímž předmětem je opakované plnění, údaj o ceně nebo způsobu jejího určení za jedno zúčtovací období, kterým je vždy jeden měsíc, pokud je tato cena</w:t>
            </w:r>
            <w:r w:rsidRPr="00C7179C">
              <w:rPr>
                <w:spacing w:val="-14"/>
                <w:sz w:val="16"/>
                <w:lang w:val="cs-CZ"/>
              </w:rPr>
              <w:t xml:space="preserve"> </w:t>
            </w:r>
            <w:r w:rsidRPr="00C7179C">
              <w:rPr>
                <w:sz w:val="16"/>
                <w:lang w:val="cs-CZ"/>
              </w:rPr>
              <w:t>neměnná.</w:t>
            </w:r>
          </w:p>
        </w:tc>
        <w:tc>
          <w:tcPr>
            <w:tcW w:w="6521" w:type="dxa"/>
          </w:tcPr>
          <w:p w14:paraId="14E2A302" w14:textId="77777777" w:rsidR="006D3769" w:rsidRPr="00C7179C" w:rsidRDefault="00000000">
            <w:pPr>
              <w:pStyle w:val="TableParagraph"/>
              <w:ind w:right="93"/>
              <w:jc w:val="both"/>
              <w:rPr>
                <w:sz w:val="16"/>
                <w:lang w:val="cs-CZ"/>
              </w:rPr>
            </w:pPr>
            <w:r w:rsidRPr="00C7179C">
              <w:rPr>
                <w:sz w:val="16"/>
                <w:lang w:val="cs-CZ"/>
              </w:rPr>
              <w:t>Odběratel hradí za dodávanou vodu vodné a za odvádění odpadních vod stočné. Cena a forma vodného a stočného je stanovována podle cenových předpisů a rozhodnutí vlastníka vodovodu a kanalizace na příslušné cenové období, kterým je zpravidla období 12 měsíců. Cena a forma vodného a stočného jsou uveřejněny prostřednictvím obecních úřadů, regionálních informačních médií, pracovišť Provozovatele (zákaznická centra), vlastních webových stránek Provozovatele.</w:t>
            </w:r>
          </w:p>
        </w:tc>
      </w:tr>
      <w:tr w:rsidR="006D3769" w:rsidRPr="00C7179C" w14:paraId="60B629F0" w14:textId="77777777">
        <w:trPr>
          <w:trHeight w:hRule="exact" w:val="756"/>
        </w:trPr>
        <w:tc>
          <w:tcPr>
            <w:tcW w:w="4361" w:type="dxa"/>
            <w:shd w:val="clear" w:color="auto" w:fill="D9D9D9"/>
          </w:tcPr>
          <w:p w14:paraId="31C61B2F" w14:textId="77777777" w:rsidR="006D3769" w:rsidRPr="00C7179C" w:rsidRDefault="00000000">
            <w:pPr>
              <w:pStyle w:val="TableParagraph"/>
              <w:ind w:right="93"/>
              <w:jc w:val="both"/>
              <w:rPr>
                <w:sz w:val="16"/>
                <w:lang w:val="cs-CZ"/>
              </w:rPr>
            </w:pPr>
            <w:r w:rsidRPr="00C7179C">
              <w:rPr>
                <w:sz w:val="16"/>
                <w:lang w:val="cs-CZ"/>
              </w:rPr>
              <w:t>V případě smluv uzavíraných na dobu neurčitou nebo jejímž předmětem je opakované plnění, údaje o veškerých daních, poplatcích a nákladech na dodání zboží nebo služby.</w:t>
            </w:r>
          </w:p>
        </w:tc>
        <w:tc>
          <w:tcPr>
            <w:tcW w:w="6521" w:type="dxa"/>
          </w:tcPr>
          <w:p w14:paraId="180DB3C4" w14:textId="77777777" w:rsidR="006D3769" w:rsidRPr="00C7179C" w:rsidRDefault="00000000">
            <w:pPr>
              <w:pStyle w:val="TableParagraph"/>
              <w:rPr>
                <w:sz w:val="16"/>
                <w:lang w:val="cs-CZ"/>
              </w:rPr>
            </w:pPr>
            <w:r w:rsidRPr="00C7179C">
              <w:rPr>
                <w:sz w:val="16"/>
                <w:lang w:val="cs-CZ"/>
              </w:rPr>
              <w:t>K ceně vodného a stočného se připočítává daň z přidané hodnoty ve výši dle platných právních předpisů.</w:t>
            </w:r>
          </w:p>
        </w:tc>
      </w:tr>
      <w:tr w:rsidR="006D3769" w:rsidRPr="00C7179C" w14:paraId="21C039CA" w14:textId="77777777">
        <w:trPr>
          <w:trHeight w:hRule="exact" w:val="1493"/>
        </w:trPr>
        <w:tc>
          <w:tcPr>
            <w:tcW w:w="4361" w:type="dxa"/>
            <w:shd w:val="clear" w:color="auto" w:fill="D9D9D9"/>
          </w:tcPr>
          <w:p w14:paraId="4773BDD2" w14:textId="77777777" w:rsidR="006D3769" w:rsidRPr="00C7179C" w:rsidRDefault="00000000">
            <w:pPr>
              <w:pStyle w:val="TableParagraph"/>
              <w:ind w:right="94"/>
              <w:jc w:val="both"/>
              <w:rPr>
                <w:sz w:val="16"/>
                <w:lang w:val="cs-CZ"/>
              </w:rPr>
            </w:pPr>
            <w:r w:rsidRPr="00C7179C">
              <w:rPr>
                <w:sz w:val="16"/>
                <w:lang w:val="cs-CZ"/>
              </w:rPr>
              <w:t>Pokud lze využít práva na odstoupení od smlouvy, podmínky, lhůtu a postupy pro uplatnění tohoto práva, jakož i formulář pro odstoupení od smlouvy, jehož náležitosti stanoví prováděcí právní předpis</w:t>
            </w:r>
          </w:p>
        </w:tc>
        <w:tc>
          <w:tcPr>
            <w:tcW w:w="6521" w:type="dxa"/>
          </w:tcPr>
          <w:p w14:paraId="3E45EEC4" w14:textId="77777777" w:rsidR="006D3769" w:rsidRPr="00C7179C" w:rsidRDefault="00000000">
            <w:pPr>
              <w:pStyle w:val="TableParagraph"/>
              <w:ind w:right="98"/>
              <w:jc w:val="both"/>
              <w:rPr>
                <w:sz w:val="16"/>
                <w:lang w:val="cs-CZ"/>
              </w:rPr>
            </w:pPr>
            <w:r w:rsidRPr="00C7179C">
              <w:rPr>
                <w:sz w:val="16"/>
                <w:lang w:val="cs-CZ"/>
              </w:rPr>
              <w:t>Odběratel má právo odstoupit od smlouvy bez udání důvodu ve lhůtě 14 dnů ode dne následujícího po dni uzavření smlouvy.</w:t>
            </w:r>
          </w:p>
          <w:p w14:paraId="1BE5A800" w14:textId="77777777" w:rsidR="006D3769" w:rsidRPr="00C7179C" w:rsidRDefault="00000000">
            <w:pPr>
              <w:pStyle w:val="TableParagraph"/>
              <w:spacing w:before="1"/>
              <w:ind w:right="93"/>
              <w:jc w:val="both"/>
              <w:rPr>
                <w:sz w:val="16"/>
                <w:lang w:val="cs-CZ"/>
              </w:rPr>
            </w:pPr>
            <w:r w:rsidRPr="00C7179C">
              <w:rPr>
                <w:sz w:val="16"/>
                <w:lang w:val="cs-CZ"/>
              </w:rPr>
              <w:t>Pro účely uplatnění práva na odstoupení od smlouvy musí o svém odstoupení od této smlouvy informovat provozovatele na výše uvedené adrese jeho sídla, formou jednostranného právního jednání (dopisem) zaslaným prostřednictvím poštovní služby. Může se použít vzorový formulář pro odstoupení od smlouvy, není to však povinností.</w:t>
            </w:r>
          </w:p>
          <w:p w14:paraId="546AD6D3" w14:textId="77777777" w:rsidR="006D3769" w:rsidRPr="00C7179C" w:rsidRDefault="00000000">
            <w:pPr>
              <w:pStyle w:val="TableParagraph"/>
              <w:ind w:right="94"/>
              <w:jc w:val="both"/>
              <w:rPr>
                <w:sz w:val="16"/>
                <w:lang w:val="cs-CZ"/>
              </w:rPr>
            </w:pPr>
            <w:r w:rsidRPr="00C7179C">
              <w:rPr>
                <w:sz w:val="16"/>
                <w:lang w:val="cs-CZ"/>
              </w:rPr>
              <w:t>Aby byla dodržena lhůta pro odstoupení od této smlouvy, postačuje odeslat odstoupení od smlouvy před uplynutím příslušné lhůty.</w:t>
            </w:r>
          </w:p>
        </w:tc>
      </w:tr>
      <w:tr w:rsidR="006D3769" w:rsidRPr="00C7179C" w14:paraId="0C7884FC" w14:textId="77777777">
        <w:trPr>
          <w:trHeight w:hRule="exact" w:val="1123"/>
        </w:trPr>
        <w:tc>
          <w:tcPr>
            <w:tcW w:w="4361" w:type="dxa"/>
            <w:shd w:val="clear" w:color="auto" w:fill="D9D9D9"/>
          </w:tcPr>
          <w:p w14:paraId="6675CBC1" w14:textId="77777777" w:rsidR="006D3769" w:rsidRPr="00C7179C" w:rsidRDefault="00000000">
            <w:pPr>
              <w:pStyle w:val="TableParagraph"/>
              <w:ind w:right="93"/>
              <w:jc w:val="both"/>
              <w:rPr>
                <w:sz w:val="16"/>
                <w:lang w:val="cs-CZ"/>
              </w:rPr>
            </w:pPr>
            <w:r w:rsidRPr="00C7179C">
              <w:rPr>
                <w:sz w:val="16"/>
                <w:lang w:val="cs-CZ"/>
              </w:rPr>
              <w:t>Údaj, že v případě odstoupení od smlouvy ponese spotřebitel náklady spojené s navrácením zboží, a jde-li o smlouvu uzavřenou prostřednictvím prostředku komunikace na dálku, náklady za navrácení zboží, jestliže toto zboží nemůže být vráceno pro svou povahu obvyklou poštovní cestou.</w:t>
            </w:r>
          </w:p>
        </w:tc>
        <w:tc>
          <w:tcPr>
            <w:tcW w:w="6521" w:type="dxa"/>
          </w:tcPr>
          <w:p w14:paraId="50168EFE" w14:textId="77777777" w:rsidR="006D3769" w:rsidRPr="00C7179C" w:rsidRDefault="00000000">
            <w:pPr>
              <w:pStyle w:val="TableParagraph"/>
              <w:rPr>
                <w:sz w:val="16"/>
                <w:lang w:val="cs-CZ"/>
              </w:rPr>
            </w:pPr>
            <w:r w:rsidRPr="00C7179C">
              <w:rPr>
                <w:sz w:val="16"/>
                <w:lang w:val="cs-CZ"/>
              </w:rPr>
              <w:t>Předmětem smlouvy jsou dodávky vody a odvádění odpadních vod, tyto služby nelze vracet.</w:t>
            </w:r>
          </w:p>
        </w:tc>
      </w:tr>
      <w:tr w:rsidR="006D3769" w:rsidRPr="00C7179C" w14:paraId="02E5C15A" w14:textId="77777777">
        <w:trPr>
          <w:trHeight w:hRule="exact" w:val="756"/>
        </w:trPr>
        <w:tc>
          <w:tcPr>
            <w:tcW w:w="4361" w:type="dxa"/>
            <w:shd w:val="clear" w:color="auto" w:fill="D9D9D9"/>
          </w:tcPr>
          <w:p w14:paraId="069281CE" w14:textId="77777777" w:rsidR="006D3769" w:rsidRPr="00C7179C" w:rsidRDefault="00000000">
            <w:pPr>
              <w:pStyle w:val="TableParagraph"/>
              <w:ind w:right="92"/>
              <w:jc w:val="both"/>
              <w:rPr>
                <w:sz w:val="16"/>
                <w:lang w:val="cs-CZ"/>
              </w:rPr>
            </w:pPr>
            <w:r w:rsidRPr="00C7179C">
              <w:rPr>
                <w:sz w:val="16"/>
                <w:lang w:val="cs-CZ"/>
              </w:rPr>
              <w:t>Údaj o povinnosti uhradit poměrnou část ceny v případě odstoupení od smlouvy, jejímž předmětem je poskytování služeb a jejichž plnění již začalo.</w:t>
            </w:r>
          </w:p>
        </w:tc>
        <w:tc>
          <w:tcPr>
            <w:tcW w:w="6521" w:type="dxa"/>
          </w:tcPr>
          <w:p w14:paraId="3D8A6F89" w14:textId="77777777" w:rsidR="006D3769" w:rsidRPr="00C7179C" w:rsidRDefault="00000000">
            <w:pPr>
              <w:pStyle w:val="TableParagraph"/>
              <w:ind w:right="95"/>
              <w:jc w:val="both"/>
              <w:rPr>
                <w:sz w:val="16"/>
                <w:lang w:val="cs-CZ"/>
              </w:rPr>
            </w:pPr>
            <w:r w:rsidRPr="00C7179C">
              <w:rPr>
                <w:sz w:val="16"/>
                <w:lang w:val="cs-CZ"/>
              </w:rPr>
              <w:t>Pokud odběratel využije svého práva dle § 1829 občanského zákoníku a odstoupí od smlouvy do 14 dnů od jejího uzavření, zaplatí provozovateli částku úměrnou rozsahu poskytnutých služeb do doby, kdy informoval provozovatele o odstoupení od smlouvy, a to v porovnání s celkovým rozsahem služeb stanoveným ve smlouvě.</w:t>
            </w:r>
          </w:p>
        </w:tc>
      </w:tr>
      <w:tr w:rsidR="006D3769" w:rsidRPr="00C7179C" w14:paraId="3704FC1F" w14:textId="77777777">
        <w:trPr>
          <w:trHeight w:hRule="exact" w:val="756"/>
        </w:trPr>
        <w:tc>
          <w:tcPr>
            <w:tcW w:w="4361" w:type="dxa"/>
            <w:shd w:val="clear" w:color="auto" w:fill="D9D9D9"/>
          </w:tcPr>
          <w:p w14:paraId="4337405C" w14:textId="77777777" w:rsidR="006D3769" w:rsidRPr="00C7179C" w:rsidRDefault="00000000">
            <w:pPr>
              <w:pStyle w:val="TableParagraph"/>
              <w:ind w:right="93"/>
              <w:jc w:val="both"/>
              <w:rPr>
                <w:sz w:val="16"/>
                <w:lang w:val="cs-CZ"/>
              </w:rPr>
            </w:pPr>
            <w:r w:rsidRPr="00C7179C">
              <w:rPr>
                <w:sz w:val="16"/>
                <w:lang w:val="cs-CZ"/>
              </w:rPr>
              <w:t>Údaj o existenci, způsobu a podmínkách mimosoudního vyřizování stížností spotřebitelů včetně údaje, zda se lze obrátit se stížností na orgán dohledu nebo státního dozoru.</w:t>
            </w:r>
          </w:p>
        </w:tc>
        <w:tc>
          <w:tcPr>
            <w:tcW w:w="6521" w:type="dxa"/>
          </w:tcPr>
          <w:p w14:paraId="39ACD8C6" w14:textId="77777777" w:rsidR="006D3769" w:rsidRPr="00C7179C" w:rsidRDefault="00000000">
            <w:pPr>
              <w:pStyle w:val="TableParagraph"/>
              <w:ind w:right="94"/>
              <w:jc w:val="both"/>
              <w:rPr>
                <w:sz w:val="16"/>
                <w:lang w:val="cs-CZ"/>
              </w:rPr>
            </w:pPr>
            <w:r w:rsidRPr="00C7179C">
              <w:rPr>
                <w:sz w:val="16"/>
                <w:lang w:val="cs-CZ"/>
              </w:rPr>
              <w:t>V případě sporu mezi provozovatelem a odběratelem ze smlouvy, rozhoduje o sporu místně a věcně příslušný soud. Provozovatel podléhá dozoru České obchodní inspekce, Živnostenských úřadů a vodoprávních úřadů. Na tyto orgány se může odběratel obrátit    v případě stížnosti na</w:t>
            </w:r>
            <w:r w:rsidRPr="00C7179C">
              <w:rPr>
                <w:spacing w:val="-17"/>
                <w:sz w:val="16"/>
                <w:lang w:val="cs-CZ"/>
              </w:rPr>
              <w:t xml:space="preserve"> </w:t>
            </w:r>
            <w:r w:rsidRPr="00C7179C">
              <w:rPr>
                <w:sz w:val="16"/>
                <w:lang w:val="cs-CZ"/>
              </w:rPr>
              <w:t>provozovatele.</w:t>
            </w:r>
          </w:p>
        </w:tc>
      </w:tr>
    </w:tbl>
    <w:p w14:paraId="55490315" w14:textId="77777777" w:rsidR="00600E9E" w:rsidRPr="00C7179C" w:rsidRDefault="00600E9E">
      <w:pPr>
        <w:rPr>
          <w:lang w:val="cs-CZ"/>
        </w:rPr>
      </w:pPr>
    </w:p>
    <w:sectPr w:rsidR="00600E9E" w:rsidRPr="00C7179C">
      <w:type w:val="continuous"/>
      <w:pgSz w:w="11900" w:h="16840"/>
      <w:pgMar w:top="640" w:right="280" w:bottom="280" w:left="5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D3769"/>
    <w:rsid w:val="00600E9E"/>
    <w:rsid w:val="006D3769"/>
    <w:rsid w:val="00C71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CF3D91"/>
  <w15:docId w15:val="{99BE7858-4E2D-4D69-9741-1411886C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style>
  <w:style w:type="paragraph" w:customStyle="1" w:styleId="TableParagraph">
    <w:name w:val="Table Paragraph"/>
    <w:basedOn w:val="Normln"/>
    <w:uiPriority w:val="1"/>
    <w:qFormat/>
    <w:pPr>
      <w:ind w:left="98"/>
    </w:pPr>
  </w:style>
  <w:style w:type="character" w:styleId="Hypertextovodkaz">
    <w:name w:val="Hyperlink"/>
    <w:basedOn w:val="Standardnpsmoodstavce"/>
    <w:uiPriority w:val="99"/>
    <w:unhideWhenUsed/>
    <w:rsid w:val="00C7179C"/>
    <w:rPr>
      <w:color w:val="0000FF" w:themeColor="hyperlink"/>
      <w:u w:val="single"/>
    </w:rPr>
  </w:style>
  <w:style w:type="character" w:styleId="Nevyeenzmnka">
    <w:name w:val="Unresolved Mention"/>
    <w:basedOn w:val="Standardnpsmoodstavce"/>
    <w:uiPriority w:val="99"/>
    <w:semiHidden/>
    <w:unhideWhenUsed/>
    <w:rsid w:val="00C71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vk.cz/" TargetMode="External"/><Relationship Id="rId5" Type="http://schemas.openxmlformats.org/officeDocument/2006/relationships/hyperlink" Target="http://www.scvk.cz/" TargetMode="External"/><Relationship Id="rId4" Type="http://schemas.openxmlformats.org/officeDocument/2006/relationships/hyperlink" Target="http://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918</Words>
  <Characters>5417</Characters>
  <Application>Microsoft Office Word</Application>
  <DocSecurity>0</DocSecurity>
  <Lines>45</Lines>
  <Paragraphs>12</Paragraphs>
  <ScaleCrop>false</ScaleCrop>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Poučení pro spotřebitele vzor</dc:title>
  <dc:creator>milos.suva</dc:creator>
  <cp:lastModifiedBy>Jana Mullerová</cp:lastModifiedBy>
  <cp:revision>2</cp:revision>
  <dcterms:created xsi:type="dcterms:W3CDTF">2023-06-07T16:09:00Z</dcterms:created>
  <dcterms:modified xsi:type="dcterms:W3CDTF">2023-06-07T14:11:00Z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2015-01-07T00:00:00Z</vt:filetime>
  </property>
  <property fmtid="{D5CDD505-2E9C-101B-9397-08002B2CF9AE}" pid="3" name="Creator">
    <vt:lpwstr>PDFCreator 2.0.0.0</vt:lpwstr>
  </property>
  <property fmtid="{D5CDD505-2E9C-101B-9397-08002B2CF9AE}" pid="4" name="LastSaved">
    <vt:filetime>2023-06-07T00:00:00Z</vt:filetime>
  </property>
</Properties>
</file>